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8F875" w14:textId="77777777" w:rsidR="002501BB" w:rsidRDefault="006E65AD">
      <w:pPr>
        <w:rPr>
          <w:rFonts w:ascii="Verdana" w:eastAsia="Times New Roman" w:hAnsi="Verdana"/>
          <w:color w:val="000033"/>
          <w:kern w:val="0"/>
          <w:sz w:val="17"/>
          <w:szCs w:val="17"/>
          <w:shd w:val="clear" w:color="auto" w:fill="FFFFFF"/>
        </w:rPr>
      </w:pPr>
      <w: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20"/>
          <w:szCs w:val="20"/>
          <w:lang w:eastAsia="de-DE" w:bidi="en-US"/>
        </w:rPr>
        <w:t xml:space="preserve">Supplementary 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kern w:val="0"/>
          <w:sz w:val="20"/>
          <w:szCs w:val="20"/>
          <w:lang w:eastAsia="de-DE" w:bidi="en-US"/>
        </w:rPr>
        <w:t>T</w:t>
      </w:r>
      <w: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20"/>
          <w:szCs w:val="20"/>
          <w:lang w:eastAsia="de-DE" w:bidi="en-US"/>
        </w:rPr>
        <w:t xml:space="preserve">able 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kern w:val="0"/>
          <w:sz w:val="20"/>
          <w:szCs w:val="20"/>
          <w:lang w:eastAsia="de-DE" w:bidi="en-US"/>
        </w:rPr>
        <w:t>1</w:t>
      </w:r>
      <w:r>
        <w:rPr>
          <w:rFonts w:ascii="Palatino Linotype" w:eastAsiaTheme="minorEastAsia" w:hAnsi="Palatino Linotype" w:cs="Times New Roman" w:hint="eastAsia"/>
          <w:b/>
          <w:snapToGrid w:val="0"/>
          <w:color w:val="000000"/>
          <w:kern w:val="0"/>
          <w:sz w:val="20"/>
          <w:szCs w:val="20"/>
          <w:lang w:bidi="en-US"/>
        </w:rPr>
        <w:t xml:space="preserve">. </w:t>
      </w:r>
      <w:r>
        <w:rPr>
          <w:rFonts w:ascii="Times New Roman" w:hAnsi="Times New Roman" w:hint="eastAsia"/>
          <w:kern w:val="0"/>
        </w:rPr>
        <w:t>T</w:t>
      </w:r>
      <w:r>
        <w:t xml:space="preserve">he </w:t>
      </w:r>
      <w:r>
        <w:rPr>
          <w:rFonts w:hint="eastAsia"/>
        </w:rPr>
        <w:t>asthma diagnosis</w:t>
      </w:r>
      <w:r>
        <w:t xml:space="preserve"> criteria</w:t>
      </w:r>
      <w:r>
        <w:rPr>
          <w:rFonts w:hint="eastAsia"/>
        </w:rPr>
        <w:t xml:space="preserve"> in the study (1)</w:t>
      </w:r>
      <w:r>
        <w:rPr>
          <w:rFonts w:hint="eastAsia"/>
        </w:rPr>
        <w:t>.</w:t>
      </w:r>
    </w:p>
    <w:tbl>
      <w:tblPr>
        <w:tblW w:w="8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4"/>
        <w:gridCol w:w="1410"/>
      </w:tblGrid>
      <w:tr w:rsidR="002501BB" w14:paraId="0E5D35B7" w14:textId="77777777">
        <w:trPr>
          <w:trHeight w:val="27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08BBA" w14:textId="77777777" w:rsidR="002501BB" w:rsidRDefault="006E65A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Asthma Diagnosis Criteria</w:t>
            </w:r>
          </w:p>
        </w:tc>
      </w:tr>
      <w:tr w:rsidR="002501BB" w14:paraId="65E11659" w14:textId="77777777">
        <w:trPr>
          <w:trHeight w:val="1080"/>
        </w:trPr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26A79" w14:textId="77777777" w:rsidR="002501BB" w:rsidRDefault="006E65A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1.Repeated onset of wheezing, cough, shortness of breath, chest tightness, and more related to contact with allergens, cold air, physical, chemical stimuli,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respiratory infections, exercise and hyperventilation (such as laughter and crying), often at night and (or) after sleep.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B7841" w14:textId="77777777" w:rsidR="002501BB" w:rsidRDefault="006E65A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Can be diagnosed as asthma if it meets 1-4 or, 4 and 5</w:t>
            </w:r>
          </w:p>
        </w:tc>
      </w:tr>
      <w:tr w:rsidR="002501BB" w14:paraId="7C64D4F0" w14:textId="77777777">
        <w:trPr>
          <w:trHeight w:val="810"/>
        </w:trPr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35224" w14:textId="77777777" w:rsidR="002501BB" w:rsidRDefault="006E65A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2. During the exacerbation, sporadic or diffuse wheezing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can be heard on auscu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ltation especially on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expirat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ion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, and the expirat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ion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is prolonged.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2E194" w14:textId="77777777" w:rsidR="002501BB" w:rsidRDefault="002501B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501BB" w14:paraId="0AC4C098" w14:textId="77777777">
        <w:trPr>
          <w:trHeight w:val="270"/>
        </w:trPr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9E3DD" w14:textId="77777777" w:rsidR="002501BB" w:rsidRDefault="006E65A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3. The symptoms and signs relieve automatically or by treatment.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765B0" w14:textId="77777777" w:rsidR="002501BB" w:rsidRDefault="002501B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501BB" w14:paraId="78A1E754" w14:textId="77777777">
        <w:trPr>
          <w:trHeight w:val="540"/>
        </w:trPr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D4EC7" w14:textId="77777777" w:rsidR="002501BB" w:rsidRDefault="006E65A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4. Exclude wheezing, coughing, shortness of breath and chest tightness caused by other diseases.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3EDAD" w14:textId="77777777" w:rsidR="002501BB" w:rsidRDefault="002501B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501BB" w14:paraId="16900ECC" w14:textId="77777777">
        <w:trPr>
          <w:trHeight w:val="2970"/>
        </w:trPr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4676A" w14:textId="77777777" w:rsidR="002501BB" w:rsidRDefault="006E65A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5. Th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e patients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with atypical clinical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presentation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(such as no wheezing) should have at least one of the following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points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: (1)the presence of reversible airflow limitation: 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positive bronchodilator reversibility test: increase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in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forced expiratory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volume in 1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second (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FEV1)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12%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15 minutes after a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short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-acting b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eta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agonist; 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increase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of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lung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function after anti-inflammatory treatment: increase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in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FEV1 by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12%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after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treatment with inhaled corticosteroids and/or leukotriene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receptor antagonist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for 4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-8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weeks; (2) bronc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hial provocation test is positive; (3)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average daily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peak expiratory flow (PEF) variability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13%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over 2 weeks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04EE8" w14:textId="77777777" w:rsidR="002501BB" w:rsidRDefault="002501B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14:paraId="2F946CE5" w14:textId="77777777" w:rsidR="002501BB" w:rsidRDefault="002501BB">
      <w:pPr>
        <w:rPr>
          <w:rFonts w:hint="eastAsia"/>
        </w:rPr>
      </w:pPr>
    </w:p>
    <w:p w14:paraId="6C225D4A" w14:textId="77777777" w:rsidR="006E65AD" w:rsidRDefault="006E65AD">
      <w:pPr>
        <w:rPr>
          <w:rFonts w:hint="eastAsia"/>
        </w:rPr>
      </w:pPr>
      <w:r>
        <w:rPr>
          <w:rFonts w:cs="Times New Roman" w:hint="eastAsia"/>
        </w:rPr>
        <w:t xml:space="preserve">1. </w:t>
      </w:r>
      <w:bookmarkStart w:id="0" w:name="_GoBack"/>
      <w:bookmarkEnd w:id="0"/>
      <w:r>
        <w:rPr>
          <w:rFonts w:cs="Times New Roman"/>
        </w:rPr>
        <w:t xml:space="preserve">The Subspecialty Group of </w:t>
      </w:r>
      <w:proofErr w:type="spellStart"/>
      <w:r>
        <w:rPr>
          <w:rFonts w:cs="Times New Roman"/>
        </w:rPr>
        <w:t>Respirology</w:t>
      </w:r>
      <w:proofErr w:type="spellEnd"/>
      <w:r>
        <w:rPr>
          <w:rFonts w:cs="Times New Roman"/>
        </w:rPr>
        <w:t xml:space="preserve">. The Society of Pediatrics, Chinese Medical Association guidelines for the diagnosis and prevention of asthma in children (2016). Chin. J </w:t>
      </w:r>
      <w:proofErr w:type="spellStart"/>
      <w:r>
        <w:rPr>
          <w:rFonts w:cs="Times New Roman"/>
        </w:rPr>
        <w:t>Pediatr</w:t>
      </w:r>
      <w:proofErr w:type="spellEnd"/>
      <w:r>
        <w:rPr>
          <w:rFonts w:cs="Times New Roman"/>
        </w:rPr>
        <w:t xml:space="preserve">. </w:t>
      </w:r>
      <w:r>
        <w:rPr>
          <w:rFonts w:cs="Times New Roman" w:hint="eastAsia"/>
        </w:rPr>
        <w:t>(</w:t>
      </w:r>
      <w:r>
        <w:rPr>
          <w:rFonts w:cs="Times New Roman"/>
        </w:rPr>
        <w:t>2016</w:t>
      </w:r>
      <w:r>
        <w:rPr>
          <w:rFonts w:cs="Times New Roman" w:hint="eastAsia"/>
        </w:rPr>
        <w:t>)</w:t>
      </w:r>
      <w:r>
        <w:rPr>
          <w:rFonts w:cs="Times New Roman"/>
        </w:rPr>
        <w:t xml:space="preserve">. </w:t>
      </w:r>
      <w:hyperlink r:id="rId5" w:history="1">
        <w:r>
          <w:rPr>
            <w:rStyle w:val="a3"/>
            <w:rFonts w:cs="Times New Roman"/>
          </w:rPr>
          <w:t>https://doi.org/10.3760/ema.j.issn.0578—1310.2016.03.003</w:t>
        </w:r>
      </w:hyperlink>
      <w:r>
        <w:rPr>
          <w:rFonts w:cs="Times New Roman"/>
        </w:rPr>
        <w:t>.</w:t>
      </w:r>
    </w:p>
    <w:sectPr w:rsidR="006E6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6C3F"/>
    <w:rsid w:val="002501BB"/>
    <w:rsid w:val="006E65AD"/>
    <w:rsid w:val="10E56C3F"/>
    <w:rsid w:val="320140E7"/>
    <w:rsid w:val="386211E7"/>
    <w:rsid w:val="7F7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3426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before="100" w:beforeAutospacing="1" w:after="160" w:line="256" w:lineRule="auto"/>
      <w:jc w:val="both"/>
    </w:pPr>
    <w:rPr>
      <w:rFonts w:ascii="Calibri" w:hAnsi="Calibri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E6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3760/ema.j.issn.0578&#8212;1310.2016.03.00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Macintosh Word</Application>
  <DocSecurity>0</DocSecurity>
  <Lines>12</Lines>
  <Paragraphs>3</Paragraphs>
  <ScaleCrop>false</ScaleCrop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dyy</dc:creator>
  <cp:lastModifiedBy>Microsoft Office 用户</cp:lastModifiedBy>
  <cp:revision>2</cp:revision>
  <dcterms:created xsi:type="dcterms:W3CDTF">2019-09-20T06:42:00Z</dcterms:created>
  <dcterms:modified xsi:type="dcterms:W3CDTF">2019-10-15T12:20:00Z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