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4A84" w14:textId="0DFF6023" w:rsidR="002868E2" w:rsidRPr="00376CC5" w:rsidRDefault="00FC53A9" w:rsidP="004F770F">
      <w:pPr>
        <w:pStyle w:val="Title"/>
      </w:pPr>
      <w:r>
        <w:t xml:space="preserve">Suicide postvention service </w:t>
      </w:r>
      <w:r w:rsidR="0049149C">
        <w:t>models</w:t>
      </w:r>
      <w:r>
        <w:t xml:space="preserve"> and guidelines 2014-2019: A systematic review</w:t>
      </w:r>
    </w:p>
    <w:p w14:paraId="78AD7B08" w14:textId="7472F144" w:rsidR="0008470B" w:rsidRDefault="000C1553" w:rsidP="005D0385">
      <w:pPr>
        <w:pStyle w:val="Heading1"/>
        <w:numPr>
          <w:ilvl w:val="0"/>
          <w:numId w:val="0"/>
        </w:numPr>
        <w:ind w:left="567" w:hanging="567"/>
      </w:pPr>
      <w:r>
        <w:t>Su</w:t>
      </w:r>
      <w:r w:rsidR="0008470B">
        <w:t xml:space="preserve">pplementary material </w:t>
      </w:r>
      <w:bookmarkStart w:id="0" w:name="_GoBack"/>
      <w:bookmarkEnd w:id="0"/>
    </w:p>
    <w:p w14:paraId="78B59539" w14:textId="178E5EEE" w:rsidR="00D476E1" w:rsidRPr="00CF4FBD" w:rsidRDefault="00D476E1" w:rsidP="005D0385">
      <w:pPr>
        <w:pStyle w:val="Heading2"/>
        <w:numPr>
          <w:ilvl w:val="0"/>
          <w:numId w:val="0"/>
        </w:numPr>
        <w:ind w:left="567" w:hanging="567"/>
      </w:pPr>
      <w:r w:rsidRPr="00CF4FBD">
        <w:t xml:space="preserve">Table 1: NHMRC Levels of evidence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D476E1" w:rsidRPr="00CF4FBD" w14:paraId="35A71B02" w14:textId="77777777" w:rsidTr="00D75A62">
        <w:tc>
          <w:tcPr>
            <w:tcW w:w="2122" w:type="dxa"/>
          </w:tcPr>
          <w:p w14:paraId="692A97E7" w14:textId="77777777" w:rsidR="00D476E1" w:rsidRPr="00580B98" w:rsidRDefault="00D476E1" w:rsidP="00D75A62">
            <w:pPr>
              <w:rPr>
                <w:b/>
              </w:rPr>
            </w:pPr>
            <w:r w:rsidRPr="00580B98">
              <w:rPr>
                <w:b/>
              </w:rPr>
              <w:t>Level of evidence</w:t>
            </w:r>
          </w:p>
        </w:tc>
        <w:tc>
          <w:tcPr>
            <w:tcW w:w="7228" w:type="dxa"/>
          </w:tcPr>
          <w:p w14:paraId="22125DD9" w14:textId="77777777" w:rsidR="00D476E1" w:rsidRPr="00580B98" w:rsidRDefault="00D476E1" w:rsidP="00D75A62">
            <w:pPr>
              <w:rPr>
                <w:b/>
              </w:rPr>
            </w:pPr>
            <w:r w:rsidRPr="00580B98">
              <w:rPr>
                <w:b/>
              </w:rPr>
              <w:t>Study design</w:t>
            </w:r>
          </w:p>
        </w:tc>
      </w:tr>
      <w:tr w:rsidR="00D476E1" w:rsidRPr="00CF4FBD" w14:paraId="0ED26FB2" w14:textId="77777777" w:rsidTr="00D75A62">
        <w:tc>
          <w:tcPr>
            <w:tcW w:w="2122" w:type="dxa"/>
          </w:tcPr>
          <w:p w14:paraId="66C3F903" w14:textId="77777777" w:rsidR="00D476E1" w:rsidRPr="00CF4FBD" w:rsidRDefault="00D476E1" w:rsidP="00D75A62">
            <w:r w:rsidRPr="00CF4FBD">
              <w:t>I</w:t>
            </w:r>
          </w:p>
        </w:tc>
        <w:tc>
          <w:tcPr>
            <w:tcW w:w="7228" w:type="dxa"/>
          </w:tcPr>
          <w:p w14:paraId="0734C767" w14:textId="77777777" w:rsidR="00D476E1" w:rsidRPr="00CF4FBD" w:rsidRDefault="00D476E1" w:rsidP="00D75A62">
            <w:r w:rsidRPr="00CF4FBD">
              <w:t>A systematic review of Level II studies.</w:t>
            </w:r>
          </w:p>
        </w:tc>
      </w:tr>
      <w:tr w:rsidR="00D476E1" w:rsidRPr="00CF4FBD" w14:paraId="250ACDF1" w14:textId="77777777" w:rsidTr="00D75A62">
        <w:tc>
          <w:tcPr>
            <w:tcW w:w="2122" w:type="dxa"/>
          </w:tcPr>
          <w:p w14:paraId="3A13B8C3" w14:textId="77777777" w:rsidR="00D476E1" w:rsidRPr="00CF4FBD" w:rsidRDefault="00D476E1" w:rsidP="00D75A62">
            <w:r w:rsidRPr="00CF4FBD">
              <w:t>II</w:t>
            </w:r>
          </w:p>
        </w:tc>
        <w:tc>
          <w:tcPr>
            <w:tcW w:w="7228" w:type="dxa"/>
          </w:tcPr>
          <w:p w14:paraId="21A3D40D" w14:textId="77777777" w:rsidR="00D476E1" w:rsidRPr="00CF4FBD" w:rsidRDefault="00D476E1" w:rsidP="00D75A62">
            <w:r w:rsidRPr="00CF4FBD">
              <w:t>A randomi</w:t>
            </w:r>
            <w:r>
              <w:t>z</w:t>
            </w:r>
            <w:r w:rsidRPr="00CF4FBD">
              <w:t>ed controlled trial.</w:t>
            </w:r>
          </w:p>
        </w:tc>
      </w:tr>
      <w:tr w:rsidR="00D476E1" w:rsidRPr="00CF4FBD" w14:paraId="3594D751" w14:textId="77777777" w:rsidTr="00D75A62">
        <w:tc>
          <w:tcPr>
            <w:tcW w:w="2122" w:type="dxa"/>
          </w:tcPr>
          <w:p w14:paraId="2A8B5A83" w14:textId="77777777" w:rsidR="00D476E1" w:rsidRPr="00CF4FBD" w:rsidRDefault="00D476E1" w:rsidP="00D75A62">
            <w:r w:rsidRPr="00CF4FBD">
              <w:t>III-1</w:t>
            </w:r>
          </w:p>
        </w:tc>
        <w:tc>
          <w:tcPr>
            <w:tcW w:w="7228" w:type="dxa"/>
          </w:tcPr>
          <w:p w14:paraId="3F1C23C3" w14:textId="77777777" w:rsidR="00D476E1" w:rsidRPr="00CF4FBD" w:rsidRDefault="00D476E1" w:rsidP="00D75A62">
            <w:r w:rsidRPr="00CF4FBD">
              <w:t>A pseudo-randomi</w:t>
            </w:r>
            <w:r>
              <w:t>z</w:t>
            </w:r>
            <w:r w:rsidRPr="00CF4FBD">
              <w:t>ed controlled trial (i.e., alternate allocation or some other method).</w:t>
            </w:r>
          </w:p>
        </w:tc>
      </w:tr>
      <w:tr w:rsidR="00D476E1" w:rsidRPr="00CF4FBD" w14:paraId="5A5020E7" w14:textId="77777777" w:rsidTr="00D75A62">
        <w:tc>
          <w:tcPr>
            <w:tcW w:w="2122" w:type="dxa"/>
          </w:tcPr>
          <w:p w14:paraId="2A151259" w14:textId="77777777" w:rsidR="00D476E1" w:rsidRPr="00CF4FBD" w:rsidRDefault="00D476E1" w:rsidP="00D75A62">
            <w:r w:rsidRPr="00CF4FBD">
              <w:t>III-2</w:t>
            </w:r>
          </w:p>
        </w:tc>
        <w:tc>
          <w:tcPr>
            <w:tcW w:w="7228" w:type="dxa"/>
          </w:tcPr>
          <w:p w14:paraId="056DA498" w14:textId="77777777" w:rsidR="00D476E1" w:rsidRPr="00CF4FBD" w:rsidRDefault="00D476E1" w:rsidP="00D75A62">
            <w:r w:rsidRPr="00CF4FBD">
              <w:t>A comparative study with concurrent controls (i.e., non-randomi</w:t>
            </w:r>
            <w:r>
              <w:t>z</w:t>
            </w:r>
            <w:r w:rsidRPr="00CF4FBD">
              <w:t>ed experimental trials, cohort studies, case-control studies, interrupted time series studies with a control group).</w:t>
            </w:r>
          </w:p>
        </w:tc>
      </w:tr>
      <w:tr w:rsidR="00D476E1" w:rsidRPr="00CF4FBD" w14:paraId="3B5EB659" w14:textId="77777777" w:rsidTr="00D75A62">
        <w:tc>
          <w:tcPr>
            <w:tcW w:w="2122" w:type="dxa"/>
          </w:tcPr>
          <w:p w14:paraId="4F0B14E9" w14:textId="77777777" w:rsidR="00D476E1" w:rsidRPr="00CF4FBD" w:rsidRDefault="00D476E1" w:rsidP="00D75A62">
            <w:r w:rsidRPr="00CF4FBD">
              <w:t>III-3</w:t>
            </w:r>
          </w:p>
        </w:tc>
        <w:tc>
          <w:tcPr>
            <w:tcW w:w="7228" w:type="dxa"/>
          </w:tcPr>
          <w:p w14:paraId="772E040F" w14:textId="77777777" w:rsidR="00D476E1" w:rsidRPr="00CF4FBD" w:rsidRDefault="00D476E1" w:rsidP="00D75A62">
            <w:r w:rsidRPr="00CF4FBD">
              <w:t>A comparative study without concurrent controls (i.e., historical control study, two or more single arm studies, interrupted time series studies without a parallel control group).</w:t>
            </w:r>
          </w:p>
        </w:tc>
      </w:tr>
      <w:tr w:rsidR="00D476E1" w:rsidRPr="00CF4FBD" w14:paraId="4707E70D" w14:textId="77777777" w:rsidTr="00D75A62">
        <w:tc>
          <w:tcPr>
            <w:tcW w:w="2122" w:type="dxa"/>
          </w:tcPr>
          <w:p w14:paraId="3B865AC2" w14:textId="77777777" w:rsidR="00D476E1" w:rsidRPr="00CF4FBD" w:rsidRDefault="00D476E1" w:rsidP="00D75A62">
            <w:r w:rsidRPr="00CF4FBD">
              <w:t>IV</w:t>
            </w:r>
          </w:p>
        </w:tc>
        <w:tc>
          <w:tcPr>
            <w:tcW w:w="7228" w:type="dxa"/>
          </w:tcPr>
          <w:p w14:paraId="2C54A9EE" w14:textId="77777777" w:rsidR="00D476E1" w:rsidRPr="00CF4FBD" w:rsidRDefault="00D476E1" w:rsidP="00D75A62">
            <w:r w:rsidRPr="00CF4FBD">
              <w:t>Case series with either post-test or pre-test/post-test outcomes.</w:t>
            </w:r>
          </w:p>
        </w:tc>
      </w:tr>
    </w:tbl>
    <w:p w14:paraId="1537C487" w14:textId="77777777" w:rsidR="00D476E1" w:rsidRPr="00CF4FBD" w:rsidRDefault="00D476E1" w:rsidP="00D476E1">
      <w:pPr>
        <w:pStyle w:val="Heading1"/>
        <w:numPr>
          <w:ilvl w:val="0"/>
          <w:numId w:val="0"/>
        </w:numPr>
        <w:ind w:left="567" w:hanging="567"/>
      </w:pPr>
    </w:p>
    <w:p w14:paraId="177B2A9D" w14:textId="1D0B53B5" w:rsidR="00D476E1" w:rsidRPr="00CF4FBD" w:rsidRDefault="00D476E1" w:rsidP="005D0385">
      <w:pPr>
        <w:pStyle w:val="Heading2"/>
        <w:numPr>
          <w:ilvl w:val="0"/>
          <w:numId w:val="0"/>
        </w:numPr>
        <w:ind w:left="567" w:hanging="567"/>
      </w:pPr>
      <w:r w:rsidRPr="00CF4FBD">
        <w:t xml:space="preserve">Table 2: NHMRC matrix to summarize the evidence base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476E1" w:rsidRPr="00CF4FBD" w14:paraId="5E0BD81E" w14:textId="77777777" w:rsidTr="00D75A62">
        <w:tc>
          <w:tcPr>
            <w:tcW w:w="1870" w:type="dxa"/>
          </w:tcPr>
          <w:p w14:paraId="6B1E8C05" w14:textId="77777777" w:rsidR="00D476E1" w:rsidRPr="00580B98" w:rsidRDefault="00D476E1" w:rsidP="00D75A62">
            <w:pPr>
              <w:rPr>
                <w:b/>
              </w:rPr>
            </w:pPr>
            <w:r w:rsidRPr="00580B98">
              <w:rPr>
                <w:b/>
              </w:rPr>
              <w:t>Component</w:t>
            </w:r>
          </w:p>
        </w:tc>
        <w:tc>
          <w:tcPr>
            <w:tcW w:w="1870" w:type="dxa"/>
          </w:tcPr>
          <w:p w14:paraId="0DEE847F" w14:textId="77777777" w:rsidR="00D476E1" w:rsidRPr="00580B98" w:rsidRDefault="00D476E1" w:rsidP="00D75A62">
            <w:pPr>
              <w:rPr>
                <w:b/>
              </w:rPr>
            </w:pPr>
            <w:r w:rsidRPr="00580B98">
              <w:rPr>
                <w:b/>
              </w:rPr>
              <w:t>A</w:t>
            </w:r>
          </w:p>
        </w:tc>
        <w:tc>
          <w:tcPr>
            <w:tcW w:w="1870" w:type="dxa"/>
          </w:tcPr>
          <w:p w14:paraId="125DA62D" w14:textId="77777777" w:rsidR="00D476E1" w:rsidRPr="00580B98" w:rsidRDefault="00D476E1" w:rsidP="00D75A62">
            <w:pPr>
              <w:rPr>
                <w:b/>
              </w:rPr>
            </w:pPr>
            <w:r w:rsidRPr="00580B98">
              <w:rPr>
                <w:b/>
              </w:rPr>
              <w:t>B</w:t>
            </w:r>
          </w:p>
        </w:tc>
        <w:tc>
          <w:tcPr>
            <w:tcW w:w="1870" w:type="dxa"/>
          </w:tcPr>
          <w:p w14:paraId="2DBCBC01" w14:textId="77777777" w:rsidR="00D476E1" w:rsidRPr="00580B98" w:rsidRDefault="00D476E1" w:rsidP="00D75A62">
            <w:pPr>
              <w:rPr>
                <w:b/>
              </w:rPr>
            </w:pPr>
            <w:r w:rsidRPr="00580B98">
              <w:rPr>
                <w:b/>
              </w:rPr>
              <w:t>C</w:t>
            </w:r>
          </w:p>
        </w:tc>
        <w:tc>
          <w:tcPr>
            <w:tcW w:w="1870" w:type="dxa"/>
          </w:tcPr>
          <w:p w14:paraId="3C8539EC" w14:textId="77777777" w:rsidR="00D476E1" w:rsidRPr="00580B98" w:rsidRDefault="00D476E1" w:rsidP="00D75A62">
            <w:pPr>
              <w:rPr>
                <w:b/>
              </w:rPr>
            </w:pPr>
            <w:r w:rsidRPr="00580B98">
              <w:rPr>
                <w:b/>
              </w:rPr>
              <w:t>D</w:t>
            </w:r>
          </w:p>
        </w:tc>
      </w:tr>
      <w:tr w:rsidR="00D476E1" w:rsidRPr="00CF4FBD" w14:paraId="5672A86F" w14:textId="77777777" w:rsidTr="00D75A62">
        <w:tc>
          <w:tcPr>
            <w:tcW w:w="1870" w:type="dxa"/>
          </w:tcPr>
          <w:p w14:paraId="076ED862" w14:textId="77777777" w:rsidR="00D476E1" w:rsidRPr="00CF4FBD" w:rsidRDefault="00D476E1" w:rsidP="00D75A62"/>
        </w:tc>
        <w:tc>
          <w:tcPr>
            <w:tcW w:w="1870" w:type="dxa"/>
          </w:tcPr>
          <w:p w14:paraId="426FE724" w14:textId="77777777" w:rsidR="00D476E1" w:rsidRPr="00CF4FBD" w:rsidRDefault="00D476E1" w:rsidP="00D75A62">
            <w:r w:rsidRPr="00CF4FBD">
              <w:t>Excellent</w:t>
            </w:r>
          </w:p>
        </w:tc>
        <w:tc>
          <w:tcPr>
            <w:tcW w:w="1870" w:type="dxa"/>
          </w:tcPr>
          <w:p w14:paraId="5A032B1D" w14:textId="77777777" w:rsidR="00D476E1" w:rsidRPr="00CF4FBD" w:rsidRDefault="00D476E1" w:rsidP="00D75A62">
            <w:r w:rsidRPr="00CF4FBD">
              <w:t>Good</w:t>
            </w:r>
          </w:p>
        </w:tc>
        <w:tc>
          <w:tcPr>
            <w:tcW w:w="1870" w:type="dxa"/>
          </w:tcPr>
          <w:p w14:paraId="4699EBF9" w14:textId="77777777" w:rsidR="00D476E1" w:rsidRPr="00CF4FBD" w:rsidRDefault="00D476E1" w:rsidP="00D75A62">
            <w:r w:rsidRPr="00CF4FBD">
              <w:t>Satisfactory</w:t>
            </w:r>
          </w:p>
        </w:tc>
        <w:tc>
          <w:tcPr>
            <w:tcW w:w="1870" w:type="dxa"/>
          </w:tcPr>
          <w:p w14:paraId="19FE93A4" w14:textId="77777777" w:rsidR="00D476E1" w:rsidRPr="00CF4FBD" w:rsidRDefault="00D476E1" w:rsidP="00D75A62">
            <w:r w:rsidRPr="00CF4FBD">
              <w:t xml:space="preserve">Poor </w:t>
            </w:r>
          </w:p>
        </w:tc>
      </w:tr>
      <w:tr w:rsidR="00D476E1" w:rsidRPr="00CF4FBD" w14:paraId="50A31C1A" w14:textId="77777777" w:rsidTr="00D75A62">
        <w:tc>
          <w:tcPr>
            <w:tcW w:w="1870" w:type="dxa"/>
          </w:tcPr>
          <w:p w14:paraId="07B48A76" w14:textId="77777777" w:rsidR="00D476E1" w:rsidRPr="00CF4FBD" w:rsidRDefault="00D476E1" w:rsidP="00D75A62">
            <w:r w:rsidRPr="00CF4FBD">
              <w:t xml:space="preserve">Evidence base </w:t>
            </w:r>
            <w:r w:rsidRPr="00CF4FBD">
              <w:rPr>
                <w:vertAlign w:val="superscript"/>
              </w:rPr>
              <w:t>A</w:t>
            </w:r>
          </w:p>
        </w:tc>
        <w:tc>
          <w:tcPr>
            <w:tcW w:w="1870" w:type="dxa"/>
          </w:tcPr>
          <w:p w14:paraId="34308611" w14:textId="77777777" w:rsidR="00D476E1" w:rsidRPr="00CF4FBD" w:rsidRDefault="00D476E1" w:rsidP="00D75A62">
            <w:r w:rsidRPr="00CF4FBD">
              <w:t>Several level I or II studies with low risk of bias</w:t>
            </w:r>
          </w:p>
        </w:tc>
        <w:tc>
          <w:tcPr>
            <w:tcW w:w="1870" w:type="dxa"/>
          </w:tcPr>
          <w:p w14:paraId="449412AB" w14:textId="77777777" w:rsidR="00D476E1" w:rsidRPr="00CF4FBD" w:rsidRDefault="00D476E1" w:rsidP="00D75A62">
            <w:r w:rsidRPr="00CF4FBD">
              <w:t>One or two level II studies with low risk of bias or a systematic review or multiple</w:t>
            </w:r>
            <w:r>
              <w:t xml:space="preserve"> </w:t>
            </w:r>
            <w:r w:rsidRPr="00CF4FBD">
              <w:t xml:space="preserve">level III </w:t>
            </w:r>
            <w:r w:rsidRPr="00CF4FBD">
              <w:lastRenderedPageBreak/>
              <w:t>studies with low risk of bias</w:t>
            </w:r>
          </w:p>
        </w:tc>
        <w:tc>
          <w:tcPr>
            <w:tcW w:w="1870" w:type="dxa"/>
          </w:tcPr>
          <w:p w14:paraId="7F9CF173" w14:textId="77777777" w:rsidR="00D476E1" w:rsidRPr="00CF4FBD" w:rsidRDefault="00D476E1" w:rsidP="00D75A62">
            <w:r w:rsidRPr="00CF4FBD">
              <w:lastRenderedPageBreak/>
              <w:t>Level III studies with low risk of bias, or level I or II studies with moderate risk of bias</w:t>
            </w:r>
          </w:p>
        </w:tc>
        <w:tc>
          <w:tcPr>
            <w:tcW w:w="1870" w:type="dxa"/>
          </w:tcPr>
          <w:p w14:paraId="42E7C5FC" w14:textId="77777777" w:rsidR="00D476E1" w:rsidRPr="00CF4FBD" w:rsidRDefault="00D476E1" w:rsidP="00D75A62">
            <w:r w:rsidRPr="00CF4FBD">
              <w:t>Level IV studies, or level I to III studies with high risk of bias</w:t>
            </w:r>
          </w:p>
        </w:tc>
      </w:tr>
      <w:tr w:rsidR="00D476E1" w:rsidRPr="00CF4FBD" w14:paraId="4F1ADA3A" w14:textId="77777777" w:rsidTr="00D75A62">
        <w:tc>
          <w:tcPr>
            <w:tcW w:w="1870" w:type="dxa"/>
          </w:tcPr>
          <w:p w14:paraId="1C79FD32" w14:textId="77777777" w:rsidR="00D476E1" w:rsidRPr="00CF4FBD" w:rsidRDefault="00D476E1" w:rsidP="00D75A62">
            <w:r w:rsidRPr="00CF4FBD">
              <w:t xml:space="preserve">Consistency </w:t>
            </w:r>
            <w:r w:rsidRPr="00CF4FBD">
              <w:rPr>
                <w:vertAlign w:val="superscript"/>
              </w:rPr>
              <w:t>B</w:t>
            </w:r>
            <w:r w:rsidRPr="00CF4FBD">
              <w:t xml:space="preserve"> </w:t>
            </w:r>
          </w:p>
        </w:tc>
        <w:tc>
          <w:tcPr>
            <w:tcW w:w="1870" w:type="dxa"/>
          </w:tcPr>
          <w:p w14:paraId="0EF32249" w14:textId="77777777" w:rsidR="00D476E1" w:rsidRPr="00CF4FBD" w:rsidRDefault="00D476E1" w:rsidP="00D75A62">
            <w:r w:rsidRPr="00CF4FBD">
              <w:t>All studies consistent</w:t>
            </w:r>
          </w:p>
        </w:tc>
        <w:tc>
          <w:tcPr>
            <w:tcW w:w="1870" w:type="dxa"/>
          </w:tcPr>
          <w:p w14:paraId="20770A10" w14:textId="77777777" w:rsidR="00D476E1" w:rsidRPr="00CF4FBD" w:rsidRDefault="00D476E1" w:rsidP="00D75A62">
            <w:r w:rsidRPr="00CF4FBD">
              <w:t>Most studies consistent and inconsistency may be explained</w:t>
            </w:r>
          </w:p>
        </w:tc>
        <w:tc>
          <w:tcPr>
            <w:tcW w:w="1870" w:type="dxa"/>
          </w:tcPr>
          <w:p w14:paraId="11C9BC7E" w14:textId="77777777" w:rsidR="00D476E1" w:rsidRPr="00CF4FBD" w:rsidRDefault="00D476E1" w:rsidP="00D75A62">
            <w:r w:rsidRPr="00CF4FBD">
              <w:t>Some inconsistency reflecting genuine uncertainty around clinical questions</w:t>
            </w:r>
          </w:p>
        </w:tc>
        <w:tc>
          <w:tcPr>
            <w:tcW w:w="1870" w:type="dxa"/>
          </w:tcPr>
          <w:p w14:paraId="0350D57D" w14:textId="77777777" w:rsidR="00D476E1" w:rsidRPr="00CF4FBD" w:rsidRDefault="00D476E1" w:rsidP="00D75A62">
            <w:r w:rsidRPr="00CF4FBD">
              <w:t>Evidence is inconsistent</w:t>
            </w:r>
          </w:p>
        </w:tc>
      </w:tr>
      <w:tr w:rsidR="00D476E1" w:rsidRPr="00CF4FBD" w14:paraId="5F5AA102" w14:textId="77777777" w:rsidTr="00D75A62">
        <w:tc>
          <w:tcPr>
            <w:tcW w:w="1870" w:type="dxa"/>
          </w:tcPr>
          <w:p w14:paraId="5432B74B" w14:textId="77777777" w:rsidR="00D476E1" w:rsidRPr="00CF4FBD" w:rsidRDefault="00D476E1" w:rsidP="00D75A62">
            <w:r w:rsidRPr="00CF4FBD">
              <w:t>Clinical impact</w:t>
            </w:r>
          </w:p>
        </w:tc>
        <w:tc>
          <w:tcPr>
            <w:tcW w:w="1870" w:type="dxa"/>
          </w:tcPr>
          <w:p w14:paraId="38AE8905" w14:textId="77777777" w:rsidR="00D476E1" w:rsidRPr="00CF4FBD" w:rsidRDefault="00D476E1" w:rsidP="00D75A62">
            <w:r w:rsidRPr="00CF4FBD">
              <w:t>Very large</w:t>
            </w:r>
          </w:p>
        </w:tc>
        <w:tc>
          <w:tcPr>
            <w:tcW w:w="1870" w:type="dxa"/>
          </w:tcPr>
          <w:p w14:paraId="1ACB5751" w14:textId="77777777" w:rsidR="00D476E1" w:rsidRPr="00CF4FBD" w:rsidRDefault="00D476E1" w:rsidP="00D75A62">
            <w:r w:rsidRPr="00CF4FBD">
              <w:t>Substantial</w:t>
            </w:r>
          </w:p>
        </w:tc>
        <w:tc>
          <w:tcPr>
            <w:tcW w:w="1870" w:type="dxa"/>
          </w:tcPr>
          <w:p w14:paraId="05E17162" w14:textId="77777777" w:rsidR="00D476E1" w:rsidRPr="00CF4FBD" w:rsidRDefault="00D476E1" w:rsidP="00D75A62">
            <w:r w:rsidRPr="00CF4FBD">
              <w:t>Moderate</w:t>
            </w:r>
          </w:p>
        </w:tc>
        <w:tc>
          <w:tcPr>
            <w:tcW w:w="1870" w:type="dxa"/>
          </w:tcPr>
          <w:p w14:paraId="34C75D7F" w14:textId="77777777" w:rsidR="00D476E1" w:rsidRPr="00CF4FBD" w:rsidRDefault="00D476E1" w:rsidP="00D75A62">
            <w:r w:rsidRPr="00CF4FBD">
              <w:t>Slight or restricted</w:t>
            </w:r>
          </w:p>
        </w:tc>
      </w:tr>
      <w:tr w:rsidR="00D476E1" w:rsidRPr="00CF4FBD" w14:paraId="40B8C5DC" w14:textId="77777777" w:rsidTr="00D75A62">
        <w:tc>
          <w:tcPr>
            <w:tcW w:w="1870" w:type="dxa"/>
          </w:tcPr>
          <w:p w14:paraId="32DFBBB2" w14:textId="6358E323" w:rsidR="00D476E1" w:rsidRPr="00CF4FBD" w:rsidRDefault="00D476E1" w:rsidP="00D75A62">
            <w:r w:rsidRPr="00CF4FBD">
              <w:t>Generali</w:t>
            </w:r>
            <w:r w:rsidR="00C57583">
              <w:t>z</w:t>
            </w:r>
            <w:r w:rsidRPr="00CF4FBD">
              <w:t xml:space="preserve">ability </w:t>
            </w:r>
          </w:p>
        </w:tc>
        <w:tc>
          <w:tcPr>
            <w:tcW w:w="1870" w:type="dxa"/>
          </w:tcPr>
          <w:p w14:paraId="4C3059B4" w14:textId="77777777" w:rsidR="00D476E1" w:rsidRPr="00CF4FBD" w:rsidRDefault="00D476E1" w:rsidP="00D75A62">
            <w:r w:rsidRPr="00CF4FBD">
              <w:t>Population/s studied in body of evidence are the same as the target population in question</w:t>
            </w:r>
          </w:p>
        </w:tc>
        <w:tc>
          <w:tcPr>
            <w:tcW w:w="1870" w:type="dxa"/>
          </w:tcPr>
          <w:p w14:paraId="75EE3783" w14:textId="77777777" w:rsidR="00D476E1" w:rsidRPr="00CF4FBD" w:rsidRDefault="00D476E1" w:rsidP="00D75A62">
            <w:r w:rsidRPr="00CF4FBD">
              <w:t>Population/s studied in the body of evidence are similar to the target population in question</w:t>
            </w:r>
          </w:p>
        </w:tc>
        <w:tc>
          <w:tcPr>
            <w:tcW w:w="1870" w:type="dxa"/>
          </w:tcPr>
          <w:p w14:paraId="4ED496B9" w14:textId="77777777" w:rsidR="00D476E1" w:rsidRPr="00CF4FBD" w:rsidRDefault="00D476E1" w:rsidP="00D75A62">
            <w:r w:rsidRPr="00CF4FBD">
              <w:t>Population/s studied in body of evidence differ to target population in question but it is clinically sensible to apply this evidence to target population</w:t>
            </w:r>
          </w:p>
        </w:tc>
        <w:tc>
          <w:tcPr>
            <w:tcW w:w="1870" w:type="dxa"/>
          </w:tcPr>
          <w:p w14:paraId="4CA7140B" w14:textId="21BF3D0E" w:rsidR="00D476E1" w:rsidRPr="00CF4FBD" w:rsidRDefault="00D476E1" w:rsidP="00D75A62">
            <w:r w:rsidRPr="00CF4FBD">
              <w:t>Population/s studied in body of evidence differ to target population and hard to judge whether it is sensible to generali</w:t>
            </w:r>
            <w:r w:rsidR="00C57583">
              <w:t>z</w:t>
            </w:r>
            <w:r w:rsidRPr="00CF4FBD">
              <w:t>e to target population</w:t>
            </w:r>
          </w:p>
        </w:tc>
      </w:tr>
      <w:tr w:rsidR="00D476E1" w:rsidRPr="00CF4FBD" w14:paraId="4CA0B65B" w14:textId="77777777" w:rsidTr="00D75A62">
        <w:tc>
          <w:tcPr>
            <w:tcW w:w="1870" w:type="dxa"/>
          </w:tcPr>
          <w:p w14:paraId="0B8B56ED" w14:textId="77777777" w:rsidR="00D476E1" w:rsidRPr="00CF4FBD" w:rsidRDefault="00D476E1" w:rsidP="00D75A62">
            <w:r w:rsidRPr="00CF4FBD">
              <w:t xml:space="preserve">Applicability </w:t>
            </w:r>
          </w:p>
        </w:tc>
        <w:tc>
          <w:tcPr>
            <w:tcW w:w="1870" w:type="dxa"/>
          </w:tcPr>
          <w:p w14:paraId="7B9278F1" w14:textId="77777777" w:rsidR="00D476E1" w:rsidRPr="00CF4FBD" w:rsidRDefault="00D476E1" w:rsidP="00D75A62">
            <w:r w:rsidRPr="00CF4FBD">
              <w:t>Directly applicable to Australian context</w:t>
            </w:r>
          </w:p>
        </w:tc>
        <w:tc>
          <w:tcPr>
            <w:tcW w:w="1870" w:type="dxa"/>
          </w:tcPr>
          <w:p w14:paraId="3D36B441" w14:textId="77777777" w:rsidR="00D476E1" w:rsidRPr="00CF4FBD" w:rsidRDefault="00D476E1" w:rsidP="00D75A62">
            <w:r w:rsidRPr="00CF4FBD">
              <w:t>Applicable to Australian context with few caveats</w:t>
            </w:r>
          </w:p>
        </w:tc>
        <w:tc>
          <w:tcPr>
            <w:tcW w:w="1870" w:type="dxa"/>
          </w:tcPr>
          <w:p w14:paraId="76AE0172" w14:textId="77777777" w:rsidR="00D476E1" w:rsidRPr="00CF4FBD" w:rsidRDefault="00D476E1" w:rsidP="00D75A62">
            <w:r w:rsidRPr="00CF4FBD">
              <w:t>Probably applicable to Australian context with some caveats</w:t>
            </w:r>
          </w:p>
        </w:tc>
        <w:tc>
          <w:tcPr>
            <w:tcW w:w="1870" w:type="dxa"/>
          </w:tcPr>
          <w:p w14:paraId="0C7A5878" w14:textId="77777777" w:rsidR="00D476E1" w:rsidRPr="00CF4FBD" w:rsidRDefault="00D476E1" w:rsidP="00D75A62">
            <w:r w:rsidRPr="00CF4FBD">
              <w:t xml:space="preserve">Not applicable to Australian context </w:t>
            </w:r>
          </w:p>
        </w:tc>
      </w:tr>
    </w:tbl>
    <w:p w14:paraId="4C8094D4" w14:textId="77777777" w:rsidR="00D476E1" w:rsidRPr="00D476E1" w:rsidRDefault="00D476E1" w:rsidP="00D476E1">
      <w:pPr>
        <w:pStyle w:val="Heading1"/>
        <w:numPr>
          <w:ilvl w:val="0"/>
          <w:numId w:val="0"/>
        </w:numPr>
        <w:ind w:left="567" w:hanging="567"/>
        <w:rPr>
          <w:b w:val="0"/>
        </w:rPr>
      </w:pPr>
      <w:r w:rsidRPr="00D476E1">
        <w:rPr>
          <w:b w:val="0"/>
          <w:vertAlign w:val="superscript"/>
        </w:rPr>
        <w:t>A</w:t>
      </w:r>
      <w:r w:rsidRPr="00D476E1">
        <w:rPr>
          <w:b w:val="0"/>
        </w:rPr>
        <w:t xml:space="preserve"> Level of evidence determined from the NHMRC evidence hierarchy as in Table 1 (above). </w:t>
      </w:r>
    </w:p>
    <w:p w14:paraId="7BDA65B3" w14:textId="77777777" w:rsidR="00D476E1" w:rsidRPr="00D476E1" w:rsidRDefault="00D476E1" w:rsidP="000B3B81">
      <w:pPr>
        <w:pStyle w:val="Heading1"/>
        <w:numPr>
          <w:ilvl w:val="0"/>
          <w:numId w:val="0"/>
        </w:numPr>
        <w:ind w:left="284" w:hanging="284"/>
        <w:rPr>
          <w:b w:val="0"/>
        </w:rPr>
      </w:pPr>
      <w:r w:rsidRPr="00D476E1">
        <w:rPr>
          <w:b w:val="0"/>
          <w:vertAlign w:val="superscript"/>
        </w:rPr>
        <w:t>B</w:t>
      </w:r>
      <w:r w:rsidRPr="00D476E1">
        <w:rPr>
          <w:b w:val="0"/>
        </w:rPr>
        <w:t xml:space="preserve"> If there is only one study, rank this component as ‘not applicable’. National Health and Medical Research Council (2009) NHMRC levels of evidence and grades for recommendations for guideline developers. Canberra: National Health and Medical Research Council. </w:t>
      </w:r>
    </w:p>
    <w:p w14:paraId="35F43E90" w14:textId="0E8FE066" w:rsidR="00D476E1" w:rsidRDefault="00D476E1" w:rsidP="006E0473"/>
    <w:sectPr w:rsidR="00D476E1" w:rsidSect="00FF29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140" w:right="1179" w:bottom="1140" w:left="1281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7A36" w14:textId="77777777" w:rsidR="00D51DC0" w:rsidRDefault="00D51DC0" w:rsidP="00117666">
      <w:pPr>
        <w:spacing w:after="0"/>
      </w:pPr>
      <w:r>
        <w:separator/>
      </w:r>
    </w:p>
  </w:endnote>
  <w:endnote w:type="continuationSeparator" w:id="0">
    <w:p w14:paraId="47CE53F3" w14:textId="77777777" w:rsidR="00D51DC0" w:rsidRDefault="00D51DC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3D87" w14:textId="77777777" w:rsidR="00D75A62" w:rsidRPr="00577C4C" w:rsidRDefault="00D75A62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3CD52869" w:rsidR="00D75A62" w:rsidRPr="00E9561B" w:rsidRDefault="00D75A62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3CD52869" w:rsidR="00D75A62" w:rsidRPr="00E9561B" w:rsidRDefault="00D75A62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D75A62" w:rsidRPr="00577C4C" w:rsidRDefault="00D75A62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4B8BD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77777777" w:rsidR="00D75A62" w:rsidRPr="00577C4C" w:rsidRDefault="00D75A62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BFF2" w14:textId="77777777" w:rsidR="00D75A62" w:rsidRPr="00577C4C" w:rsidRDefault="00D75A62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D75A62" w:rsidRPr="00577C4C" w:rsidRDefault="00D75A62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77777777" w:rsidR="00D75A62" w:rsidRPr="00577C4C" w:rsidRDefault="00D75A62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2AECD" w14:textId="77777777" w:rsidR="00D51DC0" w:rsidRDefault="00D51DC0" w:rsidP="00117666">
      <w:pPr>
        <w:spacing w:after="0"/>
      </w:pPr>
      <w:r>
        <w:separator/>
      </w:r>
    </w:p>
  </w:footnote>
  <w:footnote w:type="continuationSeparator" w:id="0">
    <w:p w14:paraId="39EBF715" w14:textId="77777777" w:rsidR="00D51DC0" w:rsidRDefault="00D51DC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3A34" w14:textId="5EBD0FC0" w:rsidR="00D75A62" w:rsidRPr="007E3148" w:rsidRDefault="00D75A62" w:rsidP="00F534F5">
    <w:pPr>
      <w:pStyle w:val="Header"/>
      <w:tabs>
        <w:tab w:val="clear" w:pos="4844"/>
        <w:tab w:val="center" w:pos="3828"/>
        <w:tab w:val="left" w:pos="4253"/>
      </w:tabs>
    </w:pPr>
    <w:r>
      <w:tab/>
    </w:r>
    <w:r>
      <w:tab/>
    </w:r>
    <w:r w:rsidRPr="007E3148">
      <w:ptab w:relativeTo="margin" w:alignment="center" w:leader="none"/>
    </w:r>
    <w:r>
      <w:t>Suicide postvention 2014-2019: A systematic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A4BC" w14:textId="663D3E25" w:rsidR="00D75A62" w:rsidRPr="00A53000" w:rsidRDefault="00D75A62" w:rsidP="00F534F5">
    <w:pPr>
      <w:pStyle w:val="Header"/>
      <w:tabs>
        <w:tab w:val="clear" w:pos="4844"/>
        <w:tab w:val="center" w:pos="3402"/>
      </w:tabs>
    </w:pPr>
    <w:r>
      <w:tab/>
    </w:r>
    <w:r>
      <w:tab/>
      <w:t>Suicide postvention 2014-2019: A systematic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27F1" w14:textId="06D24A73" w:rsidR="00D75A62" w:rsidRDefault="00D75A62" w:rsidP="0004392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70965">
      <w:t>Suicide postvention 2014-2019: A systematic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860A7"/>
    <w:multiLevelType w:val="hybridMultilevel"/>
    <w:tmpl w:val="437A281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BC6F29"/>
    <w:multiLevelType w:val="multilevel"/>
    <w:tmpl w:val="C6A8CCEA"/>
    <w:numStyleLink w:val="Headings"/>
  </w:abstractNum>
  <w:abstractNum w:abstractNumId="1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8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6"/>
  </w:num>
  <w:num w:numId="24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startOverride w:val="4"/>
      <w:lvl w:ilvl="1">
        <w:start w:val="4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004BF"/>
    <w:rsid w:val="000014A3"/>
    <w:rsid w:val="000079D2"/>
    <w:rsid w:val="00007BCF"/>
    <w:rsid w:val="00012F3F"/>
    <w:rsid w:val="0001361A"/>
    <w:rsid w:val="00016B44"/>
    <w:rsid w:val="0002237B"/>
    <w:rsid w:val="00024418"/>
    <w:rsid w:val="00026BB2"/>
    <w:rsid w:val="00027B8A"/>
    <w:rsid w:val="00027C76"/>
    <w:rsid w:val="00027FAB"/>
    <w:rsid w:val="00034304"/>
    <w:rsid w:val="00035434"/>
    <w:rsid w:val="00035F5D"/>
    <w:rsid w:val="000409BA"/>
    <w:rsid w:val="00043920"/>
    <w:rsid w:val="00045678"/>
    <w:rsid w:val="000458E4"/>
    <w:rsid w:val="00047C90"/>
    <w:rsid w:val="00050320"/>
    <w:rsid w:val="00051744"/>
    <w:rsid w:val="00052EFC"/>
    <w:rsid w:val="000577F9"/>
    <w:rsid w:val="000604D8"/>
    <w:rsid w:val="00061521"/>
    <w:rsid w:val="00063D84"/>
    <w:rsid w:val="00064762"/>
    <w:rsid w:val="000659E4"/>
    <w:rsid w:val="0006636D"/>
    <w:rsid w:val="00066A5A"/>
    <w:rsid w:val="00066E55"/>
    <w:rsid w:val="00070360"/>
    <w:rsid w:val="000720E5"/>
    <w:rsid w:val="00073687"/>
    <w:rsid w:val="00074C90"/>
    <w:rsid w:val="00076CDE"/>
    <w:rsid w:val="0007777E"/>
    <w:rsid w:val="00077D53"/>
    <w:rsid w:val="000800F3"/>
    <w:rsid w:val="00081394"/>
    <w:rsid w:val="0008470B"/>
    <w:rsid w:val="000852AD"/>
    <w:rsid w:val="00090B77"/>
    <w:rsid w:val="00091A49"/>
    <w:rsid w:val="00092C59"/>
    <w:rsid w:val="00093365"/>
    <w:rsid w:val="00096A98"/>
    <w:rsid w:val="00097A85"/>
    <w:rsid w:val="000A4659"/>
    <w:rsid w:val="000B082C"/>
    <w:rsid w:val="000B2FD4"/>
    <w:rsid w:val="000B34BD"/>
    <w:rsid w:val="000B3587"/>
    <w:rsid w:val="000B3B81"/>
    <w:rsid w:val="000C10B1"/>
    <w:rsid w:val="000C1553"/>
    <w:rsid w:val="000C4E49"/>
    <w:rsid w:val="000C67C6"/>
    <w:rsid w:val="000C77DC"/>
    <w:rsid w:val="000C7E2A"/>
    <w:rsid w:val="000D080D"/>
    <w:rsid w:val="000D3C57"/>
    <w:rsid w:val="000D6AC9"/>
    <w:rsid w:val="000D76F0"/>
    <w:rsid w:val="000E2983"/>
    <w:rsid w:val="000E3BC2"/>
    <w:rsid w:val="000F215F"/>
    <w:rsid w:val="000F4CFB"/>
    <w:rsid w:val="000F6D52"/>
    <w:rsid w:val="00102466"/>
    <w:rsid w:val="00105281"/>
    <w:rsid w:val="001055A9"/>
    <w:rsid w:val="00107637"/>
    <w:rsid w:val="00112027"/>
    <w:rsid w:val="00112EA5"/>
    <w:rsid w:val="00117666"/>
    <w:rsid w:val="001206C1"/>
    <w:rsid w:val="001223A7"/>
    <w:rsid w:val="00126A1F"/>
    <w:rsid w:val="001302F1"/>
    <w:rsid w:val="00133781"/>
    <w:rsid w:val="00134256"/>
    <w:rsid w:val="00134609"/>
    <w:rsid w:val="00137103"/>
    <w:rsid w:val="00137D03"/>
    <w:rsid w:val="00140004"/>
    <w:rsid w:val="00146585"/>
    <w:rsid w:val="00147395"/>
    <w:rsid w:val="00152BC2"/>
    <w:rsid w:val="00153005"/>
    <w:rsid w:val="00153449"/>
    <w:rsid w:val="001536AF"/>
    <w:rsid w:val="00154337"/>
    <w:rsid w:val="00154AA5"/>
    <w:rsid w:val="001552C9"/>
    <w:rsid w:val="001555FF"/>
    <w:rsid w:val="001571AC"/>
    <w:rsid w:val="001644E8"/>
    <w:rsid w:val="0016688F"/>
    <w:rsid w:val="00172ACC"/>
    <w:rsid w:val="00172C68"/>
    <w:rsid w:val="00177D84"/>
    <w:rsid w:val="00182E0D"/>
    <w:rsid w:val="001840EA"/>
    <w:rsid w:val="001846C9"/>
    <w:rsid w:val="0018610F"/>
    <w:rsid w:val="00191774"/>
    <w:rsid w:val="001924B5"/>
    <w:rsid w:val="00193863"/>
    <w:rsid w:val="00194643"/>
    <w:rsid w:val="001964EF"/>
    <w:rsid w:val="001A5635"/>
    <w:rsid w:val="001A5CF5"/>
    <w:rsid w:val="001A7367"/>
    <w:rsid w:val="001B1A2C"/>
    <w:rsid w:val="001B32E6"/>
    <w:rsid w:val="001B40F1"/>
    <w:rsid w:val="001B654F"/>
    <w:rsid w:val="001B7063"/>
    <w:rsid w:val="001C1868"/>
    <w:rsid w:val="001C2E2F"/>
    <w:rsid w:val="001C362B"/>
    <w:rsid w:val="001D1189"/>
    <w:rsid w:val="001D5C23"/>
    <w:rsid w:val="001E1092"/>
    <w:rsid w:val="001E5AA2"/>
    <w:rsid w:val="001E72E2"/>
    <w:rsid w:val="001F2312"/>
    <w:rsid w:val="001F4C07"/>
    <w:rsid w:val="001F51E3"/>
    <w:rsid w:val="001F53D1"/>
    <w:rsid w:val="001F6EDA"/>
    <w:rsid w:val="001F77EE"/>
    <w:rsid w:val="00201341"/>
    <w:rsid w:val="002017A1"/>
    <w:rsid w:val="002038AD"/>
    <w:rsid w:val="00203A14"/>
    <w:rsid w:val="002061C9"/>
    <w:rsid w:val="00207799"/>
    <w:rsid w:val="00216D6C"/>
    <w:rsid w:val="002173CD"/>
    <w:rsid w:val="002205D9"/>
    <w:rsid w:val="00220AEA"/>
    <w:rsid w:val="0022395C"/>
    <w:rsid w:val="002246D3"/>
    <w:rsid w:val="0022662D"/>
    <w:rsid w:val="00226954"/>
    <w:rsid w:val="002308B9"/>
    <w:rsid w:val="002357B6"/>
    <w:rsid w:val="00235D58"/>
    <w:rsid w:val="0023777E"/>
    <w:rsid w:val="00241FBA"/>
    <w:rsid w:val="00245AE8"/>
    <w:rsid w:val="00256DB8"/>
    <w:rsid w:val="00260091"/>
    <w:rsid w:val="002629A3"/>
    <w:rsid w:val="00263410"/>
    <w:rsid w:val="00265660"/>
    <w:rsid w:val="00267D18"/>
    <w:rsid w:val="0027129E"/>
    <w:rsid w:val="00271B6E"/>
    <w:rsid w:val="00273F93"/>
    <w:rsid w:val="002747AD"/>
    <w:rsid w:val="002758F2"/>
    <w:rsid w:val="002807FC"/>
    <w:rsid w:val="00280D78"/>
    <w:rsid w:val="00280E71"/>
    <w:rsid w:val="0028235A"/>
    <w:rsid w:val="00283425"/>
    <w:rsid w:val="002851F0"/>
    <w:rsid w:val="002868E2"/>
    <w:rsid w:val="002869C3"/>
    <w:rsid w:val="00291639"/>
    <w:rsid w:val="002936E4"/>
    <w:rsid w:val="0029554B"/>
    <w:rsid w:val="00296B88"/>
    <w:rsid w:val="002977AE"/>
    <w:rsid w:val="002A3F6B"/>
    <w:rsid w:val="002A47F2"/>
    <w:rsid w:val="002A7751"/>
    <w:rsid w:val="002B10F2"/>
    <w:rsid w:val="002B43EC"/>
    <w:rsid w:val="002B6346"/>
    <w:rsid w:val="002B74F4"/>
    <w:rsid w:val="002B7628"/>
    <w:rsid w:val="002C113F"/>
    <w:rsid w:val="002C3A5D"/>
    <w:rsid w:val="002C4C18"/>
    <w:rsid w:val="002C74CA"/>
    <w:rsid w:val="002C7645"/>
    <w:rsid w:val="002D3428"/>
    <w:rsid w:val="002D7C63"/>
    <w:rsid w:val="002E4B3D"/>
    <w:rsid w:val="002E709F"/>
    <w:rsid w:val="002F4116"/>
    <w:rsid w:val="002F5CC3"/>
    <w:rsid w:val="002F744D"/>
    <w:rsid w:val="003009B3"/>
    <w:rsid w:val="00301A35"/>
    <w:rsid w:val="00303DE6"/>
    <w:rsid w:val="003054A4"/>
    <w:rsid w:val="00310124"/>
    <w:rsid w:val="00311748"/>
    <w:rsid w:val="00316564"/>
    <w:rsid w:val="0031697E"/>
    <w:rsid w:val="0032564C"/>
    <w:rsid w:val="00326E37"/>
    <w:rsid w:val="00333A0E"/>
    <w:rsid w:val="00337651"/>
    <w:rsid w:val="00341F40"/>
    <w:rsid w:val="00343318"/>
    <w:rsid w:val="00347FC3"/>
    <w:rsid w:val="00352C6B"/>
    <w:rsid w:val="003544FB"/>
    <w:rsid w:val="00354A40"/>
    <w:rsid w:val="0035528A"/>
    <w:rsid w:val="00356DE2"/>
    <w:rsid w:val="00357068"/>
    <w:rsid w:val="0035730B"/>
    <w:rsid w:val="00362616"/>
    <w:rsid w:val="00365D63"/>
    <w:rsid w:val="00366156"/>
    <w:rsid w:val="00367672"/>
    <w:rsid w:val="0036793B"/>
    <w:rsid w:val="003718CC"/>
    <w:rsid w:val="00371DCA"/>
    <w:rsid w:val="00372682"/>
    <w:rsid w:val="00376CC5"/>
    <w:rsid w:val="00377369"/>
    <w:rsid w:val="00377C1E"/>
    <w:rsid w:val="003949F3"/>
    <w:rsid w:val="003952F0"/>
    <w:rsid w:val="0039693B"/>
    <w:rsid w:val="00396DBF"/>
    <w:rsid w:val="00397ABB"/>
    <w:rsid w:val="00397DDE"/>
    <w:rsid w:val="003A472F"/>
    <w:rsid w:val="003B54DD"/>
    <w:rsid w:val="003C3DAA"/>
    <w:rsid w:val="003D2F2D"/>
    <w:rsid w:val="003E3992"/>
    <w:rsid w:val="003F4184"/>
    <w:rsid w:val="003F4DA8"/>
    <w:rsid w:val="003F525D"/>
    <w:rsid w:val="003F6781"/>
    <w:rsid w:val="00401590"/>
    <w:rsid w:val="00404826"/>
    <w:rsid w:val="00416778"/>
    <w:rsid w:val="004201F4"/>
    <w:rsid w:val="00422C56"/>
    <w:rsid w:val="00422C94"/>
    <w:rsid w:val="00424EF2"/>
    <w:rsid w:val="00425BB6"/>
    <w:rsid w:val="004318B9"/>
    <w:rsid w:val="004376C5"/>
    <w:rsid w:val="00442CE5"/>
    <w:rsid w:val="00445593"/>
    <w:rsid w:val="00451ED6"/>
    <w:rsid w:val="004531D4"/>
    <w:rsid w:val="004602A0"/>
    <w:rsid w:val="00461A33"/>
    <w:rsid w:val="00462C07"/>
    <w:rsid w:val="00463E3D"/>
    <w:rsid w:val="004645AE"/>
    <w:rsid w:val="004656D5"/>
    <w:rsid w:val="00470701"/>
    <w:rsid w:val="00470F54"/>
    <w:rsid w:val="004722E6"/>
    <w:rsid w:val="00476630"/>
    <w:rsid w:val="00476BE8"/>
    <w:rsid w:val="0048313E"/>
    <w:rsid w:val="00483A7D"/>
    <w:rsid w:val="0049149C"/>
    <w:rsid w:val="00497A34"/>
    <w:rsid w:val="004A40C5"/>
    <w:rsid w:val="004A4F02"/>
    <w:rsid w:val="004A524C"/>
    <w:rsid w:val="004A623A"/>
    <w:rsid w:val="004B05D8"/>
    <w:rsid w:val="004B0669"/>
    <w:rsid w:val="004B51EB"/>
    <w:rsid w:val="004B5B77"/>
    <w:rsid w:val="004C00B4"/>
    <w:rsid w:val="004C44B9"/>
    <w:rsid w:val="004D2862"/>
    <w:rsid w:val="004D3E33"/>
    <w:rsid w:val="004D45C2"/>
    <w:rsid w:val="004E0DA9"/>
    <w:rsid w:val="004E11EA"/>
    <w:rsid w:val="004E3058"/>
    <w:rsid w:val="004E3086"/>
    <w:rsid w:val="004E5892"/>
    <w:rsid w:val="004E668F"/>
    <w:rsid w:val="004F06C8"/>
    <w:rsid w:val="004F1FD6"/>
    <w:rsid w:val="004F770F"/>
    <w:rsid w:val="005010D3"/>
    <w:rsid w:val="0050291F"/>
    <w:rsid w:val="00503BBF"/>
    <w:rsid w:val="00506724"/>
    <w:rsid w:val="00507B0A"/>
    <w:rsid w:val="00512F30"/>
    <w:rsid w:val="005132E7"/>
    <w:rsid w:val="00513828"/>
    <w:rsid w:val="0051775D"/>
    <w:rsid w:val="0052286E"/>
    <w:rsid w:val="005239DC"/>
    <w:rsid w:val="00524061"/>
    <w:rsid w:val="005250F2"/>
    <w:rsid w:val="005257A6"/>
    <w:rsid w:val="00527C8B"/>
    <w:rsid w:val="0053090A"/>
    <w:rsid w:val="00532CEA"/>
    <w:rsid w:val="00534FF5"/>
    <w:rsid w:val="005378F6"/>
    <w:rsid w:val="00540B18"/>
    <w:rsid w:val="00541266"/>
    <w:rsid w:val="00541DE4"/>
    <w:rsid w:val="00543F1C"/>
    <w:rsid w:val="0054719D"/>
    <w:rsid w:val="00551AA7"/>
    <w:rsid w:val="0056234D"/>
    <w:rsid w:val="00562943"/>
    <w:rsid w:val="00562C16"/>
    <w:rsid w:val="00564D25"/>
    <w:rsid w:val="00570D0B"/>
    <w:rsid w:val="00570D58"/>
    <w:rsid w:val="0057247B"/>
    <w:rsid w:val="0058079F"/>
    <w:rsid w:val="00580FD6"/>
    <w:rsid w:val="005840D6"/>
    <w:rsid w:val="00584652"/>
    <w:rsid w:val="00590CE9"/>
    <w:rsid w:val="005A1D84"/>
    <w:rsid w:val="005A272A"/>
    <w:rsid w:val="005A439A"/>
    <w:rsid w:val="005A68F3"/>
    <w:rsid w:val="005A70EA"/>
    <w:rsid w:val="005A7296"/>
    <w:rsid w:val="005B04E1"/>
    <w:rsid w:val="005C2BA8"/>
    <w:rsid w:val="005C3963"/>
    <w:rsid w:val="005C3D7C"/>
    <w:rsid w:val="005C4C95"/>
    <w:rsid w:val="005C7C8C"/>
    <w:rsid w:val="005D0385"/>
    <w:rsid w:val="005D05B0"/>
    <w:rsid w:val="005D1840"/>
    <w:rsid w:val="005D2ED2"/>
    <w:rsid w:val="005D35E4"/>
    <w:rsid w:val="005D77E1"/>
    <w:rsid w:val="005D7910"/>
    <w:rsid w:val="005E1D7C"/>
    <w:rsid w:val="005E1FB3"/>
    <w:rsid w:val="005E434D"/>
    <w:rsid w:val="0060288E"/>
    <w:rsid w:val="006058B8"/>
    <w:rsid w:val="00607E05"/>
    <w:rsid w:val="00612090"/>
    <w:rsid w:val="00615F4A"/>
    <w:rsid w:val="0061734C"/>
    <w:rsid w:val="00620C49"/>
    <w:rsid w:val="0062154F"/>
    <w:rsid w:val="0062172F"/>
    <w:rsid w:val="00623058"/>
    <w:rsid w:val="00625863"/>
    <w:rsid w:val="0063103E"/>
    <w:rsid w:val="00631A8C"/>
    <w:rsid w:val="00633914"/>
    <w:rsid w:val="0063459B"/>
    <w:rsid w:val="00634CD6"/>
    <w:rsid w:val="006378BB"/>
    <w:rsid w:val="00640B82"/>
    <w:rsid w:val="0064346D"/>
    <w:rsid w:val="0064531F"/>
    <w:rsid w:val="00650AAE"/>
    <w:rsid w:val="00651CA2"/>
    <w:rsid w:val="0065244A"/>
    <w:rsid w:val="00653D60"/>
    <w:rsid w:val="00660D05"/>
    <w:rsid w:val="006635A8"/>
    <w:rsid w:val="00664AA7"/>
    <w:rsid w:val="00671D9A"/>
    <w:rsid w:val="00672525"/>
    <w:rsid w:val="006736B5"/>
    <w:rsid w:val="00673952"/>
    <w:rsid w:val="0067585E"/>
    <w:rsid w:val="00675D91"/>
    <w:rsid w:val="00680D83"/>
    <w:rsid w:val="00681821"/>
    <w:rsid w:val="0068383D"/>
    <w:rsid w:val="00686C32"/>
    <w:rsid w:val="00686C9D"/>
    <w:rsid w:val="00690DE9"/>
    <w:rsid w:val="00694BC8"/>
    <w:rsid w:val="006A00E0"/>
    <w:rsid w:val="006A1835"/>
    <w:rsid w:val="006A4490"/>
    <w:rsid w:val="006B0F84"/>
    <w:rsid w:val="006B2D5B"/>
    <w:rsid w:val="006B5DC6"/>
    <w:rsid w:val="006B7D14"/>
    <w:rsid w:val="006C04A7"/>
    <w:rsid w:val="006C0B95"/>
    <w:rsid w:val="006C376A"/>
    <w:rsid w:val="006C4579"/>
    <w:rsid w:val="006C5842"/>
    <w:rsid w:val="006D1062"/>
    <w:rsid w:val="006D1272"/>
    <w:rsid w:val="006D1F18"/>
    <w:rsid w:val="006D2929"/>
    <w:rsid w:val="006D5B93"/>
    <w:rsid w:val="006E0473"/>
    <w:rsid w:val="006E06D0"/>
    <w:rsid w:val="006E3668"/>
    <w:rsid w:val="006F1C9F"/>
    <w:rsid w:val="006F2420"/>
    <w:rsid w:val="006F57CC"/>
    <w:rsid w:val="006F6121"/>
    <w:rsid w:val="00700CF9"/>
    <w:rsid w:val="007012F8"/>
    <w:rsid w:val="00701BEE"/>
    <w:rsid w:val="0070411A"/>
    <w:rsid w:val="007141DF"/>
    <w:rsid w:val="00723AAD"/>
    <w:rsid w:val="00725469"/>
    <w:rsid w:val="00725A7D"/>
    <w:rsid w:val="00730584"/>
    <w:rsid w:val="0073085C"/>
    <w:rsid w:val="00731F39"/>
    <w:rsid w:val="00732BA6"/>
    <w:rsid w:val="00733784"/>
    <w:rsid w:val="007366C6"/>
    <w:rsid w:val="00737934"/>
    <w:rsid w:val="00740149"/>
    <w:rsid w:val="00744411"/>
    <w:rsid w:val="00744A9C"/>
    <w:rsid w:val="00745025"/>
    <w:rsid w:val="0074569D"/>
    <w:rsid w:val="00746505"/>
    <w:rsid w:val="00746B0B"/>
    <w:rsid w:val="007475D3"/>
    <w:rsid w:val="00747CD1"/>
    <w:rsid w:val="007506D9"/>
    <w:rsid w:val="007507A7"/>
    <w:rsid w:val="0075185B"/>
    <w:rsid w:val="00756D20"/>
    <w:rsid w:val="00757BD7"/>
    <w:rsid w:val="00760C7C"/>
    <w:rsid w:val="00762025"/>
    <w:rsid w:val="007653A0"/>
    <w:rsid w:val="00765CB1"/>
    <w:rsid w:val="00766445"/>
    <w:rsid w:val="00773B3C"/>
    <w:rsid w:val="00774C6D"/>
    <w:rsid w:val="00775842"/>
    <w:rsid w:val="007778B8"/>
    <w:rsid w:val="00786648"/>
    <w:rsid w:val="00790BB3"/>
    <w:rsid w:val="00792043"/>
    <w:rsid w:val="00797EDD"/>
    <w:rsid w:val="007B0322"/>
    <w:rsid w:val="007B0462"/>
    <w:rsid w:val="007B136A"/>
    <w:rsid w:val="007B16B9"/>
    <w:rsid w:val="007B293B"/>
    <w:rsid w:val="007C01E4"/>
    <w:rsid w:val="007C0E3F"/>
    <w:rsid w:val="007C206C"/>
    <w:rsid w:val="007C5729"/>
    <w:rsid w:val="007C5DC3"/>
    <w:rsid w:val="007C6A37"/>
    <w:rsid w:val="007C6E35"/>
    <w:rsid w:val="007D4F7D"/>
    <w:rsid w:val="007D56CA"/>
    <w:rsid w:val="007E1991"/>
    <w:rsid w:val="007E2FE6"/>
    <w:rsid w:val="007F2676"/>
    <w:rsid w:val="007F473B"/>
    <w:rsid w:val="007F59A9"/>
    <w:rsid w:val="007F6682"/>
    <w:rsid w:val="007F7E46"/>
    <w:rsid w:val="0080066B"/>
    <w:rsid w:val="00801245"/>
    <w:rsid w:val="00810C5B"/>
    <w:rsid w:val="008111E4"/>
    <w:rsid w:val="0081301C"/>
    <w:rsid w:val="008136C2"/>
    <w:rsid w:val="00813D39"/>
    <w:rsid w:val="00814371"/>
    <w:rsid w:val="008149D2"/>
    <w:rsid w:val="008175F0"/>
    <w:rsid w:val="00817DD6"/>
    <w:rsid w:val="00820E81"/>
    <w:rsid w:val="00821A74"/>
    <w:rsid w:val="008223BC"/>
    <w:rsid w:val="00823247"/>
    <w:rsid w:val="00830390"/>
    <w:rsid w:val="00835618"/>
    <w:rsid w:val="0083753D"/>
    <w:rsid w:val="00837AC1"/>
    <w:rsid w:val="008403BC"/>
    <w:rsid w:val="00840DDC"/>
    <w:rsid w:val="008422C6"/>
    <w:rsid w:val="00843553"/>
    <w:rsid w:val="00846950"/>
    <w:rsid w:val="0085070F"/>
    <w:rsid w:val="00852659"/>
    <w:rsid w:val="008531BE"/>
    <w:rsid w:val="008533AF"/>
    <w:rsid w:val="00854B82"/>
    <w:rsid w:val="00854F18"/>
    <w:rsid w:val="00856E56"/>
    <w:rsid w:val="008629A9"/>
    <w:rsid w:val="00862F1C"/>
    <w:rsid w:val="008723F6"/>
    <w:rsid w:val="00877299"/>
    <w:rsid w:val="00877CEC"/>
    <w:rsid w:val="00883135"/>
    <w:rsid w:val="0088348E"/>
    <w:rsid w:val="008848B5"/>
    <w:rsid w:val="0088513A"/>
    <w:rsid w:val="0088596A"/>
    <w:rsid w:val="008876CC"/>
    <w:rsid w:val="00890987"/>
    <w:rsid w:val="00893C19"/>
    <w:rsid w:val="0089503A"/>
    <w:rsid w:val="00895521"/>
    <w:rsid w:val="008972E0"/>
    <w:rsid w:val="0089741E"/>
    <w:rsid w:val="008979A8"/>
    <w:rsid w:val="008A490D"/>
    <w:rsid w:val="008A5CC0"/>
    <w:rsid w:val="008A5F6B"/>
    <w:rsid w:val="008B3CA3"/>
    <w:rsid w:val="008B42BB"/>
    <w:rsid w:val="008B670F"/>
    <w:rsid w:val="008C24A3"/>
    <w:rsid w:val="008C6488"/>
    <w:rsid w:val="008D19D6"/>
    <w:rsid w:val="008D206B"/>
    <w:rsid w:val="008D4739"/>
    <w:rsid w:val="008D627E"/>
    <w:rsid w:val="008D6C8D"/>
    <w:rsid w:val="008D703D"/>
    <w:rsid w:val="008D7FAB"/>
    <w:rsid w:val="008E05D0"/>
    <w:rsid w:val="008E0867"/>
    <w:rsid w:val="008E2B54"/>
    <w:rsid w:val="008E40EC"/>
    <w:rsid w:val="008E4404"/>
    <w:rsid w:val="008E449D"/>
    <w:rsid w:val="008E58C7"/>
    <w:rsid w:val="008F32AA"/>
    <w:rsid w:val="008F3593"/>
    <w:rsid w:val="008F5021"/>
    <w:rsid w:val="00901D48"/>
    <w:rsid w:val="00902017"/>
    <w:rsid w:val="00902877"/>
    <w:rsid w:val="009063EB"/>
    <w:rsid w:val="00906BF0"/>
    <w:rsid w:val="00906D19"/>
    <w:rsid w:val="00907EE4"/>
    <w:rsid w:val="00910314"/>
    <w:rsid w:val="00914D0B"/>
    <w:rsid w:val="00923E0E"/>
    <w:rsid w:val="0092596E"/>
    <w:rsid w:val="009309DA"/>
    <w:rsid w:val="00931166"/>
    <w:rsid w:val="0094183F"/>
    <w:rsid w:val="00943573"/>
    <w:rsid w:val="0095206B"/>
    <w:rsid w:val="00955EF3"/>
    <w:rsid w:val="00961548"/>
    <w:rsid w:val="00965BE2"/>
    <w:rsid w:val="00971858"/>
    <w:rsid w:val="00971B61"/>
    <w:rsid w:val="00976B6C"/>
    <w:rsid w:val="00980224"/>
    <w:rsid w:val="009807A8"/>
    <w:rsid w:val="00980C31"/>
    <w:rsid w:val="00983EAB"/>
    <w:rsid w:val="00985760"/>
    <w:rsid w:val="00987B13"/>
    <w:rsid w:val="009955FF"/>
    <w:rsid w:val="009A0D66"/>
    <w:rsid w:val="009A12E6"/>
    <w:rsid w:val="009B5BAB"/>
    <w:rsid w:val="009B665C"/>
    <w:rsid w:val="009C04BD"/>
    <w:rsid w:val="009C1A69"/>
    <w:rsid w:val="009C23F5"/>
    <w:rsid w:val="009C547E"/>
    <w:rsid w:val="009C7633"/>
    <w:rsid w:val="009D0649"/>
    <w:rsid w:val="009D16C6"/>
    <w:rsid w:val="009D259D"/>
    <w:rsid w:val="009D43B0"/>
    <w:rsid w:val="009D5788"/>
    <w:rsid w:val="009D7FF2"/>
    <w:rsid w:val="009E03AC"/>
    <w:rsid w:val="009E0DD1"/>
    <w:rsid w:val="009E28F4"/>
    <w:rsid w:val="009E3536"/>
    <w:rsid w:val="009E48DE"/>
    <w:rsid w:val="009E4A17"/>
    <w:rsid w:val="009E4F65"/>
    <w:rsid w:val="009E7B58"/>
    <w:rsid w:val="009F3E70"/>
    <w:rsid w:val="009F414B"/>
    <w:rsid w:val="009F481A"/>
    <w:rsid w:val="009F778E"/>
    <w:rsid w:val="00A01A1A"/>
    <w:rsid w:val="00A03326"/>
    <w:rsid w:val="00A07562"/>
    <w:rsid w:val="00A12CBE"/>
    <w:rsid w:val="00A17579"/>
    <w:rsid w:val="00A207C0"/>
    <w:rsid w:val="00A23CC5"/>
    <w:rsid w:val="00A30645"/>
    <w:rsid w:val="00A30AA9"/>
    <w:rsid w:val="00A320B1"/>
    <w:rsid w:val="00A3261A"/>
    <w:rsid w:val="00A339F9"/>
    <w:rsid w:val="00A34139"/>
    <w:rsid w:val="00A34FCE"/>
    <w:rsid w:val="00A35726"/>
    <w:rsid w:val="00A43476"/>
    <w:rsid w:val="00A50D9D"/>
    <w:rsid w:val="00A53000"/>
    <w:rsid w:val="00A545C6"/>
    <w:rsid w:val="00A561BC"/>
    <w:rsid w:val="00A62580"/>
    <w:rsid w:val="00A648D7"/>
    <w:rsid w:val="00A652D0"/>
    <w:rsid w:val="00A66B8C"/>
    <w:rsid w:val="00A72155"/>
    <w:rsid w:val="00A73194"/>
    <w:rsid w:val="00A757F3"/>
    <w:rsid w:val="00A75F87"/>
    <w:rsid w:val="00A7640F"/>
    <w:rsid w:val="00A80586"/>
    <w:rsid w:val="00A81046"/>
    <w:rsid w:val="00A83093"/>
    <w:rsid w:val="00A86CF0"/>
    <w:rsid w:val="00A93E8C"/>
    <w:rsid w:val="00A9400C"/>
    <w:rsid w:val="00A95D5F"/>
    <w:rsid w:val="00A95D8B"/>
    <w:rsid w:val="00AA42CB"/>
    <w:rsid w:val="00AA6635"/>
    <w:rsid w:val="00AB245D"/>
    <w:rsid w:val="00AC0270"/>
    <w:rsid w:val="00AC3EA3"/>
    <w:rsid w:val="00AC3ECB"/>
    <w:rsid w:val="00AC792D"/>
    <w:rsid w:val="00AD0517"/>
    <w:rsid w:val="00AD2133"/>
    <w:rsid w:val="00AD31DA"/>
    <w:rsid w:val="00AD4AB4"/>
    <w:rsid w:val="00AD59F5"/>
    <w:rsid w:val="00AD6044"/>
    <w:rsid w:val="00AD6556"/>
    <w:rsid w:val="00AD735B"/>
    <w:rsid w:val="00AE6149"/>
    <w:rsid w:val="00AF41D8"/>
    <w:rsid w:val="00AF5CEB"/>
    <w:rsid w:val="00AF7130"/>
    <w:rsid w:val="00B03545"/>
    <w:rsid w:val="00B04975"/>
    <w:rsid w:val="00B074C4"/>
    <w:rsid w:val="00B10FCB"/>
    <w:rsid w:val="00B124CA"/>
    <w:rsid w:val="00B13349"/>
    <w:rsid w:val="00B1359C"/>
    <w:rsid w:val="00B3142B"/>
    <w:rsid w:val="00B35C86"/>
    <w:rsid w:val="00B36A4C"/>
    <w:rsid w:val="00B37B20"/>
    <w:rsid w:val="00B401D3"/>
    <w:rsid w:val="00B406B4"/>
    <w:rsid w:val="00B46272"/>
    <w:rsid w:val="00B46960"/>
    <w:rsid w:val="00B46FEA"/>
    <w:rsid w:val="00B47412"/>
    <w:rsid w:val="00B51DAF"/>
    <w:rsid w:val="00B52377"/>
    <w:rsid w:val="00B533A2"/>
    <w:rsid w:val="00B53829"/>
    <w:rsid w:val="00B606A1"/>
    <w:rsid w:val="00B60E5D"/>
    <w:rsid w:val="00B657B8"/>
    <w:rsid w:val="00B6663D"/>
    <w:rsid w:val="00B66927"/>
    <w:rsid w:val="00B738C5"/>
    <w:rsid w:val="00B74100"/>
    <w:rsid w:val="00B74362"/>
    <w:rsid w:val="00B76A53"/>
    <w:rsid w:val="00B77DB1"/>
    <w:rsid w:val="00B80D11"/>
    <w:rsid w:val="00B82A88"/>
    <w:rsid w:val="00B8465F"/>
    <w:rsid w:val="00B84920"/>
    <w:rsid w:val="00B8556A"/>
    <w:rsid w:val="00B96124"/>
    <w:rsid w:val="00B96B96"/>
    <w:rsid w:val="00BA3A57"/>
    <w:rsid w:val="00BA4B82"/>
    <w:rsid w:val="00BA4BF9"/>
    <w:rsid w:val="00BA5F4B"/>
    <w:rsid w:val="00BA70A6"/>
    <w:rsid w:val="00BB413D"/>
    <w:rsid w:val="00BD2626"/>
    <w:rsid w:val="00BD6A65"/>
    <w:rsid w:val="00BE1C82"/>
    <w:rsid w:val="00BF394B"/>
    <w:rsid w:val="00BF472F"/>
    <w:rsid w:val="00BF6AE2"/>
    <w:rsid w:val="00C00B6C"/>
    <w:rsid w:val="00C012A3"/>
    <w:rsid w:val="00C01306"/>
    <w:rsid w:val="00C018A5"/>
    <w:rsid w:val="00C04B09"/>
    <w:rsid w:val="00C05686"/>
    <w:rsid w:val="00C10CE0"/>
    <w:rsid w:val="00C14015"/>
    <w:rsid w:val="00C14A5D"/>
    <w:rsid w:val="00C16F19"/>
    <w:rsid w:val="00C17AF5"/>
    <w:rsid w:val="00C2086F"/>
    <w:rsid w:val="00C24354"/>
    <w:rsid w:val="00C3252E"/>
    <w:rsid w:val="00C44FE6"/>
    <w:rsid w:val="00C474D1"/>
    <w:rsid w:val="00C52A7B"/>
    <w:rsid w:val="00C530C8"/>
    <w:rsid w:val="00C53496"/>
    <w:rsid w:val="00C56CB1"/>
    <w:rsid w:val="00C57583"/>
    <w:rsid w:val="00C5794F"/>
    <w:rsid w:val="00C6290B"/>
    <w:rsid w:val="00C62F01"/>
    <w:rsid w:val="00C6324C"/>
    <w:rsid w:val="00C64AA5"/>
    <w:rsid w:val="00C66E21"/>
    <w:rsid w:val="00C679AA"/>
    <w:rsid w:val="00C70C1C"/>
    <w:rsid w:val="00C724CF"/>
    <w:rsid w:val="00C7486D"/>
    <w:rsid w:val="00C75972"/>
    <w:rsid w:val="00C770E8"/>
    <w:rsid w:val="00C77908"/>
    <w:rsid w:val="00C826DC"/>
    <w:rsid w:val="00C82792"/>
    <w:rsid w:val="00C82A26"/>
    <w:rsid w:val="00C91C8E"/>
    <w:rsid w:val="00C948FD"/>
    <w:rsid w:val="00CA11EE"/>
    <w:rsid w:val="00CA24A1"/>
    <w:rsid w:val="00CA5E83"/>
    <w:rsid w:val="00CB202E"/>
    <w:rsid w:val="00CB25C7"/>
    <w:rsid w:val="00CB43D5"/>
    <w:rsid w:val="00CB4D70"/>
    <w:rsid w:val="00CB57A5"/>
    <w:rsid w:val="00CB5B1E"/>
    <w:rsid w:val="00CB5CDD"/>
    <w:rsid w:val="00CB78A8"/>
    <w:rsid w:val="00CC569F"/>
    <w:rsid w:val="00CC5759"/>
    <w:rsid w:val="00CC625B"/>
    <w:rsid w:val="00CC76F9"/>
    <w:rsid w:val="00CD066B"/>
    <w:rsid w:val="00CD2226"/>
    <w:rsid w:val="00CD46E2"/>
    <w:rsid w:val="00CF12E6"/>
    <w:rsid w:val="00CF28E9"/>
    <w:rsid w:val="00CF5827"/>
    <w:rsid w:val="00CF5CEF"/>
    <w:rsid w:val="00CF6609"/>
    <w:rsid w:val="00D00D0B"/>
    <w:rsid w:val="00D0147C"/>
    <w:rsid w:val="00D0276A"/>
    <w:rsid w:val="00D04B69"/>
    <w:rsid w:val="00D051BE"/>
    <w:rsid w:val="00D0559B"/>
    <w:rsid w:val="00D066E9"/>
    <w:rsid w:val="00D21153"/>
    <w:rsid w:val="00D2220B"/>
    <w:rsid w:val="00D22281"/>
    <w:rsid w:val="00D22BB5"/>
    <w:rsid w:val="00D234D7"/>
    <w:rsid w:val="00D25F9D"/>
    <w:rsid w:val="00D278F6"/>
    <w:rsid w:val="00D31784"/>
    <w:rsid w:val="00D3307D"/>
    <w:rsid w:val="00D349D9"/>
    <w:rsid w:val="00D407F6"/>
    <w:rsid w:val="00D41AF9"/>
    <w:rsid w:val="00D420DF"/>
    <w:rsid w:val="00D46D66"/>
    <w:rsid w:val="00D476E1"/>
    <w:rsid w:val="00D479B5"/>
    <w:rsid w:val="00D5118A"/>
    <w:rsid w:val="00D519F8"/>
    <w:rsid w:val="00D51DC0"/>
    <w:rsid w:val="00D537FA"/>
    <w:rsid w:val="00D54E70"/>
    <w:rsid w:val="00D5547D"/>
    <w:rsid w:val="00D558C4"/>
    <w:rsid w:val="00D61051"/>
    <w:rsid w:val="00D61597"/>
    <w:rsid w:val="00D627DF"/>
    <w:rsid w:val="00D63F26"/>
    <w:rsid w:val="00D6530A"/>
    <w:rsid w:val="00D6760F"/>
    <w:rsid w:val="00D72384"/>
    <w:rsid w:val="00D75A62"/>
    <w:rsid w:val="00D76497"/>
    <w:rsid w:val="00D77622"/>
    <w:rsid w:val="00D80D99"/>
    <w:rsid w:val="00D82E5D"/>
    <w:rsid w:val="00D854EA"/>
    <w:rsid w:val="00D90CE6"/>
    <w:rsid w:val="00D91625"/>
    <w:rsid w:val="00D91B5A"/>
    <w:rsid w:val="00D92738"/>
    <w:rsid w:val="00D9503C"/>
    <w:rsid w:val="00D9703C"/>
    <w:rsid w:val="00D97842"/>
    <w:rsid w:val="00DA050D"/>
    <w:rsid w:val="00DA0772"/>
    <w:rsid w:val="00DA1636"/>
    <w:rsid w:val="00DA3E69"/>
    <w:rsid w:val="00DA70E7"/>
    <w:rsid w:val="00DC2862"/>
    <w:rsid w:val="00DC491E"/>
    <w:rsid w:val="00DD173C"/>
    <w:rsid w:val="00DD2011"/>
    <w:rsid w:val="00DD3555"/>
    <w:rsid w:val="00DD5908"/>
    <w:rsid w:val="00DD73EF"/>
    <w:rsid w:val="00DE1204"/>
    <w:rsid w:val="00DE23E8"/>
    <w:rsid w:val="00DE2C4C"/>
    <w:rsid w:val="00DE3FC8"/>
    <w:rsid w:val="00DE46F1"/>
    <w:rsid w:val="00DE5D6D"/>
    <w:rsid w:val="00DE7712"/>
    <w:rsid w:val="00DF0720"/>
    <w:rsid w:val="00DF3EBD"/>
    <w:rsid w:val="00DF3EC4"/>
    <w:rsid w:val="00E0000B"/>
    <w:rsid w:val="00E0128B"/>
    <w:rsid w:val="00E01824"/>
    <w:rsid w:val="00E14AF1"/>
    <w:rsid w:val="00E17E69"/>
    <w:rsid w:val="00E223EF"/>
    <w:rsid w:val="00E245AD"/>
    <w:rsid w:val="00E258FB"/>
    <w:rsid w:val="00E2610A"/>
    <w:rsid w:val="00E30BFF"/>
    <w:rsid w:val="00E31120"/>
    <w:rsid w:val="00E34527"/>
    <w:rsid w:val="00E358AD"/>
    <w:rsid w:val="00E37168"/>
    <w:rsid w:val="00E4148D"/>
    <w:rsid w:val="00E47D56"/>
    <w:rsid w:val="00E50547"/>
    <w:rsid w:val="00E51A26"/>
    <w:rsid w:val="00E533AA"/>
    <w:rsid w:val="00E54E56"/>
    <w:rsid w:val="00E5697B"/>
    <w:rsid w:val="00E6251C"/>
    <w:rsid w:val="00E62F15"/>
    <w:rsid w:val="00E64E17"/>
    <w:rsid w:val="00E73F6F"/>
    <w:rsid w:val="00E7437F"/>
    <w:rsid w:val="00E74E2F"/>
    <w:rsid w:val="00E777F9"/>
    <w:rsid w:val="00E80AF0"/>
    <w:rsid w:val="00E80F52"/>
    <w:rsid w:val="00E8173E"/>
    <w:rsid w:val="00E85997"/>
    <w:rsid w:val="00E86FF7"/>
    <w:rsid w:val="00E900D7"/>
    <w:rsid w:val="00E94963"/>
    <w:rsid w:val="00E96175"/>
    <w:rsid w:val="00E973B4"/>
    <w:rsid w:val="00EA0FA9"/>
    <w:rsid w:val="00EA21BA"/>
    <w:rsid w:val="00EA39B6"/>
    <w:rsid w:val="00EA3D3C"/>
    <w:rsid w:val="00EA48BC"/>
    <w:rsid w:val="00EA55F6"/>
    <w:rsid w:val="00EA799C"/>
    <w:rsid w:val="00EB0002"/>
    <w:rsid w:val="00EB118A"/>
    <w:rsid w:val="00EB1FC5"/>
    <w:rsid w:val="00EB2727"/>
    <w:rsid w:val="00EB58FB"/>
    <w:rsid w:val="00EB6647"/>
    <w:rsid w:val="00EB68F0"/>
    <w:rsid w:val="00EB69A4"/>
    <w:rsid w:val="00EB7CFB"/>
    <w:rsid w:val="00EB7D1A"/>
    <w:rsid w:val="00EC7CC3"/>
    <w:rsid w:val="00ED1066"/>
    <w:rsid w:val="00ED5A06"/>
    <w:rsid w:val="00ED5A0F"/>
    <w:rsid w:val="00EE4813"/>
    <w:rsid w:val="00EF18F0"/>
    <w:rsid w:val="00EF6727"/>
    <w:rsid w:val="00F003E5"/>
    <w:rsid w:val="00F05CA2"/>
    <w:rsid w:val="00F063F2"/>
    <w:rsid w:val="00F07993"/>
    <w:rsid w:val="00F10A47"/>
    <w:rsid w:val="00F15184"/>
    <w:rsid w:val="00F309A0"/>
    <w:rsid w:val="00F31281"/>
    <w:rsid w:val="00F342B5"/>
    <w:rsid w:val="00F35712"/>
    <w:rsid w:val="00F37B33"/>
    <w:rsid w:val="00F408F1"/>
    <w:rsid w:val="00F42103"/>
    <w:rsid w:val="00F46494"/>
    <w:rsid w:val="00F534F5"/>
    <w:rsid w:val="00F54B3A"/>
    <w:rsid w:val="00F558AB"/>
    <w:rsid w:val="00F55F89"/>
    <w:rsid w:val="00F57691"/>
    <w:rsid w:val="00F61D89"/>
    <w:rsid w:val="00F62FF4"/>
    <w:rsid w:val="00F6553B"/>
    <w:rsid w:val="00F70965"/>
    <w:rsid w:val="00F769D7"/>
    <w:rsid w:val="00F81B51"/>
    <w:rsid w:val="00F81C49"/>
    <w:rsid w:val="00F832B9"/>
    <w:rsid w:val="00F86ABB"/>
    <w:rsid w:val="00F86ECC"/>
    <w:rsid w:val="00F94880"/>
    <w:rsid w:val="00F97DE7"/>
    <w:rsid w:val="00FA0208"/>
    <w:rsid w:val="00FA2134"/>
    <w:rsid w:val="00FB1C9F"/>
    <w:rsid w:val="00FB1E21"/>
    <w:rsid w:val="00FB2F01"/>
    <w:rsid w:val="00FC17D7"/>
    <w:rsid w:val="00FC455D"/>
    <w:rsid w:val="00FC53A9"/>
    <w:rsid w:val="00FD05FD"/>
    <w:rsid w:val="00FD1814"/>
    <w:rsid w:val="00FD1EB3"/>
    <w:rsid w:val="00FD2129"/>
    <w:rsid w:val="00FD7648"/>
    <w:rsid w:val="00FE1533"/>
    <w:rsid w:val="00FE19C8"/>
    <w:rsid w:val="00FE2E8E"/>
    <w:rsid w:val="00FE5C53"/>
    <w:rsid w:val="00FE5F97"/>
    <w:rsid w:val="00FF2968"/>
    <w:rsid w:val="00FF552A"/>
    <w:rsid w:val="00FF6F52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E000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D1066"/>
    <w:pPr>
      <w:spacing w:after="0" w:line="240" w:lineRule="auto"/>
    </w:pPr>
    <w:rPr>
      <w:rFonts w:ascii="Segoe UI" w:eastAsia="Segoe UI" w:hAnsi="Segoe UI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4975"/>
    <w:pPr>
      <w:spacing w:after="0" w:line="240" w:lineRule="auto"/>
    </w:pPr>
    <w:rPr>
      <w:rFonts w:ascii="Segoe UI" w:eastAsia="Segoe UI" w:hAnsi="Segoe UI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3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1F3F295873E468505333E588F7109" ma:contentTypeVersion="11" ma:contentTypeDescription="Create a new document." ma:contentTypeScope="" ma:versionID="a63e18699ff6041429dd5c1adfbb9898">
  <xsd:schema xmlns:xsd="http://www.w3.org/2001/XMLSchema" xmlns:xs="http://www.w3.org/2001/XMLSchema" xmlns:p="http://schemas.microsoft.com/office/2006/metadata/properties" xmlns:ns3="d7bf805d-7e30-41ea-8c28-88ba0541181b" xmlns:ns4="44951d7d-08ea-437c-9e94-667ea5425dda" targetNamespace="http://schemas.microsoft.com/office/2006/metadata/properties" ma:root="true" ma:fieldsID="43e35eaf87fae05c934d5956fe56d249" ns3:_="" ns4:_="">
    <xsd:import namespace="d7bf805d-7e30-41ea-8c28-88ba0541181b"/>
    <xsd:import namespace="44951d7d-08ea-437c-9e94-667ea5425d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f805d-7e30-41ea-8c28-88ba05411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51d7d-08ea-437c-9e94-667ea5425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F41CF5-FA45-4DB4-8442-2707B114D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f805d-7e30-41ea-8c28-88ba0541181b"/>
    <ds:schemaRef ds:uri="44951d7d-08ea-437c-9e94-667ea5425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0A8CB-BA45-4F3C-95D4-D344FFD63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B10D7-1090-40B5-A5DE-40CFF5B17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5AE499-7720-48C1-A643-CC00DC4E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Andriessen</dc:creator>
  <cp:keywords/>
  <dc:description/>
  <cp:lastModifiedBy>Ana Parra Munoz</cp:lastModifiedBy>
  <cp:revision>7</cp:revision>
  <cp:lastPrinted>2019-08-10T21:48:00Z</cp:lastPrinted>
  <dcterms:created xsi:type="dcterms:W3CDTF">2019-11-22T00:21:00Z</dcterms:created>
  <dcterms:modified xsi:type="dcterms:W3CDTF">2019-11-29T10:24:00Z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0x01010035C1F3F295873E468505333E588F7109</vt:lpwstr>
  </property>
</Properties>
</file>