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41D8B1" w14:textId="2804B3BB" w:rsidR="000038AA" w:rsidRPr="00376CC5" w:rsidRDefault="00654E8F" w:rsidP="000038AA">
      <w:pPr>
        <w:pStyle w:val="SupplementaryMaterial"/>
      </w:pPr>
      <w:r w:rsidRPr="001549D3">
        <w:t>Supplementary Material</w:t>
      </w:r>
      <w:r w:rsidR="00B41FAF">
        <w:t xml:space="preserve"> for </w:t>
      </w:r>
      <w:proofErr w:type="spellStart"/>
      <w:r w:rsidR="000038AA">
        <w:t>n</w:t>
      </w:r>
      <w:r w:rsidR="000038AA" w:rsidRPr="00DE73F4">
        <w:t>ano</w:t>
      </w:r>
      <w:proofErr w:type="spellEnd"/>
      <w:r w:rsidR="000038AA" w:rsidRPr="00DE73F4">
        <w:t xml:space="preserve">-casted N-doped carbon created from a task-specific </w:t>
      </w:r>
      <w:proofErr w:type="spellStart"/>
      <w:r w:rsidR="000038AA" w:rsidRPr="00DE73F4">
        <w:t>protic</w:t>
      </w:r>
      <w:proofErr w:type="spellEnd"/>
      <w:r w:rsidR="000038AA" w:rsidRPr="00DE73F4">
        <w:t xml:space="preserve"> salt and controlled porous glass</w:t>
      </w:r>
    </w:p>
    <w:p w14:paraId="0C22DC44" w14:textId="77777777" w:rsidR="000038AA" w:rsidRPr="00DE73F4" w:rsidRDefault="000038AA" w:rsidP="000038AA">
      <w:pPr>
        <w:pStyle w:val="AuthorList"/>
        <w:rPr>
          <w:vertAlign w:val="subscript"/>
        </w:rPr>
      </w:pPr>
      <w:r>
        <w:t>Varun Singh</w:t>
      </w:r>
      <w:proofErr w:type="gramStart"/>
      <w:r w:rsidRPr="00A545C6">
        <w:rPr>
          <w:vertAlign w:val="superscript"/>
        </w:rPr>
        <w:t>1</w:t>
      </w:r>
      <w:r>
        <w:rPr>
          <w:vertAlign w:val="superscript"/>
        </w:rPr>
        <w:t>,†</w:t>
      </w:r>
      <w:proofErr w:type="gramEnd"/>
      <w:r w:rsidRPr="00376CC5">
        <w:t xml:space="preserve">, </w:t>
      </w:r>
      <w:r>
        <w:t>Mikhail Gantman</w:t>
      </w:r>
      <w:r w:rsidRPr="00DE73F4">
        <w:rPr>
          <w:vertAlign w:val="superscript"/>
        </w:rPr>
        <w:t>1</w:t>
      </w:r>
      <w:r>
        <w:t xml:space="preserve">, </w:t>
      </w:r>
      <w:proofErr w:type="spellStart"/>
      <w:r>
        <w:t>Thangaraj</w:t>
      </w:r>
      <w:proofErr w:type="spellEnd"/>
      <w:r>
        <w:t xml:space="preserve"> Selvam</w:t>
      </w:r>
      <w:r w:rsidRPr="00DE73F4">
        <w:rPr>
          <w:vertAlign w:val="superscript"/>
        </w:rPr>
        <w:t>1</w:t>
      </w:r>
      <w:r>
        <w:t>, Maximilian Münzer</w:t>
      </w:r>
      <w:r>
        <w:rPr>
          <w:vertAlign w:val="superscript"/>
        </w:rPr>
        <w:t>2</w:t>
      </w:r>
      <w:r>
        <w:t>, Dirk Enke</w:t>
      </w:r>
      <w:r w:rsidRPr="00A545C6">
        <w:rPr>
          <w:vertAlign w:val="superscript"/>
        </w:rPr>
        <w:t>2</w:t>
      </w:r>
      <w:r w:rsidRPr="00DE73F4">
        <w:t xml:space="preserve">, and </w:t>
      </w:r>
      <w:r>
        <w:t>Wilhelm Schwieger</w:t>
      </w:r>
      <w:r>
        <w:rPr>
          <w:vertAlign w:val="superscript"/>
        </w:rPr>
        <w:t>1</w:t>
      </w:r>
      <w:r w:rsidRPr="00A545C6">
        <w:rPr>
          <w:vertAlign w:val="superscript"/>
        </w:rPr>
        <w:t>*</w:t>
      </w:r>
      <w:r w:rsidRPr="00376CC5">
        <w:t>,</w:t>
      </w:r>
    </w:p>
    <w:p w14:paraId="3068C7A3" w14:textId="77777777" w:rsidR="000038AA" w:rsidRPr="00DE73F4" w:rsidRDefault="000038AA" w:rsidP="000038AA">
      <w:pPr>
        <w:spacing w:before="240" w:after="0"/>
        <w:jc w:val="both"/>
        <w:rPr>
          <w:rFonts w:cs="Times New Roman"/>
          <w:szCs w:val="24"/>
          <w:lang w:val="en-GB"/>
        </w:rPr>
      </w:pPr>
      <w:r w:rsidRPr="00376CC5">
        <w:rPr>
          <w:rFonts w:cs="Times New Roman"/>
          <w:szCs w:val="24"/>
          <w:vertAlign w:val="superscript"/>
        </w:rPr>
        <w:t>1</w:t>
      </w:r>
      <w:r w:rsidRPr="00DE73F4">
        <w:rPr>
          <w:rFonts w:cs="Times New Roman"/>
          <w:szCs w:val="24"/>
          <w:lang w:val="en-GB"/>
        </w:rPr>
        <w:t xml:space="preserve">Institute of Chemical Reaction Engineering, Friedrich-Alexander University of Erlangen-Nuremberg (FAU), </w:t>
      </w:r>
      <w:proofErr w:type="spellStart"/>
      <w:r w:rsidRPr="00DE73F4">
        <w:rPr>
          <w:rFonts w:cs="Times New Roman"/>
          <w:szCs w:val="24"/>
          <w:lang w:val="en-GB"/>
        </w:rPr>
        <w:t>Egerlandstrasse</w:t>
      </w:r>
      <w:proofErr w:type="spellEnd"/>
      <w:r w:rsidRPr="00DE73F4">
        <w:rPr>
          <w:rFonts w:cs="Times New Roman"/>
          <w:szCs w:val="24"/>
          <w:lang w:val="en-GB"/>
        </w:rPr>
        <w:t xml:space="preserve"> 3, 91058 Erlangen, Germany.</w:t>
      </w:r>
    </w:p>
    <w:p w14:paraId="3EBF9520" w14:textId="77777777" w:rsidR="000038AA" w:rsidRPr="00BC55B0" w:rsidRDefault="000038AA" w:rsidP="000038AA">
      <w:pPr>
        <w:spacing w:before="240" w:after="0"/>
        <w:rPr>
          <w:rFonts w:cs="Times New Roman"/>
          <w:szCs w:val="24"/>
          <w:lang w:val="en-GB"/>
        </w:rPr>
      </w:pPr>
      <w:r w:rsidRPr="00376CC5">
        <w:rPr>
          <w:rFonts w:cs="Times New Roman"/>
          <w:szCs w:val="24"/>
          <w:vertAlign w:val="superscript"/>
        </w:rPr>
        <w:t>2</w:t>
      </w:r>
      <w:r w:rsidRPr="00BC55B0">
        <w:rPr>
          <w:rFonts w:cs="Times New Roman"/>
          <w:szCs w:val="24"/>
          <w:lang w:val="en-GB"/>
        </w:rPr>
        <w:t xml:space="preserve">Institute of Chemical Technology, </w:t>
      </w:r>
      <w:proofErr w:type="spellStart"/>
      <w:r w:rsidRPr="00BC55B0">
        <w:rPr>
          <w:rFonts w:cs="Times New Roman"/>
          <w:szCs w:val="24"/>
          <w:lang w:val="en-GB"/>
        </w:rPr>
        <w:t>Universität</w:t>
      </w:r>
      <w:proofErr w:type="spellEnd"/>
      <w:r w:rsidRPr="00BC55B0">
        <w:rPr>
          <w:rFonts w:cs="Times New Roman"/>
          <w:szCs w:val="24"/>
          <w:lang w:val="en-GB"/>
        </w:rPr>
        <w:t xml:space="preserve"> Leipzig, </w:t>
      </w:r>
      <w:proofErr w:type="spellStart"/>
      <w:r w:rsidRPr="00BC55B0">
        <w:rPr>
          <w:rFonts w:cs="Times New Roman"/>
          <w:szCs w:val="24"/>
          <w:lang w:val="en-GB"/>
        </w:rPr>
        <w:t>Linnéstrasse</w:t>
      </w:r>
      <w:proofErr w:type="spellEnd"/>
      <w:r w:rsidRPr="00BC55B0">
        <w:rPr>
          <w:rFonts w:cs="Times New Roman"/>
          <w:szCs w:val="24"/>
          <w:lang w:val="en-GB"/>
        </w:rPr>
        <w:t xml:space="preserve"> 3, 04103 Leipzig, Germany.</w:t>
      </w:r>
    </w:p>
    <w:p w14:paraId="56C8CF74" w14:textId="77777777" w:rsidR="000038AA" w:rsidRPr="00BC55B0" w:rsidRDefault="000038AA" w:rsidP="000038AA">
      <w:pPr>
        <w:spacing w:before="240" w:after="0"/>
        <w:rPr>
          <w:rFonts w:cs="Times New Roman"/>
          <w:b/>
          <w:szCs w:val="24"/>
        </w:rPr>
      </w:pPr>
      <w:r>
        <w:rPr>
          <w:vertAlign w:val="superscript"/>
        </w:rPr>
        <w:t>†</w:t>
      </w:r>
      <w:r>
        <w:t xml:space="preserve">Current address: </w:t>
      </w:r>
      <w:r w:rsidRPr="00BC55B0">
        <w:t xml:space="preserve">Laboratory for Chemical Technology, Ghent University, </w:t>
      </w:r>
      <w:proofErr w:type="spellStart"/>
      <w:r w:rsidRPr="00BC55B0">
        <w:t>Technologiepark</w:t>
      </w:r>
      <w:proofErr w:type="spellEnd"/>
      <w:r w:rsidRPr="00BC55B0">
        <w:t xml:space="preserve"> </w:t>
      </w:r>
      <w:r>
        <w:t>125</w:t>
      </w:r>
      <w:r w:rsidRPr="00BC55B0">
        <w:t>, B-9052 Ghent, Belgium</w:t>
      </w:r>
      <w:r>
        <w:t>.</w:t>
      </w:r>
    </w:p>
    <w:p w14:paraId="70CB8561" w14:textId="77777777" w:rsidR="000038AA" w:rsidRPr="00376CC5" w:rsidRDefault="000038AA" w:rsidP="000038AA">
      <w:pPr>
        <w:spacing w:before="240" w:after="0"/>
        <w:rPr>
          <w:rFonts w:cs="Times New Roman"/>
          <w:b/>
          <w:szCs w:val="24"/>
        </w:rPr>
      </w:pPr>
      <w:r w:rsidRPr="00376CC5">
        <w:rPr>
          <w:rFonts w:cs="Times New Roman"/>
          <w:b/>
          <w:szCs w:val="24"/>
        </w:rPr>
        <w:t xml:space="preserve">* Correspondence: </w:t>
      </w:r>
      <w:r w:rsidRPr="00376CC5">
        <w:rPr>
          <w:rFonts w:cs="Times New Roman"/>
          <w:b/>
          <w:szCs w:val="24"/>
        </w:rPr>
        <w:br/>
      </w:r>
      <w:r>
        <w:rPr>
          <w:rFonts w:cs="Times New Roman"/>
          <w:szCs w:val="24"/>
        </w:rPr>
        <w:t xml:space="preserve">Wilhelm </w:t>
      </w:r>
      <w:proofErr w:type="spellStart"/>
      <w:r>
        <w:rPr>
          <w:rFonts w:cs="Times New Roman"/>
          <w:szCs w:val="24"/>
        </w:rPr>
        <w:t>Schwieger</w:t>
      </w:r>
      <w:proofErr w:type="spellEnd"/>
      <w:r w:rsidRPr="00376CC5">
        <w:rPr>
          <w:rFonts w:cs="Times New Roman"/>
          <w:szCs w:val="24"/>
        </w:rPr>
        <w:br/>
      </w:r>
      <w:r>
        <w:rPr>
          <w:rFonts w:cs="Times New Roman"/>
          <w:szCs w:val="24"/>
        </w:rPr>
        <w:t>wilhelm.schwieger@fau.de</w:t>
      </w:r>
    </w:p>
    <w:p w14:paraId="4AC8DE30" w14:textId="75808216" w:rsidR="000038AA" w:rsidRDefault="000038AA" w:rsidP="000038AA">
      <w:pPr>
        <w:pStyle w:val="AuthorList"/>
        <w:jc w:val="both"/>
        <w:rPr>
          <w:lang w:val="en-GB"/>
        </w:rPr>
      </w:pPr>
      <w:r w:rsidRPr="00376CC5">
        <w:t xml:space="preserve">Keywords: </w:t>
      </w:r>
      <w:r w:rsidRPr="004B615D">
        <w:rPr>
          <w:lang w:val="en-GB"/>
        </w:rPr>
        <w:t xml:space="preserve">N-doped carbon, </w:t>
      </w:r>
      <w:proofErr w:type="spellStart"/>
      <w:r w:rsidRPr="004B615D">
        <w:rPr>
          <w:lang w:val="en-GB"/>
        </w:rPr>
        <w:t>macroporous</w:t>
      </w:r>
      <w:proofErr w:type="spellEnd"/>
      <w:r w:rsidRPr="004B615D">
        <w:rPr>
          <w:lang w:val="en-GB"/>
        </w:rPr>
        <w:t xml:space="preserve"> carbon replica, direct carbonization, controlled porous glass, </w:t>
      </w:r>
      <w:proofErr w:type="spellStart"/>
      <w:r>
        <w:rPr>
          <w:lang w:val="en-GB"/>
        </w:rPr>
        <w:t>nano</w:t>
      </w:r>
      <w:proofErr w:type="spellEnd"/>
      <w:r>
        <w:rPr>
          <w:lang w:val="en-GB"/>
        </w:rPr>
        <w:t>-casting</w:t>
      </w:r>
      <w:r w:rsidRPr="004B615D">
        <w:rPr>
          <w:lang w:val="en-GB"/>
        </w:rPr>
        <w:t>.</w:t>
      </w:r>
    </w:p>
    <w:p w14:paraId="5E0B6A3F" w14:textId="77777777" w:rsidR="000038AA" w:rsidRPr="000038AA" w:rsidRDefault="000038AA" w:rsidP="000038AA">
      <w:pPr>
        <w:rPr>
          <w:lang w:val="en-GB"/>
        </w:rPr>
      </w:pPr>
    </w:p>
    <w:p w14:paraId="78615FF9" w14:textId="77777777" w:rsidR="000038AA" w:rsidRPr="000038AA" w:rsidRDefault="000038AA" w:rsidP="000038AA">
      <w:pPr>
        <w:pStyle w:val="Listenabsatz"/>
        <w:numPr>
          <w:ilvl w:val="0"/>
          <w:numId w:val="22"/>
        </w:numPr>
      </w:pPr>
      <w:r w:rsidRPr="000038AA">
        <w:t xml:space="preserve">Inductively coupled plasma - optical emission spectroscopy (ICP-OES) based investigation of </w:t>
      </w:r>
      <w:proofErr w:type="spellStart"/>
      <w:r w:rsidRPr="000038AA">
        <w:t>macroporous</w:t>
      </w:r>
      <w:proofErr w:type="spellEnd"/>
      <w:r w:rsidRPr="000038AA">
        <w:t xml:space="preserve"> glass and its heat-treated carbon replica for trace metals.</w:t>
      </w:r>
    </w:p>
    <w:p w14:paraId="4AABB9CF" w14:textId="64D6362B" w:rsidR="000038AA" w:rsidRDefault="000038AA" w:rsidP="000038AA">
      <w:pPr>
        <w:pStyle w:val="Listenabsatz"/>
        <w:numPr>
          <w:ilvl w:val="0"/>
          <w:numId w:val="22"/>
        </w:numPr>
      </w:pPr>
      <w:r w:rsidRPr="005D75A0">
        <w:rPr>
          <w:vertAlign w:val="superscript"/>
        </w:rPr>
        <w:t>1</w:t>
      </w:r>
      <w:r w:rsidRPr="000038AA">
        <w:t xml:space="preserve">H and </w:t>
      </w:r>
      <w:r w:rsidRPr="005D75A0">
        <w:rPr>
          <w:vertAlign w:val="superscript"/>
        </w:rPr>
        <w:t>13</w:t>
      </w:r>
      <w:r w:rsidRPr="000038AA">
        <w:t xml:space="preserve">C NMR of 1-(2-cyanoethyl)-2-phenylimidazole and </w:t>
      </w:r>
      <w:proofErr w:type="spellStart"/>
      <w:r w:rsidRPr="000038AA">
        <w:t>protic</w:t>
      </w:r>
      <w:proofErr w:type="spellEnd"/>
      <w:r w:rsidRPr="000038AA">
        <w:t xml:space="preserve"> salt, [1-(2-cyanoethyl)-2-</w:t>
      </w:r>
      <w:proofErr w:type="gramStart"/>
      <w:r w:rsidRPr="000038AA">
        <w:t>phenylimidazolium][</w:t>
      </w:r>
      <w:proofErr w:type="gramEnd"/>
      <w:r w:rsidRPr="000038AA">
        <w:t>hydrogen sulfate].</w:t>
      </w:r>
    </w:p>
    <w:p w14:paraId="3ECC6F97" w14:textId="04BC7E38" w:rsidR="00670207" w:rsidRDefault="00670207" w:rsidP="000038AA">
      <w:pPr>
        <w:pStyle w:val="Listenabsatz"/>
        <w:numPr>
          <w:ilvl w:val="0"/>
          <w:numId w:val="22"/>
        </w:numPr>
      </w:pPr>
      <w:r>
        <w:t>X-ray diffraction</w:t>
      </w:r>
      <w:r w:rsidR="005D75A0">
        <w:t>.</w:t>
      </w:r>
    </w:p>
    <w:p w14:paraId="783F8F07" w14:textId="77777777" w:rsidR="000038AA" w:rsidRDefault="000038AA">
      <w:pPr>
        <w:spacing w:before="0" w:after="200" w:line="276" w:lineRule="auto"/>
        <w:rPr>
          <w:rFonts w:eastAsia="Cambria" w:cs="Times New Roman"/>
          <w:b/>
          <w:szCs w:val="24"/>
        </w:rPr>
      </w:pPr>
      <w:r>
        <w:br w:type="page"/>
      </w:r>
    </w:p>
    <w:p w14:paraId="673F96BE" w14:textId="77777777" w:rsidR="000038AA" w:rsidRPr="00886A0F" w:rsidRDefault="000038AA" w:rsidP="000038AA">
      <w:pPr>
        <w:pStyle w:val="berschrift1"/>
      </w:pPr>
      <w:r w:rsidRPr="00886A0F">
        <w:lastRenderedPageBreak/>
        <w:t>ICP-OES investigation to find trace metal elements</w:t>
      </w:r>
    </w:p>
    <w:p w14:paraId="0D86E59F" w14:textId="56D1D907" w:rsidR="000038AA" w:rsidRPr="00886A0F" w:rsidRDefault="000038AA" w:rsidP="000038AA">
      <w:pPr>
        <w:jc w:val="both"/>
      </w:pPr>
      <w:r w:rsidRPr="00886A0F">
        <w:t>No traces of metals apart from sodium (1.7</w:t>
      </w:r>
      <w:r>
        <w:t xml:space="preserve"> wt.%) and aluminum (0.029 wt.</w:t>
      </w:r>
      <w:r w:rsidRPr="00886A0F">
        <w:t xml:space="preserve">%) were found in the heat-treated carbon replica. Sodium may have been detected because the carbon replica was in contact with 3 M aqueous </w:t>
      </w:r>
      <w:proofErr w:type="spellStart"/>
      <w:r w:rsidRPr="00886A0F">
        <w:t>NaOH</w:t>
      </w:r>
      <w:proofErr w:type="spellEnd"/>
      <w:r w:rsidRPr="00886A0F">
        <w:t xml:space="preserve"> prior to its heat treatment. Traces of aluminum may be attributed to the remains of the </w:t>
      </w:r>
      <w:proofErr w:type="spellStart"/>
      <w:r w:rsidRPr="00886A0F">
        <w:t>macroporous</w:t>
      </w:r>
      <w:proofErr w:type="spellEnd"/>
      <w:r w:rsidRPr="00886A0F">
        <w:t xml:space="preserve"> glass used during the process of preparation of the carbon replica. The digestion mixture used for the analysis contained 6 ml 37% </w:t>
      </w:r>
      <w:proofErr w:type="spellStart"/>
      <w:r w:rsidRPr="00886A0F">
        <w:t>HCl</w:t>
      </w:r>
      <w:proofErr w:type="spellEnd"/>
      <w:r w:rsidRPr="00886A0F">
        <w:t>, 4 ml 65% HNO</w:t>
      </w:r>
      <w:r w:rsidRPr="00886A0F">
        <w:rPr>
          <w:vertAlign w:val="subscript"/>
        </w:rPr>
        <w:t>3</w:t>
      </w:r>
      <w:r w:rsidRPr="00886A0F">
        <w:t>, and 2 ml 40% HF. The sample amount for the analysis was 53 mg and the sample dissolved in the digestion mixture was further treated with microwaves to enhance complete leaching of trace elements.</w:t>
      </w:r>
    </w:p>
    <w:p w14:paraId="0B23BC23" w14:textId="3EF49BA6" w:rsidR="000038AA" w:rsidRDefault="000038AA" w:rsidP="000038AA">
      <w:pPr>
        <w:jc w:val="both"/>
      </w:pPr>
      <w:r w:rsidRPr="00886A0F">
        <w:t xml:space="preserve">For the ICP-OES analysis of </w:t>
      </w:r>
      <w:proofErr w:type="spellStart"/>
      <w:r w:rsidRPr="00886A0F">
        <w:t>macroporous</w:t>
      </w:r>
      <w:proofErr w:type="spellEnd"/>
      <w:r w:rsidRPr="00886A0F">
        <w:t xml:space="preserve"> glass, very small traces of</w:t>
      </w:r>
      <w:r>
        <w:t xml:space="preserve"> iron were detected (0.0039 wt.</w:t>
      </w:r>
      <w:r w:rsidRPr="00886A0F">
        <w:t>%) and, as</w:t>
      </w:r>
      <w:r>
        <w:t xml:space="preserve"> expected, aluminum (0.113 wt.</w:t>
      </w:r>
      <w:r w:rsidRPr="00886A0F">
        <w:t xml:space="preserve">%). Prior to the analysis, a sample amount of 84 mg was dissolved in a digestion mixture containing 3 ml 37% </w:t>
      </w:r>
      <w:proofErr w:type="spellStart"/>
      <w:r w:rsidRPr="00886A0F">
        <w:t>HCl</w:t>
      </w:r>
      <w:proofErr w:type="spellEnd"/>
      <w:r w:rsidRPr="00886A0F">
        <w:t>, 2 ml 65% HNO</w:t>
      </w:r>
      <w:r w:rsidRPr="00886A0F">
        <w:rPr>
          <w:vertAlign w:val="subscript"/>
        </w:rPr>
        <w:t>3</w:t>
      </w:r>
      <w:r w:rsidRPr="00886A0F">
        <w:t xml:space="preserve">, and 8 ml 40% HF and thereafter, exposed to microwaves. The extremely small amount of iron detected in the bulk </w:t>
      </w:r>
      <w:proofErr w:type="spellStart"/>
      <w:r w:rsidRPr="00886A0F">
        <w:t>macroporous</w:t>
      </w:r>
      <w:proofErr w:type="spellEnd"/>
      <w:r w:rsidRPr="00886A0F">
        <w:t xml:space="preserve"> glass is unlikely to have played a major catalytic role in the graphitization of the carbon replica</w:t>
      </w:r>
      <w:r>
        <w:t>.</w:t>
      </w:r>
      <w:r w:rsidRPr="00886A0F">
        <w:t xml:space="preserve"> </w:t>
      </w:r>
      <w:r>
        <w:t>This is further corroborated by t</w:t>
      </w:r>
      <w:r w:rsidRPr="00886A0F">
        <w:t>he fact that i</w:t>
      </w:r>
      <w:r>
        <w:t>ron</w:t>
      </w:r>
      <w:r w:rsidRPr="00886A0F">
        <w:t xml:space="preserve"> was not detected in the heat-treated carbon replica</w:t>
      </w:r>
      <w:r>
        <w:t>. The lack of any iron in the heat-treated carbon replica</w:t>
      </w:r>
      <w:r w:rsidRPr="00886A0F">
        <w:t xml:space="preserve"> may be attributed to the loss of even minute quantities of iron during the overnight acid treatment of the carbon replica</w:t>
      </w:r>
      <w:r>
        <w:t xml:space="preserve"> (before the heat-treatment)</w:t>
      </w:r>
      <w:r w:rsidRPr="00886A0F">
        <w:t xml:space="preserve"> with 0.2 M </w:t>
      </w:r>
      <w:proofErr w:type="spellStart"/>
      <w:r w:rsidRPr="00886A0F">
        <w:t>HCl</w:t>
      </w:r>
      <w:proofErr w:type="spellEnd"/>
      <w:r w:rsidRPr="00886A0F">
        <w:t xml:space="preserve"> aqueous solution prior to its heat-treatment.</w:t>
      </w:r>
      <w:r>
        <w:t xml:space="preserve"> These results thus prove that graphitization and increased oxidation stability can be attributed to the chemical structure of the </w:t>
      </w:r>
      <w:proofErr w:type="spellStart"/>
      <w:r>
        <w:t>protic</w:t>
      </w:r>
      <w:proofErr w:type="spellEnd"/>
      <w:r>
        <w:t xml:space="preserve"> salt.</w:t>
      </w:r>
    </w:p>
    <w:p w14:paraId="74F5471B" w14:textId="77777777" w:rsidR="000038AA" w:rsidRPr="00886A0F" w:rsidRDefault="000038AA" w:rsidP="000038AA">
      <w:pPr>
        <w:spacing w:after="0" w:line="360" w:lineRule="auto"/>
        <w:jc w:val="both"/>
        <w:rPr>
          <w:rFonts w:cs="Times New Roman"/>
          <w:sz w:val="20"/>
          <w:szCs w:val="20"/>
        </w:rPr>
      </w:pPr>
    </w:p>
    <w:p w14:paraId="00B5C016" w14:textId="77777777" w:rsidR="000038AA" w:rsidRPr="00886A0F" w:rsidRDefault="000038AA" w:rsidP="000038AA">
      <w:pPr>
        <w:pStyle w:val="berschrift1"/>
      </w:pPr>
      <w:r w:rsidRPr="00886A0F">
        <w:rPr>
          <w:vertAlign w:val="superscript"/>
        </w:rPr>
        <w:t>1</w:t>
      </w:r>
      <w:r w:rsidRPr="00886A0F">
        <w:t xml:space="preserve">H and </w:t>
      </w:r>
      <w:r w:rsidRPr="00886A0F">
        <w:rPr>
          <w:vertAlign w:val="superscript"/>
        </w:rPr>
        <w:t>13</w:t>
      </w:r>
      <w:r w:rsidRPr="00886A0F">
        <w:t xml:space="preserve">C NMR in </w:t>
      </w:r>
      <w:proofErr w:type="spellStart"/>
      <w:r w:rsidRPr="00886A0F">
        <w:t>Tridueterio</w:t>
      </w:r>
      <w:proofErr w:type="spellEnd"/>
      <w:r w:rsidRPr="00886A0F">
        <w:t>(</w:t>
      </w:r>
      <w:proofErr w:type="spellStart"/>
      <w:r w:rsidRPr="00886A0F">
        <w:t>trideuteriomethylsulphinyl</w:t>
      </w:r>
      <w:proofErr w:type="spellEnd"/>
      <w:r w:rsidRPr="00886A0F">
        <w:t>)methane [DMSO-d</w:t>
      </w:r>
      <w:r w:rsidRPr="00886A0F">
        <w:rPr>
          <w:vertAlign w:val="subscript"/>
        </w:rPr>
        <w:t>6</w:t>
      </w:r>
      <w:r w:rsidRPr="00886A0F">
        <w:t>]</w:t>
      </w:r>
    </w:p>
    <w:p w14:paraId="5796C769" w14:textId="362CE0FC" w:rsidR="000038AA" w:rsidRPr="00886A0F" w:rsidRDefault="000038AA" w:rsidP="000038AA">
      <w:pPr>
        <w:jc w:val="both"/>
      </w:pPr>
      <w:r w:rsidRPr="00886A0F">
        <w:t xml:space="preserve">Comparison of the </w:t>
      </w:r>
      <w:r w:rsidRPr="00886A0F">
        <w:rPr>
          <w:vertAlign w:val="superscript"/>
        </w:rPr>
        <w:t>1</w:t>
      </w:r>
      <w:r w:rsidRPr="00886A0F">
        <w:t>H spectra of 1-(2-cyanoethyl)-2-phenylimidazole and [1-(2-cyanoethyl)-2-phenylimidazol</w:t>
      </w:r>
      <w:r>
        <w:t>ium</w:t>
      </w:r>
      <w:r w:rsidRPr="00886A0F">
        <w:t xml:space="preserve">][hydrogen </w:t>
      </w:r>
      <w:r>
        <w:t>sulfate</w:t>
      </w:r>
      <w:r w:rsidRPr="00886A0F">
        <w:t xml:space="preserve">] in </w:t>
      </w:r>
      <w:r w:rsidRPr="00886A0F">
        <w:fldChar w:fldCharType="begin"/>
      </w:r>
      <w:r w:rsidRPr="00886A0F">
        <w:instrText xml:space="preserve"> REF _Ref489745387 \h  \* MERGEFORMAT </w:instrText>
      </w:r>
      <w:r w:rsidRPr="00886A0F">
        <w:fldChar w:fldCharType="separate"/>
      </w:r>
      <w:r w:rsidRPr="00886A0F">
        <w:t>Figure S-</w:t>
      </w:r>
      <w:r w:rsidRPr="00397949">
        <w:t>1</w:t>
      </w:r>
      <w:r w:rsidRPr="00886A0F">
        <w:fldChar w:fldCharType="end"/>
      </w:r>
      <w:r w:rsidRPr="00886A0F">
        <w:t xml:space="preserve"> and </w:t>
      </w:r>
      <w:r w:rsidRPr="00886A0F">
        <w:fldChar w:fldCharType="begin"/>
      </w:r>
      <w:r w:rsidRPr="00886A0F">
        <w:instrText xml:space="preserve"> REF _Ref489745392 \h  \* MERGEFORMAT </w:instrText>
      </w:r>
      <w:r w:rsidRPr="00886A0F">
        <w:fldChar w:fldCharType="separate"/>
      </w:r>
      <w:r w:rsidRPr="00886A0F">
        <w:t>Figure S-</w:t>
      </w:r>
      <w:r w:rsidRPr="00397949">
        <w:t>3</w:t>
      </w:r>
      <w:r w:rsidRPr="00886A0F">
        <w:fldChar w:fldCharType="end"/>
      </w:r>
      <w:r w:rsidRPr="00886A0F">
        <w:t xml:space="preserve">, respectively along with </w:t>
      </w:r>
      <w:r w:rsidRPr="00886A0F">
        <w:rPr>
          <w:vertAlign w:val="superscript"/>
        </w:rPr>
        <w:t>13</w:t>
      </w:r>
      <w:r w:rsidRPr="00886A0F">
        <w:t>C spectra of 1-(2-cyanoethyl)-2-phenylimidazole and [1-(2-cyanoethyl)-2-phenylimidazol</w:t>
      </w:r>
      <w:r>
        <w:t>ium</w:t>
      </w:r>
      <w:r w:rsidRPr="00886A0F">
        <w:t xml:space="preserve">][hydrogen </w:t>
      </w:r>
      <w:r>
        <w:t>sulfate</w:t>
      </w:r>
      <w:r w:rsidRPr="00886A0F">
        <w:t xml:space="preserve">] in </w:t>
      </w:r>
      <w:r w:rsidRPr="00886A0F">
        <w:fldChar w:fldCharType="begin"/>
      </w:r>
      <w:r w:rsidRPr="00886A0F">
        <w:instrText xml:space="preserve"> REF _Ref489745438 \h  \* MERGEFORMAT </w:instrText>
      </w:r>
      <w:r w:rsidRPr="00886A0F">
        <w:fldChar w:fldCharType="separate"/>
      </w:r>
      <w:r w:rsidRPr="00886A0F">
        <w:t>Figure S-</w:t>
      </w:r>
      <w:r w:rsidRPr="00397949">
        <w:t>2</w:t>
      </w:r>
      <w:r w:rsidRPr="00886A0F">
        <w:fldChar w:fldCharType="end"/>
      </w:r>
      <w:r w:rsidRPr="00886A0F">
        <w:t xml:space="preserve"> and </w:t>
      </w:r>
      <w:r w:rsidRPr="00886A0F">
        <w:fldChar w:fldCharType="begin"/>
      </w:r>
      <w:r w:rsidRPr="00886A0F">
        <w:instrText xml:space="preserve"> REF _Ref489745446 \h  \* MERGEFORMAT </w:instrText>
      </w:r>
      <w:r w:rsidRPr="00886A0F">
        <w:fldChar w:fldCharType="separate"/>
      </w:r>
      <w:r w:rsidRPr="00886A0F">
        <w:t>Figure S-</w:t>
      </w:r>
      <w:r w:rsidRPr="00397949">
        <w:t>4</w:t>
      </w:r>
      <w:r w:rsidRPr="00886A0F">
        <w:fldChar w:fldCharType="end"/>
      </w:r>
      <w:r w:rsidRPr="00886A0F">
        <w:t xml:space="preserve">, respectively confirm the formation of the </w:t>
      </w:r>
      <w:proofErr w:type="spellStart"/>
      <w:r w:rsidRPr="00886A0F">
        <w:t>protic</w:t>
      </w:r>
      <w:proofErr w:type="spellEnd"/>
      <w:r w:rsidRPr="00886A0F">
        <w:t xml:space="preserve"> salt. The NMR spectra of the </w:t>
      </w:r>
      <w:proofErr w:type="spellStart"/>
      <w:r w:rsidRPr="00886A0F">
        <w:t>protic</w:t>
      </w:r>
      <w:proofErr w:type="spellEnd"/>
      <w:r w:rsidRPr="00886A0F">
        <w:t xml:space="preserve"> salt correspond well with those reported previously in literature (see supporting information of </w:t>
      </w:r>
      <w:sdt>
        <w:sdtPr>
          <w:id w:val="-1451164560"/>
          <w:citation/>
        </w:sdtPr>
        <w:sdtEndPr/>
        <w:sdtContent>
          <w:r w:rsidRPr="00886A0F">
            <w:fldChar w:fldCharType="begin"/>
          </w:r>
          <w:r w:rsidRPr="00886A0F">
            <w:instrText xml:space="preserve"> CITATION zhang2014c \l 2057 </w:instrText>
          </w:r>
          <w:r w:rsidRPr="00886A0F">
            <w:fldChar w:fldCharType="separate"/>
          </w:r>
          <w:r w:rsidR="00454833" w:rsidRPr="00454833">
            <w:rPr>
              <w:noProof/>
            </w:rPr>
            <w:t>(Zhang, et al. 2014)</w:t>
          </w:r>
          <w:r w:rsidRPr="00886A0F">
            <w:fldChar w:fldCharType="end"/>
          </w:r>
        </w:sdtContent>
      </w:sdt>
      <w:r w:rsidRPr="00886A0F">
        <w:t xml:space="preserve">). The broad peak between 5 and 6 ppm in </w:t>
      </w:r>
      <w:r w:rsidRPr="00886A0F">
        <w:fldChar w:fldCharType="begin"/>
      </w:r>
      <w:r w:rsidRPr="00886A0F">
        <w:instrText xml:space="preserve"> REF _Ref489745392 \h  \* MERGEFORMAT </w:instrText>
      </w:r>
      <w:r w:rsidRPr="00886A0F">
        <w:fldChar w:fldCharType="separate"/>
      </w:r>
      <w:r w:rsidRPr="00886A0F">
        <w:t>Figure S-</w:t>
      </w:r>
      <w:r w:rsidRPr="00397949">
        <w:t>3</w:t>
      </w:r>
      <w:r w:rsidRPr="00886A0F">
        <w:fldChar w:fldCharType="end"/>
      </w:r>
      <w:r w:rsidRPr="00886A0F">
        <w:t xml:space="preserve"> may be explained by the presence of residual water in [1-(2-cyanoethyl)-2-phenylimidazol</w:t>
      </w:r>
      <w:r>
        <w:t>ium</w:t>
      </w:r>
      <w:r w:rsidRPr="00886A0F">
        <w:t xml:space="preserve">][hydrogen </w:t>
      </w:r>
      <w:r>
        <w:t>sulfate</w:t>
      </w:r>
      <w:r w:rsidRPr="00886A0F">
        <w:t xml:space="preserve">]. Using Karl-Fischer titration, the amount of water in the </w:t>
      </w:r>
      <w:proofErr w:type="spellStart"/>
      <w:r w:rsidRPr="00886A0F">
        <w:t>protic</w:t>
      </w:r>
      <w:proofErr w:type="spellEnd"/>
      <w:r w:rsidRPr="00886A0F">
        <w:t xml:space="preserve"> salt at the time of measurement was estimated to be about 3.6</w:t>
      </w:r>
      <w:r>
        <w:t xml:space="preserve"> wt. %</w:t>
      </w:r>
      <w:r w:rsidRPr="00886A0F">
        <w:t>.</w:t>
      </w:r>
    </w:p>
    <w:p w14:paraId="4E6CE28F" w14:textId="77777777" w:rsidR="000038AA" w:rsidRPr="00886A0F" w:rsidRDefault="000038AA" w:rsidP="00454833">
      <w:r w:rsidRPr="00886A0F">
        <w:rPr>
          <w:noProof/>
          <w:lang w:val="de-DE" w:eastAsia="de-DE"/>
        </w:rPr>
        <w:lastRenderedPageBreak/>
        <w:drawing>
          <wp:inline distT="0" distB="0" distL="0" distR="0" wp14:anchorId="5E77DEC9" wp14:editId="37AAAFA5">
            <wp:extent cx="5731510" cy="2876299"/>
            <wp:effectExtent l="0" t="0" r="2540" b="635"/>
            <wp:docPr id="2" name="Picture 2" descr="C:\Users\Varun\AppData\Local\Microsoft\Windows\INetCache\Content.Word\MG-VS-imid_1H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run\AppData\Local\Microsoft\Windows\INetCache\Content.Word\MG-VS-imid_1H-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7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C5DF8" w14:textId="4726F502" w:rsidR="000038AA" w:rsidRPr="00886A0F" w:rsidRDefault="000038AA" w:rsidP="00454833">
      <w:pPr>
        <w:rPr>
          <w:rFonts w:cs="Times New Roman"/>
          <w:i/>
        </w:rPr>
      </w:pPr>
      <w:bookmarkStart w:id="0" w:name="_Ref489745387"/>
      <w:r w:rsidRPr="00886A0F">
        <w:rPr>
          <w:rFonts w:cs="Times New Roman"/>
        </w:rPr>
        <w:t>Figure S-</w:t>
      </w:r>
      <w:r w:rsidRPr="00886A0F">
        <w:rPr>
          <w:rFonts w:cs="Times New Roman"/>
          <w:i/>
        </w:rPr>
        <w:fldChar w:fldCharType="begin"/>
      </w:r>
      <w:r w:rsidRPr="00886A0F">
        <w:rPr>
          <w:rFonts w:cs="Times New Roman"/>
        </w:rPr>
        <w:instrText xml:space="preserve"> SEQ Figure \* ARABIC </w:instrText>
      </w:r>
      <w:r w:rsidRPr="00886A0F">
        <w:rPr>
          <w:rFonts w:cs="Times New Roman"/>
          <w:i/>
        </w:rPr>
        <w:fldChar w:fldCharType="separate"/>
      </w:r>
      <w:r w:rsidR="00670207">
        <w:rPr>
          <w:rFonts w:cs="Times New Roman"/>
          <w:noProof/>
        </w:rPr>
        <w:t>1</w:t>
      </w:r>
      <w:r w:rsidRPr="00886A0F">
        <w:rPr>
          <w:rFonts w:cs="Times New Roman"/>
          <w:i/>
        </w:rPr>
        <w:fldChar w:fldCharType="end"/>
      </w:r>
      <w:bookmarkEnd w:id="0"/>
      <w:r w:rsidRPr="00886A0F">
        <w:rPr>
          <w:rFonts w:cs="Times New Roman"/>
        </w:rPr>
        <w:t xml:space="preserve"> </w:t>
      </w:r>
      <w:r w:rsidRPr="00886A0F">
        <w:rPr>
          <w:rFonts w:cs="Times New Roman"/>
          <w:vertAlign w:val="superscript"/>
        </w:rPr>
        <w:t>1</w:t>
      </w:r>
      <w:r w:rsidRPr="00886A0F">
        <w:rPr>
          <w:rFonts w:cs="Times New Roman"/>
        </w:rPr>
        <w:t>H NMR spectra of 1-(2-cyanoethyl)-2-phenylimidazole. In the plot, x-axis represents the chemical shifts in ppm and y-axis the peak intensities.</w:t>
      </w:r>
    </w:p>
    <w:p w14:paraId="20EDBAA7" w14:textId="77777777" w:rsidR="000038AA" w:rsidRPr="00886A0F" w:rsidRDefault="000038AA" w:rsidP="00454833">
      <w:r w:rsidRPr="00886A0F">
        <w:rPr>
          <w:noProof/>
          <w:lang w:val="de-DE" w:eastAsia="de-DE"/>
        </w:rPr>
        <w:drawing>
          <wp:inline distT="0" distB="0" distL="0" distR="0" wp14:anchorId="2A2112A0" wp14:editId="51D45B1E">
            <wp:extent cx="5731510" cy="2893168"/>
            <wp:effectExtent l="0" t="0" r="2540" b="2540"/>
            <wp:docPr id="8" name="Picture 8" descr="C:\Users\Varun\AppData\Local\Microsoft\Windows\INetCache\Content.Word\MG-VS-imid_13C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arun\AppData\Local\Microsoft\Windows\INetCache\Content.Word\MG-VS-imid_13C-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9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E5E0D" w14:textId="55510D73" w:rsidR="000038AA" w:rsidRPr="00886A0F" w:rsidRDefault="000038AA" w:rsidP="00454833">
      <w:pPr>
        <w:rPr>
          <w:rFonts w:cs="Times New Roman"/>
          <w:i/>
        </w:rPr>
      </w:pPr>
      <w:bookmarkStart w:id="1" w:name="_Ref489745438"/>
      <w:r w:rsidRPr="00886A0F">
        <w:rPr>
          <w:rFonts w:cs="Times New Roman"/>
        </w:rPr>
        <w:t>Figure S-</w:t>
      </w:r>
      <w:r w:rsidRPr="00886A0F">
        <w:rPr>
          <w:rFonts w:cs="Times New Roman"/>
          <w:i/>
        </w:rPr>
        <w:fldChar w:fldCharType="begin"/>
      </w:r>
      <w:r w:rsidRPr="00886A0F">
        <w:rPr>
          <w:rFonts w:cs="Times New Roman"/>
        </w:rPr>
        <w:instrText xml:space="preserve"> SEQ Figure \* ARABIC </w:instrText>
      </w:r>
      <w:r w:rsidRPr="00886A0F">
        <w:rPr>
          <w:rFonts w:cs="Times New Roman"/>
          <w:i/>
        </w:rPr>
        <w:fldChar w:fldCharType="separate"/>
      </w:r>
      <w:r w:rsidR="00670207">
        <w:rPr>
          <w:rFonts w:cs="Times New Roman"/>
          <w:noProof/>
        </w:rPr>
        <w:t>2</w:t>
      </w:r>
      <w:r w:rsidRPr="00886A0F">
        <w:rPr>
          <w:rFonts w:cs="Times New Roman"/>
          <w:i/>
        </w:rPr>
        <w:fldChar w:fldCharType="end"/>
      </w:r>
      <w:bookmarkEnd w:id="1"/>
      <w:r w:rsidRPr="00886A0F">
        <w:rPr>
          <w:rFonts w:cs="Times New Roman"/>
        </w:rPr>
        <w:t xml:space="preserve"> </w:t>
      </w:r>
      <w:r w:rsidRPr="00886A0F">
        <w:rPr>
          <w:rFonts w:cs="Times New Roman"/>
          <w:vertAlign w:val="superscript"/>
        </w:rPr>
        <w:t>13</w:t>
      </w:r>
      <w:r w:rsidRPr="00886A0F">
        <w:rPr>
          <w:rFonts w:cs="Times New Roman"/>
        </w:rPr>
        <w:t>C NMR spectra of 1-(2-cyanoethyl)-2-phenylimidazole. In the plot, x-axis represents the chemical shifts in ppm and y-axis the peak intensities.</w:t>
      </w:r>
    </w:p>
    <w:p w14:paraId="370AFA35" w14:textId="77777777" w:rsidR="000038AA" w:rsidRPr="00886A0F" w:rsidRDefault="000038AA" w:rsidP="00454833">
      <w:r w:rsidRPr="00886A0F">
        <w:rPr>
          <w:noProof/>
          <w:lang w:val="de-DE" w:eastAsia="de-DE"/>
        </w:rPr>
        <w:lastRenderedPageBreak/>
        <w:drawing>
          <wp:inline distT="0" distB="0" distL="0" distR="0" wp14:anchorId="5AB86351" wp14:editId="6EC6F6F6">
            <wp:extent cx="5731510" cy="2798226"/>
            <wp:effectExtent l="0" t="0" r="2540" b="2540"/>
            <wp:docPr id="9" name="Picture 9" descr="C:\Users\Varun\AppData\Local\Microsoft\Windows\INetCache\Content.Word\MG-VS-protic_salt_1H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arun\AppData\Local\Microsoft\Windows\INetCache\Content.Word\MG-VS-protic_salt_1H-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9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D82CB" w14:textId="772FF3FC" w:rsidR="000038AA" w:rsidRPr="00886A0F" w:rsidRDefault="000038AA" w:rsidP="00454833">
      <w:pPr>
        <w:rPr>
          <w:rFonts w:cs="Times New Roman"/>
          <w:i/>
        </w:rPr>
      </w:pPr>
      <w:bookmarkStart w:id="2" w:name="_Ref489745392"/>
      <w:r w:rsidRPr="00886A0F">
        <w:rPr>
          <w:rFonts w:cs="Times New Roman"/>
        </w:rPr>
        <w:t>Figure S-</w:t>
      </w:r>
      <w:r w:rsidRPr="00886A0F">
        <w:rPr>
          <w:rFonts w:cs="Times New Roman"/>
          <w:i/>
        </w:rPr>
        <w:fldChar w:fldCharType="begin"/>
      </w:r>
      <w:r w:rsidRPr="00886A0F">
        <w:rPr>
          <w:rFonts w:cs="Times New Roman"/>
        </w:rPr>
        <w:instrText xml:space="preserve"> SEQ Figure \* ARABIC </w:instrText>
      </w:r>
      <w:r w:rsidRPr="00886A0F">
        <w:rPr>
          <w:rFonts w:cs="Times New Roman"/>
          <w:i/>
        </w:rPr>
        <w:fldChar w:fldCharType="separate"/>
      </w:r>
      <w:r w:rsidR="00670207">
        <w:rPr>
          <w:rFonts w:cs="Times New Roman"/>
          <w:noProof/>
        </w:rPr>
        <w:t>3</w:t>
      </w:r>
      <w:r w:rsidRPr="00886A0F">
        <w:rPr>
          <w:rFonts w:cs="Times New Roman"/>
          <w:i/>
        </w:rPr>
        <w:fldChar w:fldCharType="end"/>
      </w:r>
      <w:bookmarkEnd w:id="2"/>
      <w:r w:rsidRPr="00886A0F">
        <w:rPr>
          <w:rFonts w:cs="Times New Roman"/>
        </w:rPr>
        <w:t xml:space="preserve"> </w:t>
      </w:r>
      <w:r w:rsidRPr="00886A0F">
        <w:rPr>
          <w:rFonts w:cs="Times New Roman"/>
          <w:vertAlign w:val="superscript"/>
        </w:rPr>
        <w:t>1</w:t>
      </w:r>
      <w:r w:rsidRPr="00886A0F">
        <w:rPr>
          <w:rFonts w:cs="Times New Roman"/>
        </w:rPr>
        <w:t>H NMR spectra of [1-(2-cyanoethyl)-2-phenylimidazol</w:t>
      </w:r>
      <w:r>
        <w:rPr>
          <w:rFonts w:cs="Times New Roman"/>
        </w:rPr>
        <w:t>ium</w:t>
      </w:r>
      <w:r w:rsidRPr="00886A0F">
        <w:rPr>
          <w:rFonts w:cs="Times New Roman"/>
        </w:rPr>
        <w:t xml:space="preserve">] [hydrogen </w:t>
      </w:r>
      <w:r>
        <w:rPr>
          <w:rFonts w:cs="Times New Roman"/>
        </w:rPr>
        <w:t>sulfate</w:t>
      </w:r>
      <w:r w:rsidRPr="00886A0F">
        <w:rPr>
          <w:rFonts w:cs="Times New Roman"/>
        </w:rPr>
        <w:t>]. In the plot, x-axis represents the chemical shifts in ppm and y-axis the peak intensities.</w:t>
      </w:r>
    </w:p>
    <w:p w14:paraId="5BFF80C8" w14:textId="77777777" w:rsidR="000038AA" w:rsidRPr="00886A0F" w:rsidRDefault="000038AA" w:rsidP="00454833">
      <w:r w:rsidRPr="00886A0F">
        <w:rPr>
          <w:noProof/>
          <w:lang w:val="de-DE" w:eastAsia="de-DE"/>
        </w:rPr>
        <w:drawing>
          <wp:inline distT="0" distB="0" distL="0" distR="0" wp14:anchorId="61FD21B8" wp14:editId="47036E7A">
            <wp:extent cx="5731510" cy="2834171"/>
            <wp:effectExtent l="0" t="0" r="2540" b="4445"/>
            <wp:docPr id="10" name="Picture 10" descr="C:\Users\Varun\AppData\Local\Microsoft\Windows\INetCache\Content.Word\MG-VS-protic_salt_13C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arun\AppData\Local\Microsoft\Windows\INetCache\Content.Word\MG-VS-protic_salt_13C-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3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C6D18" w14:textId="13A093AE" w:rsidR="000038AA" w:rsidRDefault="000038AA" w:rsidP="00454833">
      <w:pPr>
        <w:rPr>
          <w:rFonts w:cs="Times New Roman"/>
        </w:rPr>
      </w:pPr>
      <w:bookmarkStart w:id="3" w:name="_Ref489745446"/>
      <w:r w:rsidRPr="00886A0F">
        <w:rPr>
          <w:rFonts w:cs="Times New Roman"/>
        </w:rPr>
        <w:t>Figure S-</w:t>
      </w:r>
      <w:r w:rsidRPr="00886A0F">
        <w:rPr>
          <w:rFonts w:cs="Times New Roman"/>
          <w:i/>
        </w:rPr>
        <w:fldChar w:fldCharType="begin"/>
      </w:r>
      <w:r w:rsidRPr="00886A0F">
        <w:rPr>
          <w:rFonts w:cs="Times New Roman"/>
        </w:rPr>
        <w:instrText xml:space="preserve"> SEQ Figure \* ARABIC </w:instrText>
      </w:r>
      <w:r w:rsidRPr="00886A0F">
        <w:rPr>
          <w:rFonts w:cs="Times New Roman"/>
          <w:i/>
        </w:rPr>
        <w:fldChar w:fldCharType="separate"/>
      </w:r>
      <w:r w:rsidR="00670207">
        <w:rPr>
          <w:rFonts w:cs="Times New Roman"/>
          <w:noProof/>
        </w:rPr>
        <w:t>4</w:t>
      </w:r>
      <w:r w:rsidRPr="00886A0F">
        <w:rPr>
          <w:rFonts w:cs="Times New Roman"/>
          <w:i/>
        </w:rPr>
        <w:fldChar w:fldCharType="end"/>
      </w:r>
      <w:bookmarkEnd w:id="3"/>
      <w:r w:rsidRPr="00886A0F">
        <w:rPr>
          <w:rFonts w:cs="Times New Roman"/>
        </w:rPr>
        <w:t xml:space="preserve"> </w:t>
      </w:r>
      <w:r w:rsidRPr="00886A0F">
        <w:rPr>
          <w:rFonts w:cs="Times New Roman"/>
          <w:vertAlign w:val="superscript"/>
        </w:rPr>
        <w:t>13</w:t>
      </w:r>
      <w:r w:rsidRPr="00886A0F">
        <w:rPr>
          <w:rFonts w:cs="Times New Roman"/>
        </w:rPr>
        <w:t>C NMR spectra of [1-(2-cyanoethyl)-2-phenylimidazol</w:t>
      </w:r>
      <w:r>
        <w:rPr>
          <w:rFonts w:cs="Times New Roman"/>
        </w:rPr>
        <w:t>ium</w:t>
      </w:r>
      <w:r w:rsidRPr="00886A0F">
        <w:rPr>
          <w:rFonts w:cs="Times New Roman"/>
        </w:rPr>
        <w:t xml:space="preserve">][hydrogen </w:t>
      </w:r>
      <w:r>
        <w:rPr>
          <w:rFonts w:cs="Times New Roman"/>
        </w:rPr>
        <w:t>sulfate</w:t>
      </w:r>
      <w:r w:rsidRPr="00886A0F">
        <w:rPr>
          <w:rFonts w:cs="Times New Roman"/>
        </w:rPr>
        <w:t>]. In the plot, x-axis represents the chemical shifts in ppm and y-axis the peak intensities.</w:t>
      </w:r>
    </w:p>
    <w:p w14:paraId="33DE9AF2" w14:textId="3B444C2F" w:rsidR="00670207" w:rsidRPr="00886A0F" w:rsidRDefault="00670207" w:rsidP="00670207">
      <w:pPr>
        <w:pStyle w:val="berschrift1"/>
        <w:jc w:val="both"/>
        <w:rPr>
          <w:sz w:val="20"/>
          <w:szCs w:val="20"/>
        </w:rPr>
      </w:pPr>
      <w:r>
        <w:t>X-ray diffraction</w:t>
      </w:r>
    </w:p>
    <w:p w14:paraId="35762DF4" w14:textId="77777777" w:rsidR="00670207" w:rsidRPr="005661D8" w:rsidRDefault="00670207" w:rsidP="00670207">
      <w:pPr>
        <w:jc w:val="both"/>
        <w:rPr>
          <w:rFonts w:cs="Times New Roman"/>
          <w:lang w:val="en-GB"/>
        </w:rPr>
      </w:pPr>
      <w:r w:rsidRPr="005661D8">
        <w:rPr>
          <w:rFonts w:cs="Times New Roman"/>
          <w:lang w:val="en-GB"/>
        </w:rPr>
        <w:t xml:space="preserve">Philips </w:t>
      </w:r>
      <w:proofErr w:type="spellStart"/>
      <w:r w:rsidRPr="005661D8">
        <w:rPr>
          <w:rFonts w:cs="Times New Roman"/>
          <w:lang w:val="en-GB"/>
        </w:rPr>
        <w:t>X’pert</w:t>
      </w:r>
      <w:proofErr w:type="spellEnd"/>
      <w:r w:rsidRPr="005661D8">
        <w:rPr>
          <w:rFonts w:cs="Times New Roman"/>
          <w:lang w:val="en-GB"/>
        </w:rPr>
        <w:t xml:space="preserve"> multi-purpose diffractometer (MPD) DY1202 with Cu-Kα (α-1 and α-2) as radiation source (λ = 1.54056 Å) was used to obtain the X-ray </w:t>
      </w:r>
      <w:proofErr w:type="spellStart"/>
      <w:r w:rsidRPr="005661D8">
        <w:rPr>
          <w:rFonts w:cs="Times New Roman"/>
          <w:lang w:val="en-GB"/>
        </w:rPr>
        <w:t>diffractograms</w:t>
      </w:r>
      <w:proofErr w:type="spellEnd"/>
      <w:r w:rsidRPr="005661D8">
        <w:rPr>
          <w:rFonts w:cs="Times New Roman"/>
          <w:lang w:val="en-GB"/>
        </w:rPr>
        <w:t xml:space="preserve">. The defined measurement range was 2 - 50° (2θ) and the capture rate was 0.013°/second. </w:t>
      </w:r>
    </w:p>
    <w:p w14:paraId="7062D04D" w14:textId="38A340B5" w:rsidR="00670207" w:rsidRPr="005661D8" w:rsidRDefault="00670207" w:rsidP="00670207">
      <w:pPr>
        <w:jc w:val="both"/>
        <w:rPr>
          <w:lang w:val="en-GB"/>
        </w:rPr>
      </w:pPr>
      <w:r>
        <w:rPr>
          <w:lang w:val="en-GB"/>
        </w:rPr>
        <w:fldChar w:fldCharType="begin"/>
      </w:r>
      <w:r>
        <w:rPr>
          <w:lang w:val="en-GB"/>
        </w:rPr>
        <w:instrText xml:space="preserve"> REF _Ref20485432 \h </w:instrText>
      </w:r>
      <w:r>
        <w:rPr>
          <w:lang w:val="en-GB"/>
        </w:rPr>
      </w:r>
      <w:r>
        <w:rPr>
          <w:lang w:val="en-GB"/>
        </w:rPr>
        <w:fldChar w:fldCharType="separate"/>
      </w:r>
      <w:r>
        <w:t>Figure S-</w:t>
      </w:r>
      <w:r>
        <w:rPr>
          <w:noProof/>
        </w:rPr>
        <w:t>5</w:t>
      </w:r>
      <w:r>
        <w:rPr>
          <w:lang w:val="en-GB"/>
        </w:rPr>
        <w:fldChar w:fldCharType="end"/>
      </w:r>
      <w:r w:rsidRPr="005661D8">
        <w:rPr>
          <w:lang w:val="en-GB"/>
        </w:rPr>
        <w:t xml:space="preserve"> displays the X-ray </w:t>
      </w:r>
      <w:proofErr w:type="spellStart"/>
      <w:r w:rsidRPr="005661D8">
        <w:rPr>
          <w:lang w:val="en-GB"/>
        </w:rPr>
        <w:t>diffractogram</w:t>
      </w:r>
      <w:proofErr w:type="spellEnd"/>
      <w:r w:rsidRPr="005661D8">
        <w:rPr>
          <w:lang w:val="en-GB"/>
        </w:rPr>
        <w:t xml:space="preserve"> of the heat-treated carbon replica and a comparison of it to a commercially available graphitised carbon black (</w:t>
      </w:r>
      <w:proofErr w:type="spellStart"/>
      <w:r w:rsidRPr="005661D8">
        <w:rPr>
          <w:lang w:val="en-GB"/>
        </w:rPr>
        <w:t>Ketjenblack</w:t>
      </w:r>
      <w:proofErr w:type="spellEnd"/>
      <w:r w:rsidRPr="005661D8">
        <w:rPr>
          <w:lang w:val="en-GB"/>
        </w:rPr>
        <w:t xml:space="preserve"> EC-300JD graphitised by Tanaka </w:t>
      </w:r>
      <w:proofErr w:type="spellStart"/>
      <w:r w:rsidRPr="005661D8">
        <w:rPr>
          <w:lang w:val="en-GB"/>
        </w:rPr>
        <w:lastRenderedPageBreak/>
        <w:t>Kikinzoku</w:t>
      </w:r>
      <w:proofErr w:type="spellEnd"/>
      <w:r w:rsidRPr="005661D8">
        <w:rPr>
          <w:lang w:val="en-GB"/>
        </w:rPr>
        <w:t xml:space="preserve"> Kogyo K.K.). The (002) peak at 25.8</w:t>
      </w:r>
      <w:r w:rsidRPr="005661D8">
        <w:rPr>
          <w:rFonts w:ascii="Calibri" w:hAnsi="Calibri"/>
          <w:lang w:val="en-GB"/>
        </w:rPr>
        <w:t xml:space="preserve">° </w:t>
      </w:r>
      <w:r w:rsidRPr="005661D8">
        <w:rPr>
          <w:lang w:val="en-GB"/>
        </w:rPr>
        <w:t>and (100) peak at 41</w:t>
      </w:r>
      <w:r w:rsidRPr="005661D8">
        <w:rPr>
          <w:rFonts w:ascii="Calibri" w:hAnsi="Calibri"/>
          <w:lang w:val="en-GB"/>
        </w:rPr>
        <w:t>°</w:t>
      </w:r>
      <w:r w:rsidRPr="005661D8">
        <w:rPr>
          <w:lang w:val="en-GB"/>
        </w:rPr>
        <w:t xml:space="preserve"> indicating a graphitic character are clearly visible in both materials whereas the characteristic (101) graphitic peak expected between 44 and 45</w:t>
      </w:r>
      <w:r w:rsidRPr="005661D8">
        <w:rPr>
          <w:rFonts w:ascii="Calibri" w:hAnsi="Calibri"/>
          <w:lang w:val="en-GB"/>
        </w:rPr>
        <w:t>°</w:t>
      </w:r>
      <w:r w:rsidRPr="005661D8">
        <w:rPr>
          <w:lang w:val="en-GB"/>
        </w:rPr>
        <w:t xml:space="preserve"> is not distinct in either samples. The good match between the peaks of the heat-treated carbon replica and a commercially available graphitized (un-doped) carbon black further corroborates to the hypothesis that the heat-treated carbon replica possesses a graphitic character. </w:t>
      </w:r>
    </w:p>
    <w:p w14:paraId="2D96B3DB" w14:textId="77777777" w:rsidR="00670207" w:rsidRDefault="00670207" w:rsidP="00670207">
      <w:pPr>
        <w:keepNext/>
      </w:pPr>
      <w:r w:rsidRPr="00670207">
        <w:rPr>
          <w:rFonts w:cs="Times New Roman"/>
          <w:i/>
          <w:noProof/>
          <w:lang w:val="de-DE" w:eastAsia="de-DE"/>
        </w:rPr>
        <w:drawing>
          <wp:inline distT="0" distB="0" distL="0" distR="0" wp14:anchorId="3F49F750" wp14:editId="16A1D8DD">
            <wp:extent cx="6208395" cy="3492222"/>
            <wp:effectExtent l="19050" t="19050" r="20955" b="13335"/>
            <wp:docPr id="3" name="Picture 3" descr="D:\Frontiers chemistry manuscript\Figure 9 - X-ray diffractograms of the heat-treated carbon replica and a typical commercial graphitized carbon black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rontiers chemistry manuscript\Figure 9 - X-ray diffractograms of the heat-treated carbon replica and a typical commercial graphitized carbon black.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4922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2AECEE" w14:textId="50A4B237" w:rsidR="00670207" w:rsidRDefault="00670207" w:rsidP="00670207">
      <w:pPr>
        <w:pStyle w:val="Beschriftung"/>
        <w:rPr>
          <w:i/>
        </w:rPr>
      </w:pPr>
      <w:bookmarkStart w:id="4" w:name="_Ref20485432"/>
      <w:r>
        <w:t>Figure S-</w:t>
      </w:r>
      <w:fldSimple w:instr=" SEQ Figure \* ARABIC ">
        <w:r>
          <w:rPr>
            <w:noProof/>
          </w:rPr>
          <w:t>5</w:t>
        </w:r>
      </w:fldSimple>
      <w:bookmarkEnd w:id="4"/>
      <w:r>
        <w:t xml:space="preserve">: </w:t>
      </w:r>
      <w:r w:rsidRPr="00670207">
        <w:rPr>
          <w:b w:val="0"/>
        </w:rPr>
        <w:t xml:space="preserve">X-ray </w:t>
      </w:r>
      <w:proofErr w:type="spellStart"/>
      <w:r w:rsidRPr="00670207">
        <w:rPr>
          <w:b w:val="0"/>
        </w:rPr>
        <w:t>diffractograms</w:t>
      </w:r>
      <w:proofErr w:type="spellEnd"/>
      <w:r w:rsidRPr="00670207">
        <w:rPr>
          <w:b w:val="0"/>
        </w:rPr>
        <w:t xml:space="preserve"> of the heat-treated carbon replica and a typical commercial graphitized carbon black.</w:t>
      </w:r>
    </w:p>
    <w:sdt>
      <w:sdtPr>
        <w:rPr>
          <w:rFonts w:eastAsiaTheme="minorHAnsi" w:cstheme="minorBidi"/>
          <w:b w:val="0"/>
          <w:sz w:val="20"/>
          <w:szCs w:val="20"/>
          <w:lang w:val="en-GB"/>
        </w:rPr>
        <w:id w:val="738212578"/>
        <w:docPartObj>
          <w:docPartGallery w:val="Bibliographies"/>
          <w:docPartUnique/>
        </w:docPartObj>
      </w:sdtPr>
      <w:sdtEndPr>
        <w:rPr>
          <w:sz w:val="24"/>
          <w:szCs w:val="22"/>
          <w:lang w:val="en-US"/>
        </w:rPr>
      </w:sdtEndPr>
      <w:sdtContent>
        <w:p w14:paraId="35F215E6" w14:textId="77777777" w:rsidR="000038AA" w:rsidRPr="00886A0F" w:rsidRDefault="000038AA" w:rsidP="000038AA">
          <w:pPr>
            <w:pStyle w:val="berschrift1"/>
            <w:jc w:val="both"/>
            <w:rPr>
              <w:sz w:val="20"/>
              <w:szCs w:val="20"/>
            </w:rPr>
          </w:pPr>
          <w:r w:rsidRPr="00454833">
            <w:t>References</w:t>
          </w:r>
        </w:p>
        <w:sdt>
          <w:sdtPr>
            <w:id w:val="-573587230"/>
            <w:bibliography/>
          </w:sdtPr>
          <w:sdtEndPr/>
          <w:sdtContent>
            <w:p w14:paraId="1A1B676C" w14:textId="77777777" w:rsidR="00454833" w:rsidRDefault="000038AA" w:rsidP="00454833">
              <w:pPr>
                <w:jc w:val="both"/>
                <w:rPr>
                  <w:noProof/>
                  <w:szCs w:val="24"/>
                </w:rPr>
              </w:pPr>
              <w:r w:rsidRPr="00886A0F">
                <w:fldChar w:fldCharType="begin"/>
              </w:r>
              <w:r w:rsidRPr="00886A0F">
                <w:instrText xml:space="preserve"> BIBLIOGRAPHY </w:instrText>
              </w:r>
              <w:r w:rsidRPr="00886A0F">
                <w:fldChar w:fldCharType="separate"/>
              </w:r>
              <w:r w:rsidR="00454833">
                <w:rPr>
                  <w:noProof/>
                </w:rPr>
                <w:t xml:space="preserve">Zhang, Shiguo, Muhammed Shah Miran, Ai Ikoma, Kaoru Dokko, and Masayoshi Watanabe. 2014. "Protic ionic liquids and salts as versatile carbon precursors." </w:t>
              </w:r>
              <w:r w:rsidR="00454833">
                <w:rPr>
                  <w:i/>
                  <w:iCs/>
                  <w:noProof/>
                </w:rPr>
                <w:t>Journal of the American Chemical Society</w:t>
              </w:r>
              <w:r w:rsidR="00454833">
                <w:rPr>
                  <w:noProof/>
                </w:rPr>
                <w:t xml:space="preserve"> (American Chemical Society) 136: 1690-1693. doi:10.1021/ja411981c.</w:t>
              </w:r>
            </w:p>
            <w:p w14:paraId="79A4BABB" w14:textId="2E0A11ED" w:rsidR="000038AA" w:rsidRPr="00454833" w:rsidRDefault="000038AA" w:rsidP="00454833">
              <w:pPr>
                <w:jc w:val="both"/>
              </w:pPr>
              <w:r w:rsidRPr="00886A0F">
                <w:rPr>
                  <w:b/>
                  <w:bCs/>
                  <w:noProof/>
                </w:rPr>
                <w:fldChar w:fldCharType="end"/>
              </w:r>
            </w:p>
            <w:bookmarkStart w:id="5" w:name="_GoBack" w:displacedByCustomXml="next"/>
            <w:bookmarkEnd w:id="5" w:displacedByCustomXml="next"/>
          </w:sdtContent>
        </w:sdt>
      </w:sdtContent>
    </w:sdt>
    <w:sectPr w:rsidR="000038AA" w:rsidRPr="00454833" w:rsidSect="0093429D">
      <w:headerReference w:type="even" r:id="rId13"/>
      <w:footerReference w:type="even" r:id="rId14"/>
      <w:footerReference w:type="default" r:id="rId15"/>
      <w:headerReference w:type="first" r:id="rId16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94FDB2" w14:textId="77777777" w:rsidR="00D060CF" w:rsidRDefault="00D060CF" w:rsidP="00117666">
      <w:pPr>
        <w:spacing w:after="0"/>
      </w:pPr>
      <w:r>
        <w:separator/>
      </w:r>
    </w:p>
  </w:endnote>
  <w:endnote w:type="continuationSeparator" w:id="0">
    <w:p w14:paraId="14E0830A" w14:textId="77777777" w:rsidR="00D060CF" w:rsidRDefault="00D060CF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072F0550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5D75A0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072F0550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5D75A0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34C3DE99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5D75A0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34C3DE99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5D75A0">
                      <w:rPr>
                        <w:noProof/>
                        <w:color w:val="000000" w:themeColor="text1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709C91" w14:textId="77777777" w:rsidR="00D060CF" w:rsidRDefault="00D060CF" w:rsidP="00117666">
      <w:pPr>
        <w:spacing w:after="0"/>
      </w:pPr>
      <w:r>
        <w:separator/>
      </w:r>
    </w:p>
  </w:footnote>
  <w:footnote w:type="continuationSeparator" w:id="0">
    <w:p w14:paraId="5BACC2C0" w14:textId="77777777" w:rsidR="00D060CF" w:rsidRDefault="00D060CF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de-DE" w:eastAsia="de-DE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A678BCDA"/>
    <w:styleLink w:val="Headings"/>
    <w:lvl w:ilvl="0">
      <w:start w:val="1"/>
      <w:numFmt w:val="decimal"/>
      <w:pStyle w:val="berschrift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FEF2356"/>
    <w:multiLevelType w:val="hybridMultilevel"/>
    <w:tmpl w:val="BC12AE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2A7CAC"/>
    <w:multiLevelType w:val="multilevel"/>
    <w:tmpl w:val="A678BCDA"/>
    <w:numStyleLink w:val="Headings"/>
  </w:abstractNum>
  <w:abstractNum w:abstractNumId="6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9" w15:restartNumberingAfterBreak="0">
    <w:nsid w:val="76D227D5"/>
    <w:multiLevelType w:val="hybridMultilevel"/>
    <w:tmpl w:val="BD4EDE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EA1EA3"/>
    <w:multiLevelType w:val="hybridMultilevel"/>
    <w:tmpl w:val="F258C5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7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8"/>
  </w:num>
  <w:num w:numId="8">
    <w:abstractNumId w:val="8"/>
  </w:num>
  <w:num w:numId="9">
    <w:abstractNumId w:val="8"/>
  </w:num>
  <w:num w:numId="10">
    <w:abstractNumId w:val="8"/>
  </w:num>
  <w:num w:numId="11">
    <w:abstractNumId w:val="8"/>
  </w:num>
  <w:num w:numId="12">
    <w:abstractNumId w:val="8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  <w:lvlOverride w:ilvl="0">
      <w:lvl w:ilvl="0">
        <w:start w:val="1"/>
        <w:numFmt w:val="decimal"/>
        <w:pStyle w:val="berschrift1"/>
        <w:lvlText w:val="%1"/>
        <w:lvlJc w:val="left"/>
        <w:pPr>
          <w:tabs>
            <w:tab w:val="num" w:pos="567"/>
          </w:tabs>
          <w:ind w:left="567" w:hanging="567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</w:num>
  <w:num w:numId="20">
    <w:abstractNumId w:val="4"/>
  </w:num>
  <w:num w:numId="21">
    <w:abstractNumId w:val="10"/>
  </w:num>
  <w:num w:numId="22">
    <w:abstractNumId w:val="9"/>
  </w:num>
  <w:num w:numId="23">
    <w:abstractNumId w:val="2"/>
    <w:lvlOverride w:ilvl="0">
      <w:lvl w:ilvl="0">
        <w:start w:val="1"/>
        <w:numFmt w:val="decimal"/>
        <w:pStyle w:val="berschrift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berschrift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038AA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54833"/>
    <w:rsid w:val="004735C8"/>
    <w:rsid w:val="004947A6"/>
    <w:rsid w:val="004961FF"/>
    <w:rsid w:val="00517A89"/>
    <w:rsid w:val="005250F2"/>
    <w:rsid w:val="00593EEA"/>
    <w:rsid w:val="005A5EEE"/>
    <w:rsid w:val="005D75A0"/>
    <w:rsid w:val="006375C7"/>
    <w:rsid w:val="00654E8F"/>
    <w:rsid w:val="00660D05"/>
    <w:rsid w:val="00670207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B41FAF"/>
    <w:rsid w:val="00BF6BD0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berschrift1">
    <w:name w:val="heading 1"/>
    <w:basedOn w:val="Listenabsatz"/>
    <w:next w:val="Standard"/>
    <w:link w:val="berschrift1Zchn"/>
    <w:uiPriority w:val="9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berschrift2">
    <w:name w:val="heading 2"/>
    <w:basedOn w:val="berschrift1"/>
    <w:next w:val="Standard"/>
    <w:link w:val="berschrift2Zchn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berschrift3">
    <w:name w:val="heading 3"/>
    <w:basedOn w:val="Standard"/>
    <w:next w:val="Standard"/>
    <w:link w:val="berschrift3Zchn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berschrift3"/>
    <w:next w:val="Standard"/>
    <w:link w:val="berschrift4Zchn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berschrift5">
    <w:name w:val="heading 5"/>
    <w:basedOn w:val="berschrift4"/>
    <w:next w:val="Standard"/>
    <w:link w:val="berschrift5Zchn"/>
    <w:uiPriority w:val="2"/>
    <w:qFormat/>
    <w:rsid w:val="00AB6715"/>
    <w:pPr>
      <w:numPr>
        <w:ilvl w:val="4"/>
      </w:numPr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Untertitel"/>
    <w:next w:val="Standard"/>
    <w:uiPriority w:val="1"/>
    <w:qFormat/>
    <w:rsid w:val="00AB671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uchtitel">
    <w:name w:val="Book Title"/>
    <w:basedOn w:val="Absatz-Standardschriftar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eschriftung">
    <w:name w:val="caption"/>
    <w:basedOn w:val="Standard"/>
    <w:next w:val="KeinLeerraum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KeinLeerraum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B671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B671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671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AB6715"/>
    <w:rPr>
      <w:rFonts w:ascii="Times New Roman" w:hAnsi="Times New Roman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B6715"/>
    <w:rPr>
      <w:rFonts w:ascii="Times New Roman" w:hAnsi="Times New Roman"/>
      <w:sz w:val="24"/>
    </w:rPr>
  </w:style>
  <w:style w:type="character" w:styleId="Funotenzeichen">
    <w:name w:val="foot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KopfzeileZchn">
    <w:name w:val="Kopfzeile Zchn"/>
    <w:basedOn w:val="Absatz-Standardschriftart"/>
    <w:link w:val="Kopfzeile"/>
    <w:uiPriority w:val="99"/>
    <w:rsid w:val="00AB6715"/>
    <w:rPr>
      <w:rFonts w:ascii="Times New Roman" w:hAnsi="Times New Roman"/>
      <w:b/>
      <w:sz w:val="24"/>
    </w:rPr>
  </w:style>
  <w:style w:type="paragraph" w:styleId="Listenabsatz">
    <w:name w:val="List Paragraph"/>
    <w:basedOn w:val="Standard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Absatz-Standardschriftart"/>
    <w:uiPriority w:val="99"/>
    <w:unhideWhenUsed/>
    <w:rsid w:val="00AB6715"/>
    <w:rPr>
      <w:color w:val="0000FF"/>
      <w:u w:val="single"/>
    </w:rPr>
  </w:style>
  <w:style w:type="character" w:styleId="IntensiveHervorhebung">
    <w:name w:val="Intense Emphasis"/>
    <w:basedOn w:val="Absatz-Standardschriftar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iverVerweis">
    <w:name w:val="Intense Reference"/>
    <w:basedOn w:val="Absatz-Standardschriftart"/>
    <w:uiPriority w:val="32"/>
    <w:qFormat/>
    <w:rsid w:val="00AB6715"/>
    <w:rPr>
      <w:b/>
      <w:bCs/>
      <w:smallCaps/>
      <w:color w:val="auto"/>
      <w:spacing w:val="5"/>
    </w:rPr>
  </w:style>
  <w:style w:type="character" w:styleId="Zeilennummer">
    <w:name w:val="line number"/>
    <w:basedOn w:val="Absatz-Standardschriftart"/>
    <w:uiPriority w:val="99"/>
    <w:semiHidden/>
    <w:unhideWhenUsed/>
    <w:rsid w:val="00AB6715"/>
  </w:style>
  <w:style w:type="character" w:customStyle="1" w:styleId="berschrift3Zchn">
    <w:name w:val="Überschrift 3 Zchn"/>
    <w:basedOn w:val="Absatz-Standardschriftart"/>
    <w:link w:val="berschrift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Fett">
    <w:name w:val="Strong"/>
    <w:basedOn w:val="Absatz-Standardschriftart"/>
    <w:uiPriority w:val="22"/>
    <w:qFormat/>
    <w:rsid w:val="00AB6715"/>
    <w:rPr>
      <w:rFonts w:ascii="Times New Roman" w:hAnsi="Times New Roman"/>
      <w:b/>
      <w:bCs/>
    </w:rPr>
  </w:style>
  <w:style w:type="character" w:styleId="SchwacheHervorhebung">
    <w:name w:val="Subtle Emphasis"/>
    <w:basedOn w:val="Absatz-Standardschriftar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lenraster">
    <w:name w:val="Table Grid"/>
    <w:basedOn w:val="NormaleTabelle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rsid w:val="0001436A"/>
    <w:pPr>
      <w:spacing w:after="120"/>
    </w:pPr>
    <w:rPr>
      <w:i/>
    </w:rPr>
  </w:style>
  <w:style w:type="paragraph" w:styleId="Literaturverzeichnis">
    <w:name w:val="Bibliography"/>
    <w:basedOn w:val="Standard"/>
    <w:next w:val="Standard"/>
    <w:uiPriority w:val="37"/>
    <w:unhideWhenUsed/>
    <w:rsid w:val="000038AA"/>
    <w:pPr>
      <w:spacing w:before="0" w:after="160" w:line="259" w:lineRule="auto"/>
    </w:pPr>
    <w:rPr>
      <w:rFonts w:asciiTheme="minorHAnsi" w:hAnsiTheme="minorHAnsi"/>
      <w:sz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6">
  <b:Source>
    <b:Year>2014</b:Year>
    <b:Volume>136</b:Volume>
    <b:BIBTEX_Entry>article</b:BIBTEX_Entry>
    <b:SourceType>JournalArticle</b:SourceType>
    <b:Title>Protic ionic liquids and salts as versatile carbon precursors</b:Title>
    <b:Tag>zhang2014c</b:Tag>
    <b:Publisher>American Chemical Society</b:Publisher>
    <b:DOI>10.1021/ja411981c</b:DOI>
    <b:Author>
      <b:Author>
        <b:NameList>
          <b:Person>
            <b:Last>Zhang</b:Last>
            <b:First>Shiguo</b:First>
          </b:Person>
          <b:Person>
            <b:Last>Miran</b:Last>
            <b:Middle>Shah</b:Middle>
            <b:First>Muhammed</b:First>
          </b:Person>
          <b:Person>
            <b:Last>Ikoma</b:Last>
            <b:First>Ai</b:First>
          </b:Person>
          <b:Person>
            <b:Last>Dokko</b:Last>
            <b:First>Kaoru</b:First>
          </b:Person>
          <b:Person>
            <b:Last>Watanabe</b:Last>
            <b:First>Masayoshi</b:First>
          </b:Person>
        </b:NameList>
      </b:Author>
    </b:Author>
    <b:Pages>1690-1693</b:Pages>
    <b:JournalName>Journal of the American Chemical Society</b:JournalName>
    <b:Number>5</b:Number>
    <b:StandardNumber> ISSN: 15205126, 00027863</b:StandardNumber>
    <b:RefOrder>1</b:RefOrder>
  </b:Source>
</b:Sources>
</file>

<file path=customXml/itemProps1.xml><?xml version="1.0" encoding="utf-8"?>
<ds:datastoreItem xmlns:ds="http://schemas.openxmlformats.org/officeDocument/2006/customXml" ds:itemID="{39A2825A-DF6C-432A-82A8-68AF31A73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5</Pages>
  <Words>842</Words>
  <Characters>5311</Characters>
  <Application>Microsoft Office Word</Application>
  <DocSecurity>0</DocSecurity>
  <Lines>44</Lines>
  <Paragraphs>12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Dirk Enke</cp:lastModifiedBy>
  <cp:revision>3</cp:revision>
  <cp:lastPrinted>2013-10-03T12:51:00Z</cp:lastPrinted>
  <dcterms:created xsi:type="dcterms:W3CDTF">2019-09-28T15:52:00Z</dcterms:created>
  <dcterms:modified xsi:type="dcterms:W3CDTF">2019-09-29T07:04:00Z</dcterms:modified>
</cp:coreProperties>
</file>