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41" w:rsidRDefault="00710041" w:rsidP="00710041">
      <w:pPr>
        <w:pStyle w:val="Titolo"/>
        <w:spacing w:before="0" w:after="0"/>
        <w:jc w:val="both"/>
      </w:pPr>
      <w:r>
        <w:t xml:space="preserve">Title: </w:t>
      </w:r>
      <w:r w:rsidRPr="00811C2D">
        <w:t>Germline polymorphisms in the nuclear receptors PXR and VDR as novel prognostic markers in metastatic colorectal cancer patients treated with FOLFIRI</w:t>
      </w:r>
    </w:p>
    <w:p w:rsidR="00710041" w:rsidRPr="000569D5" w:rsidRDefault="00710041" w:rsidP="00710041"/>
    <w:p w:rsidR="00710041" w:rsidRPr="00767AEA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it-IT"/>
        </w:rPr>
      </w:pPr>
      <w:proofErr w:type="spellStart"/>
      <w:r w:rsidRPr="00767AEA">
        <w:rPr>
          <w:rFonts w:cs="Times New Roman"/>
          <w:b/>
          <w:color w:val="000000" w:themeColor="text1"/>
          <w:lang w:val="it-IT"/>
        </w:rPr>
        <w:t>Authors</w:t>
      </w:r>
      <w:proofErr w:type="spellEnd"/>
      <w:r w:rsidRPr="00767AEA">
        <w:rPr>
          <w:rFonts w:cs="Times New Roman"/>
          <w:b/>
          <w:color w:val="000000" w:themeColor="text1"/>
          <w:lang w:val="it-IT"/>
        </w:rPr>
        <w:t>:</w:t>
      </w:r>
      <w:r w:rsidRPr="00767AEA">
        <w:rPr>
          <w:rFonts w:cs="Times New Roman"/>
          <w:color w:val="000000" w:themeColor="text1"/>
          <w:lang w:val="it-IT"/>
        </w:rPr>
        <w:t xml:space="preserve"> Elena De Mattia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 xml:space="preserve">*, </w:t>
      </w:r>
      <w:r w:rsidRPr="00767AEA">
        <w:rPr>
          <w:rFonts w:cs="Times New Roman"/>
          <w:lang w:val="it-IT"/>
        </w:rPr>
        <w:t>Jerry Polesel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2</w:t>
      </w:r>
      <w:r w:rsidRPr="00767AEA">
        <w:rPr>
          <w:rFonts w:cs="Times New Roman"/>
          <w:lang w:val="it-IT"/>
        </w:rPr>
        <w:t>,</w:t>
      </w:r>
      <w:r w:rsidRPr="00767AEA">
        <w:rPr>
          <w:rFonts w:cs="Times New Roman"/>
          <w:color w:val="000000" w:themeColor="text1"/>
          <w:lang w:val="it-IT"/>
        </w:rPr>
        <w:t xml:space="preserve"> Rossana Roncato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767AEA">
        <w:rPr>
          <w:rFonts w:cs="Times New Roman"/>
          <w:color w:val="000000" w:themeColor="text1"/>
          <w:lang w:val="it-IT"/>
        </w:rPr>
        <w:t>Adrien</w:t>
      </w:r>
      <w:proofErr w:type="spellEnd"/>
      <w:r w:rsidRPr="00767AEA">
        <w:rPr>
          <w:rFonts w:cs="Times New Roman"/>
          <w:color w:val="000000" w:themeColor="text1"/>
          <w:lang w:val="it-IT"/>
        </w:rPr>
        <w:t xml:space="preserve"> Labriet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3</w:t>
      </w:r>
      <w:r w:rsidRPr="00767AEA">
        <w:rPr>
          <w:rFonts w:cs="Times New Roman"/>
          <w:color w:val="000000" w:themeColor="text1"/>
          <w:lang w:val="it-IT"/>
        </w:rPr>
        <w:t>, Alessia Bignucolo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>, Eva Dreussi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>, Loredana Romanato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>, Michela Guardascione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>, Angela Buonadonna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4</w:t>
      </w:r>
      <w:r w:rsidRPr="00767AEA">
        <w:rPr>
          <w:rFonts w:cs="Times New Roman"/>
          <w:color w:val="000000" w:themeColor="text1"/>
          <w:lang w:val="it-IT"/>
        </w:rPr>
        <w:t>, Mario D’Andrea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5</w:t>
      </w:r>
      <w:r w:rsidRPr="00767AEA">
        <w:rPr>
          <w:rFonts w:cs="Times New Roman"/>
          <w:color w:val="000000" w:themeColor="text1"/>
          <w:lang w:val="it-IT"/>
        </w:rPr>
        <w:t>, Eric Lévesque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6</w:t>
      </w:r>
      <w:r w:rsidRPr="00767AEA">
        <w:rPr>
          <w:rFonts w:cs="Times New Roman"/>
          <w:color w:val="000000" w:themeColor="text1"/>
          <w:lang w:val="it-IT"/>
        </w:rPr>
        <w:t>, Derek Jonker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7</w:t>
      </w:r>
      <w:r w:rsidRPr="00767AEA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767AEA">
        <w:rPr>
          <w:rFonts w:cs="Times New Roman"/>
          <w:color w:val="000000" w:themeColor="text1"/>
          <w:lang w:val="it-IT"/>
        </w:rPr>
        <w:t>Félix</w:t>
      </w:r>
      <w:proofErr w:type="spellEnd"/>
      <w:r w:rsidRPr="00767AEA">
        <w:rPr>
          <w:rFonts w:cs="Times New Roman"/>
          <w:color w:val="000000" w:themeColor="text1"/>
          <w:lang w:val="it-IT"/>
        </w:rPr>
        <w:t xml:space="preserve"> Couture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6</w:t>
      </w:r>
      <w:r w:rsidRPr="00767AEA">
        <w:rPr>
          <w:rFonts w:cs="Times New Roman"/>
          <w:color w:val="000000" w:themeColor="text1"/>
          <w:lang w:val="it-IT"/>
        </w:rPr>
        <w:t xml:space="preserve">, </w:t>
      </w:r>
      <w:proofErr w:type="spellStart"/>
      <w:r w:rsidRPr="00767AEA">
        <w:rPr>
          <w:rFonts w:cs="Times New Roman"/>
          <w:color w:val="000000" w:themeColor="text1"/>
          <w:lang w:val="it-IT"/>
        </w:rPr>
        <w:t>Chantal</w:t>
      </w:r>
      <w:proofErr w:type="spellEnd"/>
      <w:r w:rsidRPr="00767AEA">
        <w:rPr>
          <w:rFonts w:cs="Times New Roman"/>
          <w:color w:val="000000" w:themeColor="text1"/>
          <w:lang w:val="it-IT"/>
        </w:rPr>
        <w:t xml:space="preserve"> Guillemette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3</w:t>
      </w:r>
      <w:r w:rsidRPr="00767AEA">
        <w:rPr>
          <w:rFonts w:cs="Times New Roman"/>
          <w:color w:val="000000" w:themeColor="text1"/>
          <w:lang w:val="it-IT"/>
        </w:rPr>
        <w:t>, Erika Cecchin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</w:t>
      </w:r>
      <w:r w:rsidRPr="00767AEA">
        <w:rPr>
          <w:rFonts w:cs="Times New Roman"/>
          <w:color w:val="000000" w:themeColor="text1"/>
          <w:lang w:val="it-IT"/>
        </w:rPr>
        <w:t>#, Giuseppe Toffoli</w:t>
      </w:r>
      <w:r w:rsidRPr="00767AEA">
        <w:rPr>
          <w:rFonts w:cs="Times New Roman"/>
          <w:color w:val="000000" w:themeColor="text1"/>
          <w:vertAlign w:val="superscript"/>
          <w:lang w:val="it-IT"/>
        </w:rPr>
        <w:t>1*</w:t>
      </w:r>
      <w:r w:rsidRPr="00767AEA">
        <w:rPr>
          <w:rFonts w:cs="Times New Roman"/>
          <w:color w:val="000000" w:themeColor="text1"/>
          <w:lang w:val="it-IT"/>
        </w:rPr>
        <w:t>#</w:t>
      </w:r>
    </w:p>
    <w:p w:rsidR="00710041" w:rsidRPr="00767AEA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it-IT"/>
        </w:rPr>
      </w:pP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  <w:r w:rsidRPr="00811C2D">
        <w:rPr>
          <w:rFonts w:cs="Times New Roman"/>
          <w:color w:val="000000" w:themeColor="text1"/>
        </w:rPr>
        <w:t>#</w:t>
      </w:r>
      <w:proofErr w:type="spellStart"/>
      <w:r w:rsidRPr="00811C2D">
        <w:rPr>
          <w:rFonts w:cs="Times New Roman"/>
          <w:color w:val="000000" w:themeColor="text1"/>
        </w:rPr>
        <w:t>Cecchin</w:t>
      </w:r>
      <w:proofErr w:type="spellEnd"/>
      <w:r w:rsidRPr="00811C2D">
        <w:rPr>
          <w:rFonts w:cs="Times New Roman"/>
          <w:color w:val="000000" w:themeColor="text1"/>
        </w:rPr>
        <w:t xml:space="preserve"> E. and </w:t>
      </w:r>
      <w:proofErr w:type="spellStart"/>
      <w:r w:rsidRPr="00811C2D">
        <w:rPr>
          <w:rFonts w:cs="Times New Roman"/>
          <w:color w:val="000000" w:themeColor="text1"/>
        </w:rPr>
        <w:t>Toffoli</w:t>
      </w:r>
      <w:proofErr w:type="spellEnd"/>
      <w:r w:rsidRPr="00811C2D">
        <w:rPr>
          <w:rFonts w:cs="Times New Roman"/>
          <w:color w:val="000000" w:themeColor="text1"/>
        </w:rPr>
        <w:t xml:space="preserve"> G. share last authorship</w:t>
      </w: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</w:p>
    <w:p w:rsidR="00710041" w:rsidRPr="00811C2D" w:rsidRDefault="00710041" w:rsidP="00710041">
      <w:pPr>
        <w:spacing w:after="0"/>
        <w:jc w:val="both"/>
        <w:rPr>
          <w:rFonts w:cs="Times New Roman"/>
          <w:b/>
          <w:color w:val="000000" w:themeColor="text1"/>
        </w:rPr>
      </w:pPr>
      <w:r w:rsidRPr="00811C2D">
        <w:rPr>
          <w:rFonts w:cs="Times New Roman"/>
          <w:b/>
          <w:color w:val="000000" w:themeColor="text1"/>
        </w:rPr>
        <w:t>Correspondence</w:t>
      </w:r>
      <w:r>
        <w:rPr>
          <w:rFonts w:cs="Times New Roman"/>
          <w:b/>
          <w:color w:val="000000" w:themeColor="text1"/>
        </w:rPr>
        <w:t xml:space="preserve"> to</w:t>
      </w:r>
      <w:r w:rsidRPr="00811C2D">
        <w:rPr>
          <w:rFonts w:cs="Times New Roman"/>
          <w:b/>
          <w:color w:val="000000" w:themeColor="text1"/>
        </w:rPr>
        <w:t>:</w:t>
      </w:r>
    </w:p>
    <w:p w:rsidR="00710041" w:rsidRPr="00811C2D" w:rsidRDefault="00710041" w:rsidP="00710041">
      <w:pPr>
        <w:spacing w:after="0"/>
        <w:jc w:val="both"/>
        <w:rPr>
          <w:rFonts w:cs="Times New Roman"/>
          <w:color w:val="000000" w:themeColor="text1"/>
        </w:rPr>
      </w:pPr>
      <w:r w:rsidRPr="00811C2D">
        <w:rPr>
          <w:rFonts w:cs="Times New Roman"/>
          <w:color w:val="000000" w:themeColor="text1"/>
        </w:rPr>
        <w:t xml:space="preserve">*Dr. Elena De </w:t>
      </w:r>
      <w:proofErr w:type="spellStart"/>
      <w:r w:rsidRPr="00811C2D">
        <w:rPr>
          <w:rFonts w:cs="Times New Roman"/>
          <w:color w:val="000000" w:themeColor="text1"/>
        </w:rPr>
        <w:t>Mattia</w:t>
      </w:r>
      <w:proofErr w:type="spellEnd"/>
      <w:r w:rsidRPr="00811C2D">
        <w:rPr>
          <w:rFonts w:cs="Times New Roman"/>
          <w:color w:val="000000" w:themeColor="text1"/>
        </w:rPr>
        <w:t xml:space="preserve"> PhD, Clinical and Experimental Pharmacology, CRO- National Cancer Institute, Via Franco </w:t>
      </w:r>
      <w:proofErr w:type="spellStart"/>
      <w:r w:rsidRPr="00811C2D">
        <w:rPr>
          <w:rFonts w:cs="Times New Roman"/>
          <w:color w:val="000000" w:themeColor="text1"/>
        </w:rPr>
        <w:t>Gallini</w:t>
      </w:r>
      <w:proofErr w:type="spellEnd"/>
      <w:r w:rsidRPr="00811C2D">
        <w:rPr>
          <w:rFonts w:cs="Times New Roman"/>
          <w:color w:val="000000" w:themeColor="text1"/>
        </w:rPr>
        <w:t xml:space="preserve"> n. 2, 33081 </w:t>
      </w:r>
      <w:proofErr w:type="spellStart"/>
      <w:r w:rsidRPr="00811C2D">
        <w:rPr>
          <w:rFonts w:cs="Times New Roman"/>
          <w:color w:val="000000" w:themeColor="text1"/>
        </w:rPr>
        <w:t>Aviano</w:t>
      </w:r>
      <w:proofErr w:type="spellEnd"/>
      <w:r w:rsidRPr="00811C2D">
        <w:rPr>
          <w:rFonts w:cs="Times New Roman"/>
          <w:color w:val="000000" w:themeColor="text1"/>
        </w:rPr>
        <w:t xml:space="preserve"> (PN) –Italy. </w:t>
      </w:r>
      <w:hyperlink r:id="rId8" w:history="1">
        <w:r w:rsidRPr="00811C2D">
          <w:rPr>
            <w:rStyle w:val="Collegamentoipertestuale"/>
            <w:rFonts w:cs="Times New Roman"/>
          </w:rPr>
          <w:t>edemattia@cro.it</w:t>
        </w:r>
      </w:hyperlink>
    </w:p>
    <w:p w:rsidR="00710041" w:rsidRDefault="00710041">
      <w:pPr>
        <w:spacing w:before="0" w:after="200" w:line="276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br w:type="page"/>
      </w:r>
    </w:p>
    <w:p w:rsidR="00710041" w:rsidRPr="00710041" w:rsidRDefault="00580144" w:rsidP="00710041">
      <w:pPr>
        <w:spacing w:before="0" w:after="0"/>
        <w:jc w:val="both"/>
        <w:rPr>
          <w:rFonts w:cs="Times New Roman"/>
          <w:b/>
          <w:color w:val="000000" w:themeColor="text1"/>
          <w:lang w:val="en-GB"/>
        </w:rPr>
      </w:pPr>
      <w:r>
        <w:rPr>
          <w:rFonts w:cs="Times New Roman"/>
          <w:b/>
          <w:color w:val="000000" w:themeColor="text1"/>
          <w:lang w:val="en-GB"/>
        </w:rPr>
        <w:lastRenderedPageBreak/>
        <w:t>Supplementary T</w:t>
      </w:r>
      <w:r w:rsidR="00710041" w:rsidRPr="00710041">
        <w:rPr>
          <w:rFonts w:cs="Times New Roman"/>
          <w:b/>
          <w:color w:val="000000" w:themeColor="text1"/>
          <w:lang w:val="en-GB"/>
        </w:rPr>
        <w:t xml:space="preserve">able S1. Distribution of </w:t>
      </w:r>
      <w:proofErr w:type="spellStart"/>
      <w:r w:rsidR="00710041" w:rsidRPr="00710041">
        <w:rPr>
          <w:rFonts w:cs="Times New Roman"/>
          <w:b/>
          <w:color w:val="000000" w:themeColor="text1"/>
          <w:lang w:val="en-GB"/>
        </w:rPr>
        <w:t>mCRC</w:t>
      </w:r>
      <w:proofErr w:type="spellEnd"/>
      <w:r w:rsidR="00710041" w:rsidRPr="00710041">
        <w:rPr>
          <w:rFonts w:cs="Times New Roman"/>
          <w:b/>
          <w:color w:val="000000" w:themeColor="text1"/>
          <w:lang w:val="en-GB"/>
        </w:rPr>
        <w:t xml:space="preserve"> patients from the discovery (n=247) and  replication  (n=90) cohorts according to gene polymorphisms (SNP). </w:t>
      </w:r>
    </w:p>
    <w:p w:rsidR="00710041" w:rsidRPr="00710041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en-GB"/>
        </w:rPr>
      </w:pPr>
    </w:p>
    <w:tbl>
      <w:tblPr>
        <w:tblStyle w:val="Grigliatabella"/>
        <w:tblW w:w="1352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25"/>
        <w:gridCol w:w="1772"/>
        <w:gridCol w:w="1182"/>
        <w:gridCol w:w="1575"/>
        <w:gridCol w:w="1378"/>
        <w:gridCol w:w="1772"/>
        <w:gridCol w:w="1181"/>
        <w:gridCol w:w="1575"/>
        <w:gridCol w:w="1365"/>
      </w:tblGrid>
      <w:tr w:rsidR="00710041" w:rsidRPr="00710041" w:rsidTr="00710041">
        <w:trPr>
          <w:trHeight w:val="334"/>
        </w:trPr>
        <w:tc>
          <w:tcPr>
            <w:tcW w:w="1725" w:type="dxa"/>
            <w:vMerge w:val="restart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Genes</w:t>
            </w:r>
          </w:p>
        </w:tc>
        <w:tc>
          <w:tcPr>
            <w:tcW w:w="1772" w:type="dxa"/>
            <w:vMerge w:val="restart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SNP</w:t>
            </w:r>
          </w:p>
        </w:tc>
        <w:tc>
          <w:tcPr>
            <w:tcW w:w="1182" w:type="dxa"/>
            <w:vMerge w:val="restart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Base change</w:t>
            </w:r>
          </w:p>
        </w:tc>
        <w:tc>
          <w:tcPr>
            <w:tcW w:w="4725" w:type="dxa"/>
            <w:gridSpan w:val="3"/>
            <w:tcBorders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Discovery cohort</w:t>
            </w:r>
          </w:p>
        </w:tc>
        <w:tc>
          <w:tcPr>
            <w:tcW w:w="4121" w:type="dxa"/>
            <w:gridSpan w:val="3"/>
            <w:tcBorders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Replication cohort</w:t>
            </w:r>
          </w:p>
        </w:tc>
      </w:tr>
      <w:tr w:rsidR="00710041" w:rsidRPr="00710041" w:rsidTr="00710041">
        <w:trPr>
          <w:trHeight w:val="296"/>
        </w:trPr>
        <w:tc>
          <w:tcPr>
            <w:tcW w:w="1725" w:type="dxa"/>
            <w:vMerge/>
            <w:tcBorders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772" w:type="dxa"/>
            <w:vMerge/>
            <w:tcBorders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182" w:type="dxa"/>
            <w:vMerge/>
            <w:tcBorders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AA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proofErr w:type="spellStart"/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Aa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proofErr w:type="spellStart"/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aa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AA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proofErr w:type="spellStart"/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Aa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  <w:proofErr w:type="spellStart"/>
            <w:r w:rsidRPr="00710041">
              <w:rPr>
                <w:rFonts w:cs="Times New Roman"/>
                <w:b/>
                <w:color w:val="000000" w:themeColor="text1"/>
                <w:lang w:val="en-GB"/>
              </w:rPr>
              <w:t>aa</w:t>
            </w:r>
            <w:proofErr w:type="spellEnd"/>
          </w:p>
        </w:tc>
      </w:tr>
      <w:tr w:rsidR="00710041" w:rsidRPr="00710041" w:rsidTr="00710041">
        <w:trPr>
          <w:trHeight w:val="296"/>
        </w:trPr>
        <w:tc>
          <w:tcPr>
            <w:tcW w:w="1725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b/>
                <w:color w:val="000000" w:themeColor="text1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en-GB"/>
              </w:rPr>
            </w:pPr>
          </w:p>
        </w:tc>
        <w:tc>
          <w:tcPr>
            <w:tcW w:w="1378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en-GB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en-GB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en-GB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bottom w:val="nil"/>
            </w:tcBorders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en-GB"/>
              </w:rPr>
            </w:pP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>HNF4A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rs3212208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T&gt;C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0.8502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0.1457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0.0040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0.8111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0.1667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0.0222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>NFKB1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rs3774934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G&gt;A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0.7202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0.2634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0.0165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0.8556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0.1414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0.0000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 xml:space="preserve">NR1I2 </w:t>
            </w:r>
            <w:r w:rsidRPr="00710041">
              <w:rPr>
                <w:rFonts w:cs="Times New Roman"/>
                <w:color w:val="000000" w:themeColor="text1"/>
              </w:rPr>
              <w:t>(PXR)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rs1054190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C&gt;T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0.7409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0.2389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0.0202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0.7889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0.1778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0.0333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 xml:space="preserve">NR1I2 </w:t>
            </w:r>
            <w:r w:rsidRPr="00710041">
              <w:rPr>
                <w:rFonts w:cs="Times New Roman"/>
                <w:color w:val="000000" w:themeColor="text1"/>
              </w:rPr>
              <w:t>(PXR)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rs6784598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C&gt;G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0.3862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0.4675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0.1463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0.3778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0.4333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0.1889</w:t>
            </w:r>
          </w:p>
        </w:tc>
      </w:tr>
      <w:tr w:rsidR="00710041" w:rsidRPr="00710041" w:rsidTr="00710041">
        <w:trPr>
          <w:trHeight w:val="296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 xml:space="preserve">NR1I3 </w:t>
            </w:r>
            <w:r w:rsidRPr="00710041">
              <w:rPr>
                <w:rFonts w:cs="Times New Roman"/>
                <w:color w:val="000000" w:themeColor="text1"/>
              </w:rPr>
              <w:t>(CAR)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rs4073054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T&gt;G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0.3918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0.4286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0.1796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0.4444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0.4444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0.1111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i/>
                <w:color w:val="000000" w:themeColor="text1"/>
                <w:lang w:val="it-IT"/>
              </w:rPr>
              <w:t>PPARA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rs4253655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G&gt;A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0.6382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0.3496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0.0122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0.5169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0.4494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0.0037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i/>
                <w:color w:val="000000" w:themeColor="text1"/>
                <w:lang w:val="it-IT"/>
              </w:rPr>
              <w:t>PPARD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rs4713854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A&gt;C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0.8502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0.1457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0.0040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0.7865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0.2022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0.0112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i/>
                <w:color w:val="000000" w:themeColor="text1"/>
                <w:lang w:val="it-IT"/>
              </w:rPr>
              <w:t>PPARG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rs7626560§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C&gt;T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0.7045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0.2713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0.0243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0.6889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0.2556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0.0556</w:t>
            </w:r>
          </w:p>
        </w:tc>
      </w:tr>
      <w:tr w:rsidR="00710041" w:rsidRPr="00710041" w:rsidTr="00710041">
        <w:trPr>
          <w:trHeight w:val="296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>STAT3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rs17593222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C&gt;G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0.8947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0.1012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0.0040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0.8090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0.1798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0.0112</w:t>
            </w:r>
          </w:p>
        </w:tc>
      </w:tr>
      <w:tr w:rsidR="00710041" w:rsidRPr="00710041" w:rsidTr="00710041">
        <w:trPr>
          <w:trHeight w:val="296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</w:rPr>
            </w:pPr>
            <w:r w:rsidRPr="00710041">
              <w:rPr>
                <w:rFonts w:cs="Times New Roman"/>
                <w:i/>
                <w:color w:val="000000" w:themeColor="text1"/>
              </w:rPr>
              <w:t>VDR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rs4760648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C&gt;T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0.3347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0.4898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0.1755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0.3889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0.5000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0.1111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i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i/>
                <w:color w:val="000000" w:themeColor="text1"/>
                <w:lang w:val="it-IT"/>
              </w:rPr>
              <w:t>VDR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rs7299460</w:t>
            </w: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C&gt;T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0.4453</w:t>
            </w: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0.4291</w:t>
            </w: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  <w:lang w:val="it-IT"/>
              </w:rPr>
            </w:pPr>
            <w:r w:rsidRPr="00710041">
              <w:rPr>
                <w:rFonts w:cs="Times New Roman"/>
                <w:color w:val="000000" w:themeColor="text1"/>
                <w:lang w:val="it-IT"/>
              </w:rPr>
              <w:t>0.1255</w:t>
            </w: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0.5333</w:t>
            </w: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0.4000</w:t>
            </w: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  <w:r w:rsidRPr="00710041">
              <w:rPr>
                <w:rFonts w:cs="Times New Roman"/>
                <w:color w:val="000000" w:themeColor="text1"/>
              </w:rPr>
              <w:t>0.0667</w:t>
            </w:r>
          </w:p>
        </w:tc>
      </w:tr>
      <w:tr w:rsidR="00710041" w:rsidRPr="00710041" w:rsidTr="00710041">
        <w:trPr>
          <w:trHeight w:val="308"/>
        </w:trPr>
        <w:tc>
          <w:tcPr>
            <w:tcW w:w="172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18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378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772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181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57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1365" w:type="dxa"/>
            <w:vAlign w:val="center"/>
          </w:tcPr>
          <w:p w:rsidR="00710041" w:rsidRPr="00710041" w:rsidRDefault="00710041" w:rsidP="00710041">
            <w:pPr>
              <w:spacing w:before="0" w:after="0"/>
              <w:jc w:val="both"/>
              <w:rPr>
                <w:rFonts w:cs="Times New Roman"/>
                <w:color w:val="000000" w:themeColor="text1"/>
              </w:rPr>
            </w:pPr>
          </w:p>
        </w:tc>
      </w:tr>
    </w:tbl>
    <w:p w:rsidR="00710041" w:rsidRPr="00710041" w:rsidRDefault="00710041" w:rsidP="00710041">
      <w:pPr>
        <w:spacing w:before="0" w:after="0"/>
        <w:jc w:val="both"/>
        <w:rPr>
          <w:rFonts w:cs="Times New Roman"/>
          <w:color w:val="000000" w:themeColor="text1"/>
          <w:lang w:val="en-GB"/>
        </w:rPr>
      </w:pPr>
      <w:r w:rsidRPr="00710041">
        <w:rPr>
          <w:rFonts w:cs="Times New Roman"/>
          <w:color w:val="000000" w:themeColor="text1"/>
        </w:rPr>
        <w:t xml:space="preserve">§rs7626560 was replace in the replication set by rs13099078 </w:t>
      </w:r>
      <w:r w:rsidRPr="00710041">
        <w:rPr>
          <w:rFonts w:cs="Times New Roman"/>
          <w:color w:val="000000" w:themeColor="text1"/>
          <w:lang w:val="en-GB"/>
        </w:rPr>
        <w:t>which is in complete Linkage Disequilibrium (r2=1)</w:t>
      </w:r>
    </w:p>
    <w:p w:rsidR="00710041" w:rsidRDefault="00710041" w:rsidP="00710041">
      <w:pPr>
        <w:spacing w:before="0" w:after="0"/>
        <w:jc w:val="both"/>
        <w:rPr>
          <w:rFonts w:cs="Times New Roman"/>
          <w:color w:val="000000" w:themeColor="text1"/>
        </w:rPr>
      </w:pPr>
    </w:p>
    <w:sectPr w:rsidR="00710041" w:rsidSect="00710041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270" w:rsidRDefault="004F6270" w:rsidP="00117666">
      <w:pPr>
        <w:spacing w:after="0"/>
      </w:pPr>
      <w:r>
        <w:separator/>
      </w:r>
    </w:p>
  </w:endnote>
  <w:endnote w:type="continuationSeparator" w:id="0">
    <w:p w:rsidR="004F6270" w:rsidRDefault="004F6270" w:rsidP="0011766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BD0B31">
    <w:pPr>
      <w:rPr>
        <w:color w:val="C00000"/>
        <w:szCs w:val="24"/>
      </w:rPr>
    </w:pPr>
    <w:r w:rsidRPr="00BD0B3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25.2pt;margin-top:0;width:118.8pt;height:31.1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<v:textbox style="mso-fit-shape-to-text:t">
            <w:txbxContent>
              <w:p w:rsidR="00995F6A" w:rsidRPr="00577C4C" w:rsidRDefault="00BD0B3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580144">
                  <w:rPr>
                    <w:noProof/>
                    <w:color w:val="000000" w:themeColor="text1"/>
                    <w:szCs w:val="40"/>
                  </w:rPr>
                  <w:t>2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577C4C" w:rsidRDefault="00BD0B31">
    <w:pPr>
      <w:rPr>
        <w:b/>
        <w:sz w:val="20"/>
        <w:szCs w:val="24"/>
      </w:rPr>
    </w:pPr>
    <w:r w:rsidRPr="00BD0B3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4097" type="#_x0000_t202" style="position:absolute;margin-left:225.2pt;margin-top:0;width:118.8pt;height:31.15pt;z-index:251646976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995F6A" w:rsidRPr="00577C4C" w:rsidRDefault="00BD0B31">
                <w:pPr>
                  <w:jc w:val="right"/>
                  <w:rPr>
                    <w:color w:val="000000" w:themeColor="text1"/>
                    <w:szCs w:val="40"/>
                  </w:rPr>
                </w:pPr>
                <w:r w:rsidRPr="00577C4C">
                  <w:rPr>
                    <w:color w:val="000000" w:themeColor="text1"/>
                    <w:szCs w:val="40"/>
                  </w:rPr>
                  <w:fldChar w:fldCharType="begin"/>
                </w:r>
                <w:r w:rsidR="00C52A7B" w:rsidRPr="00577C4C">
                  <w:rPr>
                    <w:color w:val="000000" w:themeColor="text1"/>
                    <w:szCs w:val="40"/>
                  </w:rPr>
                  <w:instrText xml:space="preserve"> PAGE  \* Arabic  \* MERGEFORMAT </w:instrText>
                </w:r>
                <w:r w:rsidRPr="00577C4C">
                  <w:rPr>
                    <w:color w:val="000000" w:themeColor="text1"/>
                    <w:szCs w:val="40"/>
                  </w:rPr>
                  <w:fldChar w:fldCharType="separate"/>
                </w:r>
                <w:r w:rsidR="00710041">
                  <w:rPr>
                    <w:noProof/>
                    <w:color w:val="000000" w:themeColor="text1"/>
                    <w:szCs w:val="40"/>
                  </w:rPr>
                  <w:t>3</w:t>
                </w:r>
                <w:r w:rsidRPr="00577C4C">
                  <w:rPr>
                    <w:color w:val="000000" w:themeColor="text1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270" w:rsidRDefault="004F6270" w:rsidP="00117666">
      <w:pPr>
        <w:spacing w:after="0"/>
      </w:pPr>
      <w:r>
        <w:separator/>
      </w:r>
    </w:p>
  </w:footnote>
  <w:footnote w:type="continuationSeparator" w:id="0">
    <w:p w:rsidR="004F6270" w:rsidRDefault="004F6270" w:rsidP="0011766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F6A" w:rsidRDefault="0093429D" w:rsidP="0093429D">
    <w:r w:rsidRPr="005A1D84">
      <w:rPr>
        <w:b/>
        <w:noProof/>
        <w:color w:val="A6A6A6" w:themeColor="background1" w:themeShade="A6"/>
        <w:lang w:val="it-IT" w:eastAsia="it-IT"/>
      </w:rPr>
      <w:drawing>
        <wp:inline distT="0" distB="0" distL="0" distR="0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ito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aragrafoelenco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evenAndOddHeaders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0A82"/>
    <w:rsid w:val="004947A6"/>
    <w:rsid w:val="004961FF"/>
    <w:rsid w:val="004F6270"/>
    <w:rsid w:val="00517A89"/>
    <w:rsid w:val="005250F2"/>
    <w:rsid w:val="00580144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0041"/>
    <w:rsid w:val="00714C50"/>
    <w:rsid w:val="00725A7D"/>
    <w:rsid w:val="007501BE"/>
    <w:rsid w:val="00767AEA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F7768"/>
    <w:rsid w:val="00A174D9"/>
    <w:rsid w:val="00AA4D24"/>
    <w:rsid w:val="00AB6715"/>
    <w:rsid w:val="00B1671E"/>
    <w:rsid w:val="00B25EB8"/>
    <w:rsid w:val="00B37F4D"/>
    <w:rsid w:val="00BD0B31"/>
    <w:rsid w:val="00BE4823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Titolo1">
    <w:name w:val="heading 1"/>
    <w:basedOn w:val="Paragrafoelenco"/>
    <w:next w:val="Normale"/>
    <w:link w:val="Titolo1Carattere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Titolo2">
    <w:name w:val="heading 2"/>
    <w:basedOn w:val="Titolo1"/>
    <w:next w:val="Normale"/>
    <w:link w:val="Titolo2Carattere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Titolo3">
    <w:name w:val="heading 3"/>
    <w:basedOn w:val="Normale"/>
    <w:next w:val="Normale"/>
    <w:link w:val="Titolo3Carattere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itolo4">
    <w:name w:val="heading 4"/>
    <w:basedOn w:val="Titolo3"/>
    <w:next w:val="Normale"/>
    <w:link w:val="Titolo4Carattere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Titolo5">
    <w:name w:val="heading 5"/>
    <w:basedOn w:val="Titolo4"/>
    <w:next w:val="Normale"/>
    <w:link w:val="Titolo5Carattere"/>
    <w:uiPriority w:val="2"/>
    <w:qFormat/>
    <w:rsid w:val="00AB6715"/>
    <w:pPr>
      <w:numPr>
        <w:ilvl w:val="4"/>
      </w:numPr>
      <w:outlineLvl w:val="4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ottotitolo"/>
    <w:next w:val="Normale"/>
    <w:uiPriority w:val="1"/>
    <w:qFormat/>
    <w:rsid w:val="00AB671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Didascalia">
    <w:name w:val="caption"/>
    <w:basedOn w:val="Normale"/>
    <w:next w:val="Nessunaspaziatur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essunaspaziatur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B67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67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67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AB6715"/>
    <w:rPr>
      <w:rFonts w:ascii="Times New Roman" w:hAnsi="Times New Roman"/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6715"/>
    <w:rPr>
      <w:rFonts w:ascii="Times New Roman" w:hAnsi="Times New Roman"/>
      <w:sz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671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6715"/>
    <w:rPr>
      <w:rFonts w:ascii="Times New Roman" w:hAnsi="Times New Roman"/>
      <w:b/>
      <w:sz w:val="24"/>
    </w:rPr>
  </w:style>
  <w:style w:type="paragraph" w:styleId="Paragrafoelenco">
    <w:name w:val="List Paragraph"/>
    <w:basedOn w:val="Normale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Collegamentoipertestuale">
    <w:name w:val="Hyperlink"/>
    <w:basedOn w:val="Carpredefinitoparagrafo"/>
    <w:uiPriority w:val="99"/>
    <w:unhideWhenUsed/>
    <w:rsid w:val="00AB6715"/>
    <w:rPr>
      <w:color w:val="0000FF"/>
      <w:u w:val="single"/>
    </w:rPr>
  </w:style>
  <w:style w:type="character" w:styleId="Enfasiintensa">
    <w:name w:val="Intense Emphasis"/>
    <w:basedOn w:val="Carpredefinitoparagrafo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Riferimentointenso">
    <w:name w:val="Intense Reference"/>
    <w:basedOn w:val="Carpredefinitoparagrafo"/>
    <w:uiPriority w:val="32"/>
    <w:qFormat/>
    <w:rsid w:val="00AB6715"/>
    <w:rPr>
      <w:b/>
      <w:bCs/>
      <w:smallCaps/>
      <w:color w:val="auto"/>
      <w:spacing w:val="5"/>
    </w:rPr>
  </w:style>
  <w:style w:type="character" w:styleId="Numeroriga">
    <w:name w:val="line number"/>
    <w:basedOn w:val="Carpredefinitoparagrafo"/>
    <w:uiPriority w:val="99"/>
    <w:semiHidden/>
    <w:unhideWhenUsed/>
    <w:rsid w:val="00AB6715"/>
  </w:style>
  <w:style w:type="character" w:customStyle="1" w:styleId="Titolo3Carattere">
    <w:name w:val="Titolo 3 Carattere"/>
    <w:basedOn w:val="Carpredefinitoparagrafo"/>
    <w:link w:val="Titolo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eWeb">
    <w:name w:val="Normal (Web)"/>
    <w:basedOn w:val="Normale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Enfasigrassetto">
    <w:name w:val="Strong"/>
    <w:basedOn w:val="Carpredefinitoparagrafo"/>
    <w:uiPriority w:val="22"/>
    <w:qFormat/>
    <w:rsid w:val="00AB6715"/>
    <w:rPr>
      <w:rFonts w:ascii="Times New Roman" w:hAnsi="Times New Roman"/>
      <w:b/>
      <w:bCs/>
    </w:rPr>
  </w:style>
  <w:style w:type="character" w:styleId="Enfasidelicata">
    <w:name w:val="Subtle Emphasis"/>
    <w:basedOn w:val="Carpredefinitoparagrafo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Grigliatabella">
    <w:name w:val="Table Grid"/>
    <w:basedOn w:val="Tabellanorma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olo"/>
    <w:next w:val="Titolo"/>
    <w:qFormat/>
    <w:rsid w:val="0001436A"/>
    <w:pPr>
      <w:spacing w:after="1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emattia@cr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28F3218-9E4D-42C5-873F-7AEC480B2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edemattia</cp:lastModifiedBy>
  <cp:revision>6</cp:revision>
  <cp:lastPrinted>2013-10-03T12:51:00Z</cp:lastPrinted>
  <dcterms:created xsi:type="dcterms:W3CDTF">2019-06-06T07:42:00Z</dcterms:created>
  <dcterms:modified xsi:type="dcterms:W3CDTF">2019-11-18T16:10:00Z</dcterms:modified>
</cp:coreProperties>
</file>