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C91" w:rsidRDefault="008E5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Times New Roman" w:eastAsia="宋体" w:hAnsi="Times New Roman" w:cs="Times New Roman"/>
          <w:b/>
          <w:color w:val="000000" w:themeColor="text1"/>
          <w:kern w:val="0"/>
          <w:szCs w:val="21"/>
        </w:rPr>
      </w:pPr>
      <w:r>
        <w:rPr>
          <w:rFonts w:ascii="Times New Roman" w:eastAsia="宋体" w:hAnsi="Times New Roman" w:cs="Times New Roman" w:hint="eastAsia"/>
          <w:b/>
          <w:color w:val="000000" w:themeColor="text1"/>
          <w:kern w:val="0"/>
          <w:szCs w:val="21"/>
        </w:rPr>
        <w:t>SUPPLEMENTARY DATA 1</w:t>
      </w:r>
    </w:p>
    <w:p w:rsidR="00884C91" w:rsidRDefault="008E5D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Chars="200" w:firstLine="420"/>
        <w:jc w:val="left"/>
        <w:rPr>
          <w:rFonts w:ascii="Times New Roman" w:eastAsia="宋体" w:hAnsi="Times New Roman" w:cs="Times New Roman"/>
          <w:color w:val="000000" w:themeColor="text1"/>
          <w:kern w:val="0"/>
          <w:szCs w:val="21"/>
        </w:rPr>
      </w:pPr>
      <w:r>
        <w:rPr>
          <w:rFonts w:ascii="Times New Roman" w:eastAsia="宋体" w:hAnsi="Times New Roman" w:cs="Times New Roman"/>
          <w:color w:val="000000" w:themeColor="text1"/>
          <w:kern w:val="0"/>
          <w:szCs w:val="21"/>
        </w:rPr>
        <w:t>HPLC-grade acetonitrile is product of Fisher Scientific (FairLawn, NJ, USA). Formic acid is product of Sigma Aldrich (St. Louis, MO, USA). Ultrapure water was prepared in our own laboratory by Milli-Q plus System (Millipore, Bedford, MA, USA). Analytical-grade solvents used for sample preparation are products of Beijing Chemical Factory (Beijing, China).</w:t>
      </w:r>
    </w:p>
    <w:p w:rsidR="00884C91" w:rsidRDefault="008E5D03">
      <w:pPr>
        <w:spacing w:line="480" w:lineRule="auto"/>
        <w:rPr>
          <w:rFonts w:ascii="Times New Roman" w:hAnsi="Times New Roman" w:cs="Times New Roman"/>
          <w:b/>
          <w:color w:val="000000" w:themeColor="text1"/>
          <w:szCs w:val="21"/>
        </w:rPr>
      </w:pPr>
      <w:r>
        <w:rPr>
          <w:rFonts w:ascii="Times New Roman" w:hAnsi="Times New Roman" w:cs="Times New Roman"/>
          <w:b/>
          <w:color w:val="000000" w:themeColor="text1"/>
          <w:szCs w:val="21"/>
        </w:rPr>
        <w:t>Sample preparation for analysis</w:t>
      </w:r>
    </w:p>
    <w:p w:rsidR="00884C91" w:rsidRDefault="008E5D03">
      <w:pPr>
        <w:spacing w:line="480"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QSG was weighed accurately (0.</w:t>
      </w:r>
      <w:r>
        <w:rPr>
          <w:rFonts w:ascii="Times New Roman" w:hAnsi="Times New Roman" w:cs="Times New Roman" w:hint="eastAsia"/>
          <w:color w:val="000000" w:themeColor="text1"/>
          <w:szCs w:val="21"/>
        </w:rPr>
        <w:t>04</w:t>
      </w:r>
      <w:r>
        <w:rPr>
          <w:rFonts w:ascii="Times New Roman" w:hAnsi="Times New Roman" w:cs="Times New Roman"/>
          <w:color w:val="000000" w:themeColor="text1"/>
          <w:szCs w:val="21"/>
        </w:rPr>
        <w:t xml:space="preserve"> g) and placed into a </w:t>
      </w:r>
      <w:r>
        <w:rPr>
          <w:rFonts w:ascii="Times New Roman" w:hAnsi="Times New Roman" w:cs="Times New Roman" w:hint="eastAsia"/>
          <w:color w:val="000000" w:themeColor="text1"/>
          <w:szCs w:val="21"/>
        </w:rPr>
        <w:t>1.5</w:t>
      </w:r>
      <w:r>
        <w:rPr>
          <w:rFonts w:ascii="Times New Roman" w:hAnsi="Times New Roman" w:cs="Times New Roman"/>
          <w:color w:val="000000" w:themeColor="text1"/>
          <w:szCs w:val="21"/>
        </w:rPr>
        <w:t xml:space="preserve"> mL centrifuge tube containing 1</w:t>
      </w:r>
      <w:r>
        <w:rPr>
          <w:rFonts w:ascii="Times New Roman" w:hAnsi="Times New Roman" w:cs="Times New Roman" w:hint="eastAsia"/>
          <w:color w:val="000000" w:themeColor="text1"/>
          <w:szCs w:val="21"/>
        </w:rPr>
        <w:t>.0</w:t>
      </w:r>
      <w:r>
        <w:rPr>
          <w:rFonts w:ascii="Times New Roman" w:hAnsi="Times New Roman" w:cs="Times New Roman"/>
          <w:color w:val="000000" w:themeColor="text1"/>
          <w:szCs w:val="21"/>
        </w:rPr>
        <w:t xml:space="preserve"> mL </w:t>
      </w:r>
      <w:r>
        <w:rPr>
          <w:rFonts w:ascii="Times New Roman" w:hAnsi="Times New Roman" w:cs="Times New Roman" w:hint="eastAsia"/>
          <w:color w:val="000000" w:themeColor="text1"/>
          <w:szCs w:val="21"/>
        </w:rPr>
        <w:t>50</w:t>
      </w:r>
      <w:r>
        <w:rPr>
          <w:rFonts w:ascii="Times New Roman" w:hAnsi="Times New Roman" w:cs="Times New Roman"/>
          <w:color w:val="000000" w:themeColor="text1"/>
          <w:szCs w:val="21"/>
        </w:rPr>
        <w:t>% aqueous methanol for 5 minutes in a</w:t>
      </w:r>
      <w:r>
        <w:rPr>
          <w:rFonts w:ascii="Times New Roman" w:hAnsi="Times New Roman" w:cs="Times New Roman" w:hint="eastAsia"/>
          <w:color w:val="000000" w:themeColor="text1"/>
          <w:szCs w:val="21"/>
        </w:rPr>
        <w:t xml:space="preserve"> vortex</w:t>
      </w:r>
      <w:r>
        <w:rPr>
          <w:rFonts w:ascii="Times New Roman" w:hAnsi="Times New Roman" w:cs="Times New Roman"/>
          <w:color w:val="000000" w:themeColor="text1"/>
          <w:szCs w:val="21"/>
        </w:rPr>
        <w:t xml:space="preserve">. Following centrifugation at 12000 rpm for 10 minutes in a centrifuge (Eppendorf, Melbourne, Australia). A supernatant (200 </w:t>
      </w:r>
      <w:r>
        <w:rPr>
          <w:rFonts w:ascii="宋体" w:eastAsia="宋体" w:hAnsi="宋体" w:cs="Times New Roman" w:hint="eastAsia"/>
          <w:color w:val="000000" w:themeColor="text1"/>
          <w:szCs w:val="21"/>
        </w:rPr>
        <w:t>µ</w:t>
      </w:r>
      <w:r>
        <w:rPr>
          <w:rFonts w:ascii="Times New Roman" w:hAnsi="Times New Roman" w:cs="Times New Roman"/>
          <w:color w:val="000000" w:themeColor="text1"/>
          <w:szCs w:val="21"/>
        </w:rPr>
        <w:t>L) was 5-fold diluted with 50% aqueous methanol and centrifuged at 12000 rpm for 10 minutes.</w:t>
      </w:r>
    </w:p>
    <w:p w:rsidR="00884C91" w:rsidRDefault="008E5D03">
      <w:pPr>
        <w:spacing w:line="480" w:lineRule="auto"/>
        <w:rPr>
          <w:rFonts w:ascii="Times New Roman" w:hAnsi="Times New Roman" w:cs="Times New Roman"/>
          <w:b/>
          <w:color w:val="000000" w:themeColor="text1"/>
          <w:szCs w:val="21"/>
        </w:rPr>
      </w:pPr>
      <w:r>
        <w:rPr>
          <w:rFonts w:ascii="Times New Roman" w:hAnsi="Times New Roman" w:cs="Times New Roman"/>
          <w:b/>
          <w:color w:val="000000" w:themeColor="text1"/>
          <w:szCs w:val="21"/>
        </w:rPr>
        <w:t>HPLC conditions for chemical profile</w:t>
      </w:r>
    </w:p>
    <w:p w:rsidR="00884C91" w:rsidRDefault="008E5D03">
      <w:pPr>
        <w:spacing w:line="480" w:lineRule="auto"/>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The HPLC analysis was carried out on a Shimadzu HPLC (two </w:t>
      </w:r>
      <w:r>
        <w:rPr>
          <w:rFonts w:ascii="Times New Roman" w:hAnsi="Times New Roman" w:cs="Times New Roman" w:hint="eastAsia"/>
          <w:color w:val="000000" w:themeColor="text1"/>
          <w:szCs w:val="21"/>
        </w:rPr>
        <w:t>LC-20AD</w:t>
      </w:r>
      <w:r>
        <w:rPr>
          <w:rFonts w:ascii="Times New Roman" w:hAnsi="Times New Roman" w:cs="Times New Roman" w:hint="eastAsia"/>
          <w:color w:val="000000" w:themeColor="text1"/>
          <w:szCs w:val="21"/>
          <w:vertAlign w:val="subscript"/>
        </w:rPr>
        <w:t>XR</w:t>
      </w:r>
      <w:r>
        <w:rPr>
          <w:rFonts w:ascii="Times New Roman" w:hAnsi="Times New Roman" w:cs="Times New Roman"/>
          <w:color w:val="000000" w:themeColor="text1"/>
          <w:szCs w:val="21"/>
          <w:vertAlign w:val="subscript"/>
        </w:rPr>
        <w:t xml:space="preserve"> </w:t>
      </w:r>
      <w:r>
        <w:rPr>
          <w:rFonts w:ascii="Times New Roman" w:hAnsi="Times New Roman" w:cs="Times New Roman"/>
          <w:color w:val="000000" w:themeColor="text1"/>
          <w:szCs w:val="21"/>
        </w:rPr>
        <w:t>sol</w:t>
      </w:r>
      <w:r>
        <w:rPr>
          <w:rFonts w:ascii="Times New Roman" w:hAnsi="Times New Roman" w:cs="Times New Roman" w:hint="eastAsia"/>
          <w:color w:val="000000" w:themeColor="text1"/>
          <w:szCs w:val="21"/>
        </w:rPr>
        <w:t>vent</w:t>
      </w:r>
      <w:r>
        <w:rPr>
          <w:rFonts w:ascii="Times New Roman" w:hAnsi="Times New Roman" w:cs="Times New Roman"/>
          <w:color w:val="000000" w:themeColor="text1"/>
          <w:szCs w:val="21"/>
        </w:rPr>
        <w:t xml:space="preserve"> delivery units</w:t>
      </w:r>
      <w:r>
        <w:rPr>
          <w:rFonts w:ascii="Times New Roman" w:hAnsi="Times New Roman" w:cs="Times New Roman" w:hint="eastAsia"/>
          <w:color w:val="000000" w:themeColor="text1"/>
          <w:szCs w:val="21"/>
        </w:rPr>
        <w:t>，</w:t>
      </w:r>
      <w:r>
        <w:rPr>
          <w:rFonts w:ascii="Times New Roman" w:hAnsi="Times New Roman" w:cs="Times New Roman" w:hint="eastAsia"/>
          <w:color w:val="000000" w:themeColor="text1"/>
          <w:szCs w:val="21"/>
        </w:rPr>
        <w:t>a SIL-20AC</w:t>
      </w:r>
      <w:r>
        <w:rPr>
          <w:rFonts w:ascii="Times New Roman" w:hAnsi="Times New Roman" w:cs="Times New Roman"/>
          <w:color w:val="000000" w:themeColor="text1"/>
          <w:szCs w:val="21"/>
          <w:vertAlign w:val="subscript"/>
        </w:rPr>
        <w:t>XR</w:t>
      </w:r>
      <w:r>
        <w:rPr>
          <w:rFonts w:ascii="Times New Roman" w:hAnsi="Times New Roman" w:cs="Times New Roman" w:hint="eastAsia"/>
          <w:color w:val="000000" w:themeColor="text1"/>
          <w:szCs w:val="21"/>
        </w:rPr>
        <w:t xml:space="preserve"> auto</w:t>
      </w:r>
      <w:r>
        <w:rPr>
          <w:rFonts w:ascii="Times New Roman" w:hAnsi="Times New Roman" w:cs="Times New Roman"/>
          <w:color w:val="000000" w:themeColor="text1"/>
          <w:szCs w:val="21"/>
        </w:rPr>
        <w:t>-</w:t>
      </w:r>
      <w:r>
        <w:rPr>
          <w:rFonts w:ascii="Times New Roman" w:hAnsi="Times New Roman" w:cs="Times New Roman" w:hint="eastAsia"/>
          <w:color w:val="000000" w:themeColor="text1"/>
          <w:szCs w:val="21"/>
        </w:rPr>
        <w:t xml:space="preserve">sampler, </w:t>
      </w:r>
      <w:r>
        <w:rPr>
          <w:rFonts w:ascii="Times New Roman" w:hAnsi="Times New Roman" w:cs="Times New Roman"/>
          <w:color w:val="000000" w:themeColor="text1"/>
          <w:szCs w:val="21"/>
        </w:rPr>
        <w:t xml:space="preserve">a </w:t>
      </w:r>
      <w:r>
        <w:rPr>
          <w:rFonts w:ascii="Times New Roman" w:hAnsi="Times New Roman" w:cs="Times New Roman" w:hint="eastAsia"/>
          <w:color w:val="000000" w:themeColor="text1"/>
          <w:szCs w:val="21"/>
        </w:rPr>
        <w:t>CTO-20AC</w:t>
      </w:r>
      <w:r>
        <w:rPr>
          <w:rFonts w:ascii="Times New Roman" w:hAnsi="Times New Roman" w:cs="Times New Roman"/>
          <w:color w:val="000000" w:themeColor="text1"/>
          <w:szCs w:val="21"/>
        </w:rPr>
        <w:t xml:space="preserve"> column oven</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 a </w:t>
      </w:r>
      <w:r>
        <w:rPr>
          <w:rFonts w:ascii="Times New Roman" w:hAnsi="Times New Roman" w:cs="Times New Roman" w:hint="eastAsia"/>
          <w:color w:val="000000" w:themeColor="text1"/>
          <w:szCs w:val="21"/>
        </w:rPr>
        <w:t>SPD-M20A</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P</w:t>
      </w:r>
      <w:r>
        <w:rPr>
          <w:rFonts w:ascii="Times New Roman" w:hAnsi="Times New Roman" w:cs="Times New Roman"/>
          <w:color w:val="000000" w:themeColor="text1"/>
          <w:szCs w:val="21"/>
        </w:rPr>
        <w:t>DA detector</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 a </w:t>
      </w:r>
      <w:r>
        <w:rPr>
          <w:rFonts w:ascii="Times New Roman" w:hAnsi="Times New Roman" w:cs="Times New Roman" w:hint="eastAsia"/>
          <w:color w:val="000000" w:themeColor="text1"/>
          <w:szCs w:val="21"/>
        </w:rPr>
        <w:t>DGU-20A</w:t>
      </w:r>
      <w:r>
        <w:rPr>
          <w:rFonts w:ascii="Times New Roman" w:hAnsi="Times New Roman" w:cs="Times New Roman" w:hint="eastAsia"/>
          <w:color w:val="000000" w:themeColor="text1"/>
          <w:szCs w:val="21"/>
          <w:vertAlign w:val="subscript"/>
        </w:rPr>
        <w:t>3R</w:t>
      </w:r>
      <w:r>
        <w:rPr>
          <w:rFonts w:ascii="Times New Roman" w:hAnsi="Times New Roman" w:cs="Times New Roman"/>
          <w:color w:val="000000" w:themeColor="text1"/>
          <w:szCs w:val="21"/>
          <w:vertAlign w:val="subscript"/>
        </w:rPr>
        <w:t xml:space="preserve"> </w:t>
      </w:r>
      <w:r>
        <w:rPr>
          <w:rFonts w:ascii="Times New Roman" w:hAnsi="Times New Roman" w:cs="Times New Roman"/>
          <w:color w:val="000000" w:themeColor="text1"/>
          <w:szCs w:val="21"/>
        </w:rPr>
        <w:t>degasser</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 and a </w:t>
      </w:r>
      <w:r>
        <w:rPr>
          <w:rFonts w:ascii="Times New Roman" w:hAnsi="Times New Roman" w:cs="Times New Roman" w:hint="eastAsia"/>
          <w:color w:val="000000" w:themeColor="text1"/>
          <w:szCs w:val="21"/>
        </w:rPr>
        <w:t>CBM-20A</w:t>
      </w:r>
      <w:r>
        <w:rPr>
          <w:rFonts w:ascii="Times New Roman" w:hAnsi="Times New Roman" w:cs="Times New Roman"/>
          <w:color w:val="000000" w:themeColor="text1"/>
          <w:szCs w:val="21"/>
        </w:rPr>
        <w:t xml:space="preserve"> controller). The chromatographic separation was performed on a Shiseido C</w:t>
      </w:r>
      <w:r>
        <w:rPr>
          <w:rFonts w:ascii="Times New Roman" w:hAnsi="Times New Roman" w:cs="Times New Roman"/>
          <w:color w:val="000000" w:themeColor="text1"/>
          <w:szCs w:val="21"/>
          <w:vertAlign w:val="subscript"/>
        </w:rPr>
        <w:t>18</w:t>
      </w:r>
      <w:r>
        <w:rPr>
          <w:rFonts w:ascii="Times New Roman" w:hAnsi="Times New Roman" w:cs="Times New Roman"/>
          <w:color w:val="000000" w:themeColor="text1"/>
          <w:szCs w:val="21"/>
        </w:rPr>
        <w:t xml:space="preserve"> column (150 × 2.1mm, 2.7 μm) at 35 ºC. 0.02% aqueous formic acid </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A</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 xml:space="preserve"> and acetonitrile containing 0.02% formic acid (B) –were used as the mobile phase for analysis. The flow rate was set at 0.4 mL/min. The elution condition was applied with a gradient program as follows: 0–20 min, 2-18% B; 20–30 min, 18–30% B; 30–35 min, 30–45% B; 35–40 min, 45–65% B; 40–55 min, 65–95% B; 55–60 min, 95% B. 10 μL were injected into HPLC system for analysis. The typical chromatograms are shown in Fig. 1</w:t>
      </w:r>
    </w:p>
    <w:p w:rsidR="00884C91" w:rsidRDefault="008E5D03">
      <w:pPr>
        <w:spacing w:line="480" w:lineRule="auto"/>
        <w:jc w:val="center"/>
        <w:rPr>
          <w:rFonts w:ascii="Times New Roman" w:hAnsi="Times New Roman" w:cs="Times New Roman"/>
          <w:color w:val="000000" w:themeColor="text1"/>
          <w:szCs w:val="21"/>
        </w:rPr>
      </w:pPr>
      <w:r>
        <w:rPr>
          <w:rFonts w:ascii="Times New Roman" w:hAnsi="Times New Roman" w:cs="Times New Roman"/>
          <w:noProof/>
          <w:color w:val="000000" w:themeColor="text1"/>
          <w:szCs w:val="21"/>
        </w:rPr>
        <w:lastRenderedPageBreak/>
        <w:drawing>
          <wp:inline distT="0" distB="0" distL="0" distR="0">
            <wp:extent cx="4721860" cy="18656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727413" cy="1867877"/>
                    </a:xfrm>
                    <a:prstGeom prst="rect">
                      <a:avLst/>
                    </a:prstGeom>
                    <a:noFill/>
                  </pic:spPr>
                </pic:pic>
              </a:graphicData>
            </a:graphic>
          </wp:inline>
        </w:drawing>
      </w:r>
    </w:p>
    <w:p w:rsidR="00884C91" w:rsidRDefault="00C10197">
      <w:pPr>
        <w:spacing w:line="480" w:lineRule="auto"/>
        <w:jc w:val="center"/>
        <w:rPr>
          <w:rFonts w:ascii="Times New Roman" w:hAnsi="Times New Roman" w:cs="Times New Roman"/>
          <w:color w:val="000000" w:themeColor="text1"/>
          <w:szCs w:val="21"/>
        </w:rPr>
      </w:pPr>
      <w:r w:rsidRPr="00C10197">
        <w:rPr>
          <w:noProof/>
        </w:rPr>
        <w:pict>
          <v:rect id="矩形 149" o:spid="_x0000_s1026" style="position:absolute;left:0;text-align:left;margin-left:40.55pt;margin-top:22.1pt;width:349.85pt;height:85.2pt;z-index:251659264" o:gfxdata="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k2DKdgAAAAJAQAA&#10;DwAAAAAAAAABACAAAAAiAAAAZHJzL2Rvd25yZXYueG1sUEsBAhQAFAAAAAgAh07iQCAO5v2nAQAA&#10;KgMAAA4AAAAAAAAAAQAgAAAAJwEAAGRycy9lMm9Eb2MueG1sUEsFBgAAAAAGAAYAWQEAAEAFAAAA&#10;AA==&#10;" filled="f" stroked="f">
            <v:textbox style="mso-fit-shape-to-text:t">
              <w:txbxContent>
                <w:p w:rsidR="00C10197" w:rsidRDefault="00E17FFC">
                  <w:pPr>
                    <w:rPr>
                      <w:szCs w:val="21"/>
                    </w:rPr>
                  </w:pPr>
                  <w:r>
                    <w:rPr>
                      <w:rFonts w:ascii="Calibri" w:hAnsi="Calibri" w:cs="+mn-cs"/>
                      <w:color w:val="000000"/>
                      <w:kern w:val="24"/>
                      <w:szCs w:val="21"/>
                    </w:rPr>
                    <w:t>1. Chlorogenic acid; 2. Cryptochlorogenin Acid; 3. Neochlorogenic acid; 4. Secologanic acid;</w:t>
                  </w:r>
                  <w:r>
                    <w:rPr>
                      <w:rFonts w:hint="eastAsia"/>
                      <w:szCs w:val="21"/>
                    </w:rPr>
                    <w:t xml:space="preserve"> </w:t>
                  </w:r>
                  <w:r>
                    <w:rPr>
                      <w:rFonts w:ascii="Calibri" w:hAnsi="Calibri" w:cs="+mn-cs"/>
                      <w:color w:val="000000"/>
                      <w:kern w:val="24"/>
                      <w:szCs w:val="21"/>
                    </w:rPr>
                    <w:t>5. Sweroside; 6. Secoxyloganin; 7. Liquiritin; 8. Isochlorogenic acid A; 9. Isochlorogenic acid C;</w:t>
                  </w:r>
                  <w:r>
                    <w:rPr>
                      <w:rFonts w:hint="eastAsia"/>
                      <w:szCs w:val="21"/>
                    </w:rPr>
                    <w:t xml:space="preserve"> </w:t>
                  </w:r>
                  <w:r>
                    <w:rPr>
                      <w:rFonts w:ascii="Times New Roman" w:hAnsi="Times New Roman" w:cs="Times New Roman"/>
                      <w:color w:val="000000"/>
                      <w:kern w:val="24"/>
                      <w:szCs w:val="21"/>
                    </w:rPr>
                    <w:t xml:space="preserve">10. </w:t>
                  </w:r>
                  <w:r>
                    <w:rPr>
                      <w:rFonts w:ascii="Calibri" w:hAnsi="Calibri" w:cs="+mn-cs"/>
                      <w:color w:val="000000"/>
                      <w:kern w:val="24"/>
                      <w:szCs w:val="21"/>
                    </w:rPr>
                    <w:t>Ononin; 11. Salvianolic acid B; 12. Calycosin; 13. Harpagoside; 14. Formononetin; 15. Glycyrrhizic Acid</w:t>
                  </w:r>
                </w:p>
              </w:txbxContent>
            </v:textbox>
          </v:rect>
        </w:pict>
      </w:r>
      <w:r w:rsidRPr="00C10197">
        <w:rPr>
          <w:noProof/>
          <w:color w:val="000000" w:themeColor="text1"/>
          <w:szCs w:val="21"/>
        </w:rPr>
        <w:pict>
          <v:shapetype id="_x0000_t202" coordsize="21600,21600" o:spt="202" path="m,l,21600r21600,l21600,xe">
            <v:stroke joinstyle="miter"/>
            <v:path gradientshapeok="t" o:connecttype="rect"/>
          </v:shapetype>
          <v:shape id="文本框 2" o:spid="_x0000_s1027" type="#_x0000_t202" style="position:absolute;left:0;text-align:left;margin-left:347.4pt;margin-top:-327.95pt;width:22.5pt;height:22.8pt;z-index:251658240;mso-height-percent:200;mso-position-horizontal-relative:margin;mso-height-percent:200;mso-width-relative:margin;mso-height-relative:margin" o:gfxdata="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2G1XD2gAAAA0BAAAPAAAAAAAAAAEA&#10;IAAAACIAAABkcnMvZG93bnJldi54bWxQSwECFAAUAAAACACHTuJAHCkxkQ0CAADoAwAADgAAAAAA&#10;AAABACAAAAApAQAAZHJzL2Uyb0RvYy54bWxQSwUGAAAAAAYABgBZAQAAqAUAAAAA&#10;" filled="f" stroked="f">
            <v:textbox style="mso-fit-shape-to-text:t">
              <w:txbxContent>
                <w:p w:rsidR="00C10197" w:rsidRDefault="00E17FFC">
                  <w:pPr>
                    <w:rPr>
                      <w:rFonts w:ascii="Times New Roman" w:hAnsi="Times New Roman" w:cs="Times New Roman"/>
                      <w:sz w:val="24"/>
                      <w:szCs w:val="24"/>
                    </w:rPr>
                  </w:pPr>
                  <w:r>
                    <w:rPr>
                      <w:rFonts w:ascii="Times New Roman" w:hAnsi="Times New Roman" w:cs="Times New Roman"/>
                      <w:sz w:val="24"/>
                      <w:szCs w:val="24"/>
                    </w:rPr>
                    <w:t>B</w:t>
                  </w:r>
                </w:p>
              </w:txbxContent>
            </v:textbox>
            <w10:wrap anchorx="margin"/>
          </v:shape>
        </w:pict>
      </w:r>
      <w:r w:rsidR="008E5D03">
        <w:rPr>
          <w:rFonts w:ascii="Times New Roman" w:hAnsi="Times New Roman" w:cs="Times New Roman"/>
          <w:color w:val="000000" w:themeColor="text1"/>
          <w:szCs w:val="21"/>
        </w:rPr>
        <w:t>Fig 1. HPLC-</w:t>
      </w:r>
      <w:r w:rsidR="008E5D03">
        <w:rPr>
          <w:rFonts w:ascii="Times New Roman" w:hAnsi="Times New Roman" w:cs="Times New Roman" w:hint="eastAsia"/>
          <w:color w:val="000000" w:themeColor="text1"/>
          <w:szCs w:val="21"/>
        </w:rPr>
        <w:t>PDA</w:t>
      </w:r>
      <w:r w:rsidR="008E5D03">
        <w:rPr>
          <w:rFonts w:ascii="Times New Roman" w:hAnsi="Times New Roman" w:cs="Times New Roman"/>
          <w:color w:val="000000" w:themeColor="text1"/>
          <w:szCs w:val="21"/>
        </w:rPr>
        <w:t xml:space="preserve"> chromatogram of QSG at 2</w:t>
      </w:r>
      <w:r w:rsidR="008E5D03">
        <w:rPr>
          <w:rFonts w:ascii="Times New Roman" w:hAnsi="Times New Roman" w:cs="Times New Roman" w:hint="eastAsia"/>
          <w:color w:val="000000" w:themeColor="text1"/>
          <w:szCs w:val="21"/>
        </w:rPr>
        <w:t>54</w:t>
      </w:r>
      <w:r w:rsidR="008E5D03">
        <w:rPr>
          <w:rFonts w:ascii="Times New Roman" w:hAnsi="Times New Roman" w:cs="Times New Roman"/>
          <w:color w:val="000000" w:themeColor="text1"/>
          <w:szCs w:val="21"/>
        </w:rPr>
        <w:t>nm</w:t>
      </w:r>
    </w:p>
    <w:p w:rsidR="00884C91" w:rsidRDefault="00884C91">
      <w:pPr>
        <w:spacing w:line="480" w:lineRule="auto"/>
        <w:jc w:val="center"/>
        <w:rPr>
          <w:rFonts w:ascii="Times New Roman" w:hAnsi="Times New Roman" w:cs="Times New Roman"/>
          <w:color w:val="000000" w:themeColor="text1"/>
          <w:szCs w:val="21"/>
        </w:rPr>
      </w:pPr>
    </w:p>
    <w:p w:rsidR="00884C91" w:rsidRDefault="00884C91"/>
    <w:p w:rsidR="00BA5AE3" w:rsidRDefault="00BA5AE3"/>
    <w:p w:rsidR="00BA5AE3" w:rsidRDefault="00BA5AE3"/>
    <w:p w:rsidR="00BA5AE3" w:rsidRDefault="00BA5AE3"/>
    <w:p w:rsidR="00BA5AE3" w:rsidRDefault="00BA5AE3">
      <w:bookmarkStart w:id="0" w:name="_GoBack"/>
      <w:bookmarkEnd w:id="0"/>
    </w:p>
    <w:sectPr w:rsidR="00BA5AE3" w:rsidSect="00C101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FFC" w:rsidRDefault="00E17FFC" w:rsidP="000A7F32">
      <w:r>
        <w:separator/>
      </w:r>
    </w:p>
  </w:endnote>
  <w:endnote w:type="continuationSeparator" w:id="0">
    <w:p w:rsidR="00E17FFC" w:rsidRDefault="00E17FFC" w:rsidP="000A7F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n-cs">
    <w:altName w:val="Latha"/>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FFC" w:rsidRDefault="00E17FFC" w:rsidP="000A7F32">
      <w:r>
        <w:separator/>
      </w:r>
    </w:p>
  </w:footnote>
  <w:footnote w:type="continuationSeparator" w:id="0">
    <w:p w:rsidR="00E17FFC" w:rsidRDefault="00E17FFC" w:rsidP="000A7F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79CD"/>
    <w:rsid w:val="00067F50"/>
    <w:rsid w:val="0009339E"/>
    <w:rsid w:val="000A7F32"/>
    <w:rsid w:val="000D34A8"/>
    <w:rsid w:val="00106140"/>
    <w:rsid w:val="001304F9"/>
    <w:rsid w:val="001C1116"/>
    <w:rsid w:val="001D41FC"/>
    <w:rsid w:val="002872E4"/>
    <w:rsid w:val="002879CD"/>
    <w:rsid w:val="002D4D47"/>
    <w:rsid w:val="003E7877"/>
    <w:rsid w:val="004604ED"/>
    <w:rsid w:val="004F5D8D"/>
    <w:rsid w:val="00603782"/>
    <w:rsid w:val="00633198"/>
    <w:rsid w:val="006D2128"/>
    <w:rsid w:val="00735848"/>
    <w:rsid w:val="007974EE"/>
    <w:rsid w:val="00884C91"/>
    <w:rsid w:val="008E5D03"/>
    <w:rsid w:val="00930E7B"/>
    <w:rsid w:val="009567A8"/>
    <w:rsid w:val="00A31EC2"/>
    <w:rsid w:val="00AB6956"/>
    <w:rsid w:val="00BA5AE3"/>
    <w:rsid w:val="00C10197"/>
    <w:rsid w:val="00CA2039"/>
    <w:rsid w:val="00CA3786"/>
    <w:rsid w:val="00CB3BAA"/>
    <w:rsid w:val="00DA6413"/>
    <w:rsid w:val="00E0188E"/>
    <w:rsid w:val="00E17FFC"/>
    <w:rsid w:val="00E81C25"/>
    <w:rsid w:val="00ED218F"/>
    <w:rsid w:val="00F03500"/>
    <w:rsid w:val="00F82FA3"/>
    <w:rsid w:val="72351F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197"/>
    <w:pPr>
      <w:widowControl w:val="0"/>
      <w:jc w:val="both"/>
    </w:pPr>
    <w:rPr>
      <w:kern w:val="2"/>
      <w:sz w:val="21"/>
      <w:szCs w:val="22"/>
    </w:rPr>
  </w:style>
  <w:style w:type="paragraph" w:styleId="1">
    <w:name w:val="heading 1"/>
    <w:basedOn w:val="a"/>
    <w:next w:val="a"/>
    <w:link w:val="1Char"/>
    <w:uiPriority w:val="9"/>
    <w:qFormat/>
    <w:rsid w:val="00C101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C10197"/>
    <w:rPr>
      <w:sz w:val="18"/>
      <w:szCs w:val="18"/>
    </w:rPr>
  </w:style>
  <w:style w:type="paragraph" w:styleId="a4">
    <w:name w:val="footer"/>
    <w:basedOn w:val="a"/>
    <w:link w:val="Char0"/>
    <w:uiPriority w:val="99"/>
    <w:unhideWhenUsed/>
    <w:rsid w:val="00C10197"/>
    <w:pPr>
      <w:tabs>
        <w:tab w:val="center" w:pos="4153"/>
        <w:tab w:val="right" w:pos="8306"/>
      </w:tabs>
      <w:snapToGrid w:val="0"/>
      <w:jc w:val="left"/>
    </w:pPr>
    <w:rPr>
      <w:sz w:val="18"/>
      <w:szCs w:val="18"/>
    </w:rPr>
  </w:style>
  <w:style w:type="paragraph" w:styleId="a5">
    <w:name w:val="header"/>
    <w:basedOn w:val="a"/>
    <w:link w:val="Char1"/>
    <w:uiPriority w:val="99"/>
    <w:unhideWhenUsed/>
    <w:rsid w:val="00C1019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C1019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sid w:val="00C10197"/>
    <w:rPr>
      <w:sz w:val="18"/>
      <w:szCs w:val="18"/>
    </w:rPr>
  </w:style>
  <w:style w:type="character" w:customStyle="1" w:styleId="Char0">
    <w:name w:val="页脚 Char"/>
    <w:basedOn w:val="a0"/>
    <w:link w:val="a4"/>
    <w:uiPriority w:val="99"/>
    <w:rsid w:val="00C10197"/>
    <w:rPr>
      <w:sz w:val="18"/>
      <w:szCs w:val="18"/>
    </w:rPr>
  </w:style>
  <w:style w:type="character" w:customStyle="1" w:styleId="Char">
    <w:name w:val="批注框文本 Char"/>
    <w:basedOn w:val="a0"/>
    <w:link w:val="a3"/>
    <w:uiPriority w:val="99"/>
    <w:semiHidden/>
    <w:rsid w:val="00C10197"/>
    <w:rPr>
      <w:sz w:val="18"/>
      <w:szCs w:val="18"/>
    </w:rPr>
  </w:style>
  <w:style w:type="character" w:customStyle="1" w:styleId="1Char">
    <w:name w:val="标题 1 Char"/>
    <w:basedOn w:val="a0"/>
    <w:link w:val="1"/>
    <w:uiPriority w:val="9"/>
    <w:rsid w:val="00C101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1Char">
    <w:name w:val="标题 1 Char"/>
    <w:basedOn w:val="a0"/>
    <w:link w:val="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2599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1387</Characters>
  <Application>Microsoft Office Word</Application>
  <DocSecurity>0</DocSecurity>
  <Lines>11</Lines>
  <Paragraphs>3</Paragraphs>
  <ScaleCrop>false</ScaleCrop>
  <Company>Lenovo</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LWJ</cp:lastModifiedBy>
  <cp:revision>10</cp:revision>
  <dcterms:created xsi:type="dcterms:W3CDTF">2016-06-20T03:22:00Z</dcterms:created>
  <dcterms:modified xsi:type="dcterms:W3CDTF">2019-07-01T00:57:00Z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