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E2FC6" w14:textId="77777777" w:rsidR="00654E8F" w:rsidRPr="001549D3" w:rsidRDefault="00654E8F" w:rsidP="0001436A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14:paraId="791B9A6A" w14:textId="77777777" w:rsidR="00DC00C6" w:rsidRDefault="00DC00C6" w:rsidP="00DC00C6">
      <w:pPr>
        <w:tabs>
          <w:tab w:val="left" w:pos="9356"/>
        </w:tabs>
        <w:autoSpaceDE w:val="0"/>
        <w:autoSpaceDN w:val="0"/>
        <w:adjustRightInd w:val="0"/>
        <w:spacing w:after="0" w:line="480" w:lineRule="auto"/>
        <w:ind w:left="284" w:right="282"/>
        <w:jc w:val="both"/>
        <w:rPr>
          <w:b/>
          <w:color w:val="FF0000"/>
          <w:szCs w:val="24"/>
          <w:lang w:eastAsia="it-IT"/>
        </w:rPr>
      </w:pPr>
    </w:p>
    <w:p w14:paraId="62E9DBB9" w14:textId="77777777" w:rsidR="004B5FFC" w:rsidRPr="004B5FFC" w:rsidRDefault="004B5FFC" w:rsidP="00230DC8">
      <w:pPr>
        <w:tabs>
          <w:tab w:val="left" w:pos="9356"/>
        </w:tabs>
        <w:autoSpaceDE w:val="0"/>
        <w:autoSpaceDN w:val="0"/>
        <w:adjustRightInd w:val="0"/>
        <w:spacing w:before="0" w:after="0"/>
        <w:ind w:right="284"/>
        <w:jc w:val="both"/>
        <w:rPr>
          <w:b/>
          <w:color w:val="000000" w:themeColor="text1"/>
          <w:sz w:val="32"/>
          <w:szCs w:val="32"/>
          <w:lang w:val="it-IT" w:eastAsia="it-IT"/>
        </w:rPr>
      </w:pPr>
      <w:r>
        <w:rPr>
          <w:b/>
          <w:color w:val="000000" w:themeColor="text1"/>
          <w:sz w:val="32"/>
          <w:szCs w:val="32"/>
          <w:lang w:eastAsia="it-IT"/>
        </w:rPr>
        <w:t xml:space="preserve">How Does the Seed Pre-germinative Metabolism Fights against Imbibition Damage? </w:t>
      </w:r>
      <w:r w:rsidRPr="004B5FFC">
        <w:rPr>
          <w:b/>
          <w:color w:val="000000" w:themeColor="text1"/>
          <w:sz w:val="32"/>
          <w:szCs w:val="32"/>
          <w:lang w:val="it-IT" w:eastAsia="it-IT"/>
        </w:rPr>
        <w:t>Emerging Roles of Fatty Acid Cohort and Antioxidant Defence</w:t>
      </w:r>
    </w:p>
    <w:p w14:paraId="409F2C3D" w14:textId="77777777" w:rsidR="004B5FFC" w:rsidRPr="004B5FFC" w:rsidRDefault="004B5FFC" w:rsidP="00230DC8">
      <w:pPr>
        <w:tabs>
          <w:tab w:val="left" w:pos="9356"/>
        </w:tabs>
        <w:autoSpaceDE w:val="0"/>
        <w:autoSpaceDN w:val="0"/>
        <w:adjustRightInd w:val="0"/>
        <w:spacing w:before="0" w:after="0"/>
        <w:ind w:right="284"/>
        <w:jc w:val="both"/>
        <w:rPr>
          <w:b/>
          <w:color w:val="000000" w:themeColor="text1"/>
          <w:sz w:val="32"/>
          <w:szCs w:val="32"/>
          <w:lang w:val="it-IT" w:eastAsia="it-IT"/>
        </w:rPr>
      </w:pPr>
    </w:p>
    <w:p w14:paraId="3570E672" w14:textId="512DEE8A" w:rsidR="004B5FFC" w:rsidRDefault="004B5FFC" w:rsidP="00230DC8">
      <w:pPr>
        <w:tabs>
          <w:tab w:val="left" w:pos="9356"/>
        </w:tabs>
        <w:autoSpaceDE w:val="0"/>
        <w:autoSpaceDN w:val="0"/>
        <w:adjustRightInd w:val="0"/>
        <w:spacing w:before="0" w:after="0"/>
        <w:ind w:right="282"/>
        <w:jc w:val="both"/>
        <w:rPr>
          <w:b/>
          <w:color w:val="000000"/>
          <w:szCs w:val="24"/>
          <w:vertAlign w:val="superscript"/>
          <w:lang w:val="it-IT" w:eastAsia="it-IT"/>
        </w:rPr>
      </w:pPr>
      <w:r>
        <w:rPr>
          <w:b/>
          <w:color w:val="000000"/>
          <w:szCs w:val="24"/>
          <w:lang w:val="it-IT" w:eastAsia="it-IT"/>
        </w:rPr>
        <w:t>Enrico Doria</w:t>
      </w:r>
      <w:r>
        <w:rPr>
          <w:b/>
          <w:color w:val="000000"/>
          <w:szCs w:val="24"/>
          <w:vertAlign w:val="superscript"/>
          <w:lang w:val="it-IT" w:eastAsia="it-IT"/>
        </w:rPr>
        <w:t>1,</w:t>
      </w:r>
      <w:r>
        <w:rPr>
          <w:b/>
          <w:color w:val="000000"/>
          <w:szCs w:val="24"/>
          <w:vertAlign w:val="superscript"/>
          <w:lang w:eastAsia="it-IT"/>
        </w:rPr>
        <w:sym w:font="Symbol" w:char="F023"/>
      </w:r>
      <w:r>
        <w:rPr>
          <w:b/>
          <w:color w:val="000000"/>
          <w:szCs w:val="24"/>
          <w:lang w:val="it-IT" w:eastAsia="it-IT"/>
        </w:rPr>
        <w:t>, Andrea Pagano</w:t>
      </w:r>
      <w:r>
        <w:rPr>
          <w:b/>
          <w:color w:val="000000"/>
          <w:szCs w:val="24"/>
          <w:vertAlign w:val="superscript"/>
          <w:lang w:val="it-IT" w:eastAsia="it-IT"/>
        </w:rPr>
        <w:t>1,</w:t>
      </w:r>
      <w:r>
        <w:rPr>
          <w:b/>
          <w:color w:val="000000"/>
          <w:szCs w:val="24"/>
          <w:vertAlign w:val="superscript"/>
          <w:lang w:eastAsia="it-IT"/>
        </w:rPr>
        <w:sym w:font="Symbol" w:char="F023"/>
      </w:r>
      <w:r w:rsidR="00CD2C1F" w:rsidRPr="00CD2C1F">
        <w:rPr>
          <w:b/>
          <w:color w:val="000000"/>
          <w:szCs w:val="24"/>
          <w:vertAlign w:val="superscript"/>
          <w:lang w:val="it-IT" w:eastAsia="it-IT"/>
        </w:rPr>
        <w:t>,</w:t>
      </w:r>
      <w:r w:rsidR="00CD2C1F" w:rsidRPr="00CD2C1F">
        <w:rPr>
          <w:b/>
          <w:bCs/>
          <w:color w:val="000000"/>
          <w:szCs w:val="24"/>
          <w:vertAlign w:val="superscript"/>
          <w:lang w:eastAsia="it-IT"/>
        </w:rPr>
        <w:t>⸹</w:t>
      </w:r>
      <w:r>
        <w:rPr>
          <w:b/>
          <w:color w:val="000000"/>
          <w:szCs w:val="24"/>
          <w:lang w:val="it-IT" w:eastAsia="it-IT"/>
        </w:rPr>
        <w:t>, Carla Ferreri</w:t>
      </w:r>
      <w:r>
        <w:rPr>
          <w:b/>
          <w:color w:val="000000"/>
          <w:szCs w:val="24"/>
          <w:vertAlign w:val="superscript"/>
          <w:lang w:val="it-IT" w:eastAsia="it-IT"/>
        </w:rPr>
        <w:t>2</w:t>
      </w:r>
      <w:r>
        <w:rPr>
          <w:b/>
          <w:color w:val="000000"/>
          <w:szCs w:val="24"/>
          <w:lang w:val="it-IT" w:eastAsia="it-IT"/>
        </w:rPr>
        <w:t>, Anna Vita Larocca</w:t>
      </w:r>
      <w:r>
        <w:rPr>
          <w:b/>
          <w:color w:val="000000"/>
          <w:szCs w:val="24"/>
          <w:vertAlign w:val="superscript"/>
          <w:lang w:val="it-IT" w:eastAsia="it-IT"/>
        </w:rPr>
        <w:t>3</w:t>
      </w:r>
      <w:r>
        <w:rPr>
          <w:b/>
          <w:color w:val="000000"/>
          <w:szCs w:val="24"/>
          <w:lang w:val="it-IT" w:eastAsia="it-IT"/>
        </w:rPr>
        <w:t>, Anca Macovei</w:t>
      </w:r>
      <w:r>
        <w:rPr>
          <w:b/>
          <w:color w:val="000000"/>
          <w:szCs w:val="24"/>
          <w:vertAlign w:val="superscript"/>
          <w:lang w:val="it-IT" w:eastAsia="it-IT"/>
        </w:rPr>
        <w:t>1</w:t>
      </w:r>
      <w:r>
        <w:rPr>
          <w:b/>
          <w:color w:val="000000"/>
          <w:szCs w:val="24"/>
          <w:lang w:val="it-IT" w:eastAsia="it-IT"/>
        </w:rPr>
        <w:t>, Susana de Sousa Ara</w:t>
      </w:r>
      <w:r>
        <w:rPr>
          <w:rFonts w:cs="Times New Roman"/>
          <w:b/>
          <w:color w:val="000000"/>
          <w:szCs w:val="24"/>
          <w:lang w:val="it-IT" w:eastAsia="it-IT"/>
        </w:rPr>
        <w:t>ú</w:t>
      </w:r>
      <w:r>
        <w:rPr>
          <w:b/>
          <w:color w:val="000000"/>
          <w:szCs w:val="24"/>
          <w:lang w:val="it-IT" w:eastAsia="it-IT"/>
        </w:rPr>
        <w:t>jo</w:t>
      </w:r>
      <w:r>
        <w:rPr>
          <w:b/>
          <w:color w:val="000000"/>
          <w:szCs w:val="24"/>
          <w:vertAlign w:val="superscript"/>
          <w:lang w:val="it-IT" w:eastAsia="it-IT"/>
        </w:rPr>
        <w:t>4</w:t>
      </w:r>
      <w:r>
        <w:rPr>
          <w:b/>
          <w:color w:val="000000"/>
          <w:szCs w:val="24"/>
          <w:lang w:val="it-IT" w:eastAsia="it-IT"/>
        </w:rPr>
        <w:t>, Alma Balestrazzi</w:t>
      </w:r>
      <w:r>
        <w:rPr>
          <w:b/>
          <w:color w:val="000000"/>
          <w:szCs w:val="24"/>
          <w:vertAlign w:val="superscript"/>
          <w:lang w:val="it-IT" w:eastAsia="it-IT"/>
        </w:rPr>
        <w:t>1,*</w:t>
      </w:r>
    </w:p>
    <w:p w14:paraId="4745656D" w14:textId="77777777" w:rsidR="004B5FFC" w:rsidRDefault="004B5FFC" w:rsidP="00230DC8">
      <w:pPr>
        <w:tabs>
          <w:tab w:val="left" w:pos="9356"/>
        </w:tabs>
        <w:autoSpaceDE w:val="0"/>
        <w:autoSpaceDN w:val="0"/>
        <w:adjustRightInd w:val="0"/>
        <w:spacing w:before="0" w:after="0"/>
        <w:ind w:right="282"/>
        <w:jc w:val="both"/>
        <w:rPr>
          <w:b/>
          <w:color w:val="000000"/>
          <w:szCs w:val="24"/>
          <w:lang w:val="it-IT" w:eastAsia="it-IT"/>
        </w:rPr>
      </w:pPr>
    </w:p>
    <w:p w14:paraId="4C50E169" w14:textId="77777777" w:rsidR="004B5FFC" w:rsidRDefault="004B5FFC" w:rsidP="00230D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356"/>
        </w:tabs>
        <w:autoSpaceDE w:val="0"/>
        <w:autoSpaceDN w:val="0"/>
        <w:adjustRightInd w:val="0"/>
        <w:spacing w:before="0" w:after="0"/>
        <w:ind w:right="284"/>
        <w:jc w:val="both"/>
        <w:rPr>
          <w:szCs w:val="24"/>
          <w:lang w:val="en-GB"/>
        </w:rPr>
      </w:pPr>
      <w:r>
        <w:rPr>
          <w:rFonts w:eastAsia="Cambria"/>
          <w:szCs w:val="24"/>
          <w:vertAlign w:val="superscript"/>
          <w:lang w:val="en-GB"/>
        </w:rPr>
        <w:t xml:space="preserve">1 </w:t>
      </w:r>
      <w:r>
        <w:rPr>
          <w:szCs w:val="24"/>
          <w:lang w:val="en-GB"/>
        </w:rPr>
        <w:t xml:space="preserve">Department of Biology and Biotechnology 'L. Spallanzani', via Ferrata 9, 27100 Pavia, Italy, </w:t>
      </w:r>
    </w:p>
    <w:p w14:paraId="55E458AD" w14:textId="77777777" w:rsidR="004B5FFC" w:rsidRDefault="004B5FFC" w:rsidP="00230D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356"/>
        </w:tabs>
        <w:autoSpaceDE w:val="0"/>
        <w:autoSpaceDN w:val="0"/>
        <w:adjustRightInd w:val="0"/>
        <w:spacing w:before="0" w:after="0"/>
        <w:ind w:right="284"/>
        <w:jc w:val="both"/>
        <w:rPr>
          <w:color w:val="000000"/>
          <w:szCs w:val="24"/>
          <w:shd w:val="clear" w:color="auto" w:fill="FFFFFF"/>
          <w:lang w:val="it-IT"/>
        </w:rPr>
      </w:pPr>
      <w:r>
        <w:rPr>
          <w:color w:val="000000"/>
          <w:szCs w:val="24"/>
          <w:shd w:val="clear" w:color="auto" w:fill="FFFFFF"/>
          <w:vertAlign w:val="superscript"/>
          <w:lang w:val="it-IT"/>
        </w:rPr>
        <w:t>2</w:t>
      </w:r>
      <w:r>
        <w:rPr>
          <w:color w:val="000000"/>
          <w:szCs w:val="24"/>
          <w:shd w:val="clear" w:color="auto" w:fill="FFFFFF"/>
          <w:lang w:val="it-IT"/>
        </w:rPr>
        <w:t xml:space="preserve"> Consiglio Nazionale delle Ricerche</w:t>
      </w:r>
      <w:r>
        <w:rPr>
          <w:color w:val="000000"/>
          <w:szCs w:val="24"/>
          <w:lang w:val="it-IT"/>
        </w:rPr>
        <w:t xml:space="preserve">, </w:t>
      </w:r>
      <w:r>
        <w:rPr>
          <w:color w:val="000000"/>
          <w:szCs w:val="24"/>
          <w:shd w:val="clear" w:color="auto" w:fill="FFFFFF"/>
          <w:lang w:val="it-IT"/>
        </w:rPr>
        <w:t>Research Area of Bologna,</w:t>
      </w:r>
      <w:r>
        <w:rPr>
          <w:color w:val="000000"/>
          <w:szCs w:val="24"/>
          <w:lang w:val="it-IT"/>
        </w:rPr>
        <w:t xml:space="preserve"> </w:t>
      </w:r>
      <w:r>
        <w:rPr>
          <w:color w:val="000000"/>
          <w:szCs w:val="24"/>
          <w:shd w:val="clear" w:color="auto" w:fill="FFFFFF"/>
          <w:lang w:val="it-IT"/>
        </w:rPr>
        <w:t>Via P. Gobetti 101</w:t>
      </w:r>
      <w:r>
        <w:rPr>
          <w:color w:val="000000"/>
          <w:szCs w:val="24"/>
          <w:lang w:val="it-IT"/>
        </w:rPr>
        <w:t xml:space="preserve">- </w:t>
      </w:r>
      <w:r>
        <w:rPr>
          <w:color w:val="000000"/>
          <w:szCs w:val="24"/>
          <w:shd w:val="clear" w:color="auto" w:fill="FFFFFF"/>
          <w:lang w:val="it-IT"/>
        </w:rPr>
        <w:t>40129 Bologna (Italy)</w:t>
      </w:r>
    </w:p>
    <w:p w14:paraId="342AD564" w14:textId="77777777" w:rsidR="004B5FFC" w:rsidRDefault="004B5FFC" w:rsidP="00230D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356"/>
        </w:tabs>
        <w:autoSpaceDE w:val="0"/>
        <w:autoSpaceDN w:val="0"/>
        <w:adjustRightInd w:val="0"/>
        <w:spacing w:before="0" w:after="0"/>
        <w:ind w:right="284"/>
        <w:jc w:val="both"/>
        <w:rPr>
          <w:color w:val="000000"/>
          <w:szCs w:val="24"/>
          <w:lang w:val="it-IT"/>
        </w:rPr>
      </w:pPr>
      <w:r>
        <w:rPr>
          <w:color w:val="000000"/>
          <w:szCs w:val="24"/>
          <w:shd w:val="clear" w:color="auto" w:fill="FFFFFF"/>
          <w:vertAlign w:val="superscript"/>
          <w:lang w:val="it-IT"/>
        </w:rPr>
        <w:t>3</w:t>
      </w:r>
      <w:r>
        <w:rPr>
          <w:color w:val="000000"/>
          <w:szCs w:val="24"/>
          <w:shd w:val="clear" w:color="auto" w:fill="FFFFFF"/>
          <w:lang w:val="it-IT"/>
        </w:rPr>
        <w:t xml:space="preserve"> Lipinutragen srl</w:t>
      </w:r>
      <w:r>
        <w:rPr>
          <w:color w:val="222222"/>
          <w:szCs w:val="24"/>
          <w:shd w:val="clear" w:color="auto" w:fill="FFFFFF"/>
          <w:lang w:val="it-IT"/>
        </w:rPr>
        <w:t>, Laboratorio di Lipidomica, Via P. Gobetti 101, 40129 Bologna</w:t>
      </w:r>
    </w:p>
    <w:p w14:paraId="6A49306C" w14:textId="77777777" w:rsidR="004B5FFC" w:rsidRDefault="004B5FFC" w:rsidP="00230D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356"/>
        </w:tabs>
        <w:autoSpaceDE w:val="0"/>
        <w:autoSpaceDN w:val="0"/>
        <w:adjustRightInd w:val="0"/>
        <w:spacing w:before="0" w:after="0"/>
        <w:ind w:right="284"/>
        <w:jc w:val="both"/>
        <w:rPr>
          <w:rFonts w:eastAsia="Cambria"/>
          <w:color w:val="000000"/>
          <w:szCs w:val="24"/>
          <w:shd w:val="clear" w:color="auto" w:fill="FFFFFF"/>
          <w:lang w:val="it-IT"/>
        </w:rPr>
      </w:pPr>
      <w:r>
        <w:rPr>
          <w:szCs w:val="24"/>
          <w:vertAlign w:val="superscript"/>
          <w:lang w:val="it-IT"/>
        </w:rPr>
        <w:t xml:space="preserve">4 </w:t>
      </w:r>
      <w:r>
        <w:rPr>
          <w:rFonts w:eastAsia="Cambria"/>
          <w:szCs w:val="24"/>
          <w:lang w:val="it-IT"/>
        </w:rPr>
        <w:t xml:space="preserve">Instituto De Tecnologia Quìmica e Biologica ITQB-UNL </w:t>
      </w:r>
      <w:r>
        <w:rPr>
          <w:szCs w:val="24"/>
          <w:lang w:val="it-IT"/>
        </w:rPr>
        <w:t>António Xavier (ITQB-UNL)</w:t>
      </w:r>
      <w:r>
        <w:rPr>
          <w:rFonts w:eastAsia="Cambria"/>
          <w:szCs w:val="24"/>
          <w:lang w:val="it-IT"/>
        </w:rPr>
        <w:t xml:space="preserve"> Avenida da Republica, </w:t>
      </w:r>
      <w:r>
        <w:rPr>
          <w:rFonts w:eastAsia="Cambria"/>
          <w:color w:val="000000"/>
          <w:szCs w:val="24"/>
          <w:shd w:val="clear" w:color="auto" w:fill="FFFFFF"/>
          <w:lang w:val="it-IT"/>
        </w:rPr>
        <w:t>Estação</w:t>
      </w:r>
      <w:r>
        <w:rPr>
          <w:color w:val="000000"/>
          <w:szCs w:val="24"/>
          <w:shd w:val="clear" w:color="auto" w:fill="FFFFFF"/>
          <w:lang w:val="it-IT"/>
        </w:rPr>
        <w:t xml:space="preserve"> </w:t>
      </w:r>
      <w:r>
        <w:rPr>
          <w:rFonts w:eastAsia="Cambria"/>
          <w:color w:val="000000"/>
          <w:szCs w:val="24"/>
          <w:shd w:val="clear" w:color="auto" w:fill="FFFFFF"/>
          <w:lang w:val="it-IT"/>
        </w:rPr>
        <w:t>Agronómica Nacional 2780-157-Oeiras, Portugal</w:t>
      </w:r>
    </w:p>
    <w:p w14:paraId="14D389EF" w14:textId="77777777" w:rsidR="004B5FFC" w:rsidRDefault="004B5FFC" w:rsidP="00230D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356"/>
        </w:tabs>
        <w:autoSpaceDE w:val="0"/>
        <w:autoSpaceDN w:val="0"/>
        <w:adjustRightInd w:val="0"/>
        <w:spacing w:before="0" w:after="0"/>
        <w:ind w:right="284"/>
        <w:jc w:val="both"/>
        <w:rPr>
          <w:rFonts w:eastAsia="Cambria"/>
          <w:color w:val="000000"/>
          <w:szCs w:val="24"/>
          <w:shd w:val="clear" w:color="auto" w:fill="FFFFFF"/>
          <w:lang w:val="it-IT"/>
        </w:rPr>
      </w:pPr>
    </w:p>
    <w:p w14:paraId="125F627B" w14:textId="483D90CC" w:rsidR="004B5FFC" w:rsidRDefault="004B5FFC" w:rsidP="00230D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356"/>
        </w:tabs>
        <w:autoSpaceDE w:val="0"/>
        <w:autoSpaceDN w:val="0"/>
        <w:adjustRightInd w:val="0"/>
        <w:spacing w:before="0" w:after="0"/>
        <w:ind w:right="282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vertAlign w:val="superscript"/>
          <w:lang w:eastAsia="it-IT"/>
        </w:rPr>
        <w:sym w:font="Symbol" w:char="F023"/>
      </w:r>
      <w:r>
        <w:rPr>
          <w:color w:val="000000"/>
          <w:szCs w:val="24"/>
          <w:vertAlign w:val="superscript"/>
          <w:lang w:eastAsia="it-IT"/>
        </w:rPr>
        <w:t xml:space="preserve"> </w:t>
      </w:r>
      <w:r>
        <w:rPr>
          <w:color w:val="000000"/>
          <w:szCs w:val="24"/>
          <w:lang w:eastAsia="it-IT"/>
        </w:rPr>
        <w:t>These authors equally contributed to the work</w:t>
      </w:r>
    </w:p>
    <w:p w14:paraId="6FDEFFC8" w14:textId="77777777" w:rsidR="00CD2C1F" w:rsidRDefault="00CD2C1F" w:rsidP="00CD2C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356"/>
        </w:tabs>
        <w:autoSpaceDE w:val="0"/>
        <w:autoSpaceDN w:val="0"/>
        <w:adjustRightInd w:val="0"/>
        <w:spacing w:before="0" w:after="0"/>
        <w:ind w:right="282"/>
        <w:jc w:val="both"/>
        <w:rPr>
          <w:color w:val="000000"/>
          <w:szCs w:val="24"/>
          <w:lang w:eastAsia="it-IT"/>
        </w:rPr>
      </w:pPr>
      <w:bookmarkStart w:id="1" w:name="_Hlk15491633"/>
      <w:r>
        <w:rPr>
          <w:color w:val="000000"/>
          <w:szCs w:val="24"/>
          <w:vertAlign w:val="superscript"/>
          <w:lang w:eastAsia="it-IT"/>
        </w:rPr>
        <w:t>⸹</w:t>
      </w:r>
      <w:bookmarkEnd w:id="1"/>
      <w:r>
        <w:rPr>
          <w:color w:val="000000"/>
          <w:szCs w:val="24"/>
          <w:lang w:eastAsia="it-IT"/>
        </w:rPr>
        <w:t xml:space="preserve"> Present address: Institute of Plant Genetics, Polish Academy of Sciences, Poznan, Poland</w:t>
      </w:r>
    </w:p>
    <w:p w14:paraId="7CE8CB15" w14:textId="77777777" w:rsidR="00CD2C1F" w:rsidRDefault="00CD2C1F" w:rsidP="00230D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356"/>
        </w:tabs>
        <w:autoSpaceDE w:val="0"/>
        <w:autoSpaceDN w:val="0"/>
        <w:adjustRightInd w:val="0"/>
        <w:spacing w:before="0" w:after="0"/>
        <w:ind w:right="282"/>
        <w:jc w:val="both"/>
        <w:rPr>
          <w:color w:val="000000"/>
          <w:szCs w:val="24"/>
          <w:lang w:eastAsia="it-IT"/>
        </w:rPr>
      </w:pPr>
    </w:p>
    <w:p w14:paraId="7051B530" w14:textId="77777777" w:rsidR="004B5FFC" w:rsidRDefault="004B5FFC" w:rsidP="006E6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356"/>
        </w:tabs>
        <w:autoSpaceDE w:val="0"/>
        <w:autoSpaceDN w:val="0"/>
        <w:adjustRightInd w:val="0"/>
        <w:spacing w:before="0" w:after="0"/>
        <w:ind w:right="282"/>
        <w:jc w:val="both"/>
        <w:rPr>
          <w:b/>
          <w:color w:val="000000"/>
          <w:szCs w:val="24"/>
          <w:lang w:val="en-GB"/>
        </w:rPr>
      </w:pPr>
    </w:p>
    <w:p w14:paraId="09A0EE99" w14:textId="77777777" w:rsidR="004B5FFC" w:rsidRDefault="004B5FFC" w:rsidP="006E68E7">
      <w:pPr>
        <w:spacing w:before="0" w:after="0"/>
        <w:rPr>
          <w:rFonts w:cs="Times New Roman"/>
          <w:szCs w:val="24"/>
          <w:lang w:val="it-IT"/>
        </w:rPr>
      </w:pPr>
      <w:r>
        <w:rPr>
          <w:rFonts w:cs="Times New Roman"/>
          <w:b/>
          <w:szCs w:val="24"/>
          <w:lang w:val="it-IT"/>
        </w:rPr>
        <w:t xml:space="preserve">* Correspondence: </w:t>
      </w:r>
      <w:r>
        <w:rPr>
          <w:rFonts w:cs="Times New Roman"/>
          <w:b/>
          <w:szCs w:val="24"/>
          <w:lang w:val="it-IT"/>
        </w:rPr>
        <w:br/>
      </w:r>
      <w:r>
        <w:rPr>
          <w:rFonts w:cs="Times New Roman"/>
          <w:szCs w:val="24"/>
          <w:lang w:val="it-IT"/>
        </w:rPr>
        <w:t>Alma Balestrazzi</w:t>
      </w:r>
      <w:r>
        <w:rPr>
          <w:rFonts w:cs="Times New Roman"/>
          <w:szCs w:val="24"/>
          <w:lang w:val="it-IT"/>
        </w:rPr>
        <w:br/>
      </w:r>
      <w:hyperlink r:id="rId8" w:history="1">
        <w:r>
          <w:rPr>
            <w:rStyle w:val="Hyperlink"/>
            <w:lang w:val="it-IT"/>
          </w:rPr>
          <w:t>alma.balestrazzi@unipv.it</w:t>
        </w:r>
      </w:hyperlink>
      <w:r>
        <w:rPr>
          <w:lang w:val="it-IT"/>
        </w:rPr>
        <w:t xml:space="preserve"> </w:t>
      </w:r>
    </w:p>
    <w:p w14:paraId="1FCBB367" w14:textId="77777777" w:rsidR="004B5FFC" w:rsidRPr="004B5FFC" w:rsidRDefault="004B5FFC" w:rsidP="00DC00C6">
      <w:pPr>
        <w:tabs>
          <w:tab w:val="left" w:pos="9356"/>
        </w:tabs>
        <w:autoSpaceDE w:val="0"/>
        <w:autoSpaceDN w:val="0"/>
        <w:adjustRightInd w:val="0"/>
        <w:spacing w:after="0" w:line="480" w:lineRule="auto"/>
        <w:ind w:left="284" w:right="282"/>
        <w:jc w:val="both"/>
        <w:rPr>
          <w:b/>
          <w:color w:val="FF0000"/>
          <w:szCs w:val="24"/>
          <w:lang w:val="it-IT" w:eastAsia="it-IT"/>
        </w:rPr>
      </w:pPr>
    </w:p>
    <w:p w14:paraId="59C686E1" w14:textId="77777777" w:rsidR="00DC00C6" w:rsidRPr="004B5FFC" w:rsidRDefault="00DC00C6" w:rsidP="00DC00C6">
      <w:pPr>
        <w:rPr>
          <w:szCs w:val="24"/>
          <w:lang w:val="it-IT"/>
        </w:rPr>
      </w:pPr>
    </w:p>
    <w:p w14:paraId="30315CE0" w14:textId="77777777" w:rsidR="00DC00C6" w:rsidRPr="004B5FFC" w:rsidRDefault="00DC00C6" w:rsidP="00DC00C6">
      <w:pPr>
        <w:rPr>
          <w:szCs w:val="24"/>
          <w:lang w:val="it-IT"/>
        </w:rPr>
      </w:pPr>
    </w:p>
    <w:p w14:paraId="70C4CFDE" w14:textId="77777777" w:rsidR="00DC00C6" w:rsidRPr="004B5FFC" w:rsidRDefault="00DC00C6" w:rsidP="00DC00C6">
      <w:pPr>
        <w:rPr>
          <w:szCs w:val="24"/>
          <w:lang w:val="it-IT"/>
        </w:rPr>
      </w:pPr>
    </w:p>
    <w:p w14:paraId="49677753" w14:textId="77777777" w:rsidR="00DC00C6" w:rsidRPr="004B5FFC" w:rsidRDefault="00DC00C6" w:rsidP="00DC00C6">
      <w:pPr>
        <w:rPr>
          <w:szCs w:val="24"/>
          <w:lang w:val="it-IT"/>
        </w:rPr>
      </w:pPr>
    </w:p>
    <w:p w14:paraId="215998C6" w14:textId="77777777" w:rsidR="00DC00C6" w:rsidRPr="004B5FFC" w:rsidRDefault="00DC00C6" w:rsidP="00DC00C6">
      <w:pPr>
        <w:rPr>
          <w:szCs w:val="24"/>
          <w:lang w:val="it-IT"/>
        </w:rPr>
      </w:pPr>
    </w:p>
    <w:p w14:paraId="0546B3CF" w14:textId="77777777" w:rsidR="00DC00C6" w:rsidRPr="004B5FFC" w:rsidRDefault="00DC00C6" w:rsidP="00DC00C6">
      <w:pPr>
        <w:rPr>
          <w:szCs w:val="24"/>
          <w:lang w:val="it-IT"/>
        </w:rPr>
      </w:pPr>
    </w:p>
    <w:p w14:paraId="046CB171" w14:textId="77777777" w:rsidR="00DC00C6" w:rsidRPr="004B5FFC" w:rsidRDefault="00DC00C6" w:rsidP="00DC00C6">
      <w:pPr>
        <w:rPr>
          <w:szCs w:val="24"/>
          <w:lang w:val="it-IT"/>
        </w:rPr>
      </w:pPr>
    </w:p>
    <w:p w14:paraId="58DFFA17" w14:textId="77777777" w:rsidR="00DC00C6" w:rsidRPr="004B5FFC" w:rsidRDefault="00DC00C6" w:rsidP="00DC00C6">
      <w:pPr>
        <w:rPr>
          <w:szCs w:val="24"/>
          <w:lang w:val="it-IT"/>
        </w:rPr>
      </w:pPr>
    </w:p>
    <w:p w14:paraId="238A2D7B" w14:textId="77777777" w:rsidR="00DC00C6" w:rsidRPr="004B5FFC" w:rsidRDefault="00DC00C6" w:rsidP="00DC00C6">
      <w:pPr>
        <w:rPr>
          <w:szCs w:val="24"/>
          <w:lang w:val="it-IT"/>
        </w:rPr>
      </w:pPr>
    </w:p>
    <w:p w14:paraId="06FF9B75" w14:textId="77777777" w:rsidR="00DC00C6" w:rsidRPr="004B5FFC" w:rsidRDefault="00DC00C6" w:rsidP="00DC00C6">
      <w:pPr>
        <w:rPr>
          <w:szCs w:val="24"/>
          <w:lang w:val="it-IT"/>
        </w:rPr>
      </w:pPr>
    </w:p>
    <w:p w14:paraId="4B7CCBF1" w14:textId="77777777" w:rsidR="00DC00C6" w:rsidRPr="004B5FFC" w:rsidRDefault="00DC00C6" w:rsidP="00DC00C6">
      <w:pPr>
        <w:rPr>
          <w:szCs w:val="24"/>
          <w:lang w:val="it-IT"/>
        </w:rPr>
      </w:pPr>
    </w:p>
    <w:p w14:paraId="0DA8B2CC" w14:textId="11C1D493" w:rsidR="00DC00C6" w:rsidRDefault="006E5845" w:rsidP="006E5845">
      <w:pPr>
        <w:jc w:val="center"/>
        <w:rPr>
          <w:szCs w:val="24"/>
          <w:lang w:val="it-IT"/>
        </w:rPr>
      </w:pPr>
      <w:r>
        <w:rPr>
          <w:noProof/>
          <w:szCs w:val="24"/>
          <w:lang w:val="it-IT"/>
        </w:rPr>
        <w:drawing>
          <wp:inline distT="0" distB="0" distL="0" distR="0" wp14:anchorId="5404C15A" wp14:editId="1CA9C84C">
            <wp:extent cx="3308035" cy="2247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 fig s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34" t="29330" r="30692" b="24216"/>
                    <a:stretch/>
                  </pic:blipFill>
                  <pic:spPr bwMode="auto">
                    <a:xfrm>
                      <a:off x="0" y="0"/>
                      <a:ext cx="3312449" cy="225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83C0DF" w14:textId="07673237" w:rsidR="004B5FFC" w:rsidRDefault="004B5FFC" w:rsidP="00230DC8">
      <w:pPr>
        <w:jc w:val="both"/>
        <w:rPr>
          <w:szCs w:val="24"/>
        </w:rPr>
      </w:pPr>
      <w:r w:rsidRPr="004B5FFC">
        <w:rPr>
          <w:b/>
          <w:bCs/>
          <w:szCs w:val="24"/>
        </w:rPr>
        <w:t xml:space="preserve">Supplementary Figure </w:t>
      </w:r>
      <w:r w:rsidR="006E5845">
        <w:rPr>
          <w:b/>
          <w:bCs/>
          <w:szCs w:val="24"/>
        </w:rPr>
        <w:t>S</w:t>
      </w:r>
      <w:r w:rsidRPr="004B5FFC">
        <w:rPr>
          <w:b/>
          <w:bCs/>
          <w:szCs w:val="24"/>
        </w:rPr>
        <w:t>1</w:t>
      </w:r>
      <w:r w:rsidRPr="004B5FFC">
        <w:rPr>
          <w:szCs w:val="24"/>
        </w:rPr>
        <w:t>. MDA standard c</w:t>
      </w:r>
      <w:r>
        <w:rPr>
          <w:szCs w:val="24"/>
        </w:rPr>
        <w:t xml:space="preserve">urve </w:t>
      </w:r>
      <w:r w:rsidRPr="004B5FFC">
        <w:rPr>
          <w:szCs w:val="24"/>
        </w:rPr>
        <w:t>measured at 254 nm using an UV-visible spectrophotometer (UV-1800, Shimadzu, U.K.).</w:t>
      </w:r>
      <w:r>
        <w:rPr>
          <w:szCs w:val="24"/>
        </w:rPr>
        <w:t xml:space="preserve"> </w:t>
      </w:r>
    </w:p>
    <w:p w14:paraId="3973EA96" w14:textId="4D21F745" w:rsidR="004B5FFC" w:rsidRDefault="004B5FFC" w:rsidP="00DC00C6">
      <w:pPr>
        <w:rPr>
          <w:szCs w:val="24"/>
        </w:rPr>
      </w:pPr>
    </w:p>
    <w:p w14:paraId="2B1802FC" w14:textId="0B96745C" w:rsidR="004B5FFC" w:rsidRDefault="004B5FFC" w:rsidP="004B5FFC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25FA9596" wp14:editId="19128639">
            <wp:extent cx="3329354" cy="24727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l Fig. S1.t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64" t="23791" r="29651" b="37307"/>
                    <a:stretch/>
                  </pic:blipFill>
                  <pic:spPr bwMode="auto">
                    <a:xfrm>
                      <a:off x="0" y="0"/>
                      <a:ext cx="3348262" cy="2486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E932CA" w14:textId="4D8C1111" w:rsidR="006E5845" w:rsidRDefault="006E5845" w:rsidP="00230DC8">
      <w:pPr>
        <w:jc w:val="both"/>
        <w:rPr>
          <w:szCs w:val="24"/>
        </w:rPr>
      </w:pPr>
      <w:bookmarkStart w:id="2" w:name="_Hlk15485589"/>
      <w:r w:rsidRPr="006E5845">
        <w:rPr>
          <w:b/>
          <w:bCs/>
          <w:szCs w:val="24"/>
        </w:rPr>
        <w:t>Supplementary Figure S2</w:t>
      </w:r>
      <w:r w:rsidRPr="006E5845">
        <w:rPr>
          <w:szCs w:val="24"/>
        </w:rPr>
        <w:t xml:space="preserve">. </w:t>
      </w:r>
      <w:bookmarkEnd w:id="2"/>
      <w:r>
        <w:rPr>
          <w:szCs w:val="24"/>
        </w:rPr>
        <w:t>Cysteine</w:t>
      </w:r>
      <w:r w:rsidRPr="006E5845">
        <w:rPr>
          <w:szCs w:val="24"/>
        </w:rPr>
        <w:t xml:space="preserve"> </w:t>
      </w:r>
      <w:r>
        <w:rPr>
          <w:szCs w:val="24"/>
        </w:rPr>
        <w:t xml:space="preserve">standard curve constructed using cysteine concentrations of in the range of 0.01-0.1 mg/ml and used for the quantification of the thiols measured spectrophotometrically at 412 nm. </w:t>
      </w:r>
    </w:p>
    <w:p w14:paraId="11779797" w14:textId="33FF2A3D" w:rsidR="006E5845" w:rsidRDefault="006E5845">
      <w:pPr>
        <w:spacing w:before="0" w:after="200" w:line="276" w:lineRule="auto"/>
        <w:rPr>
          <w:szCs w:val="24"/>
        </w:rPr>
      </w:pPr>
      <w:r>
        <w:rPr>
          <w:szCs w:val="24"/>
        </w:rPr>
        <w:br w:type="page"/>
      </w:r>
    </w:p>
    <w:p w14:paraId="3C1C48DC" w14:textId="53A9716F" w:rsidR="006E5845" w:rsidRDefault="006E5845" w:rsidP="006E5845">
      <w:pPr>
        <w:jc w:val="center"/>
        <w:rPr>
          <w:szCs w:val="24"/>
        </w:rPr>
      </w:pPr>
      <w:r w:rsidRPr="006E5845">
        <w:rPr>
          <w:noProof/>
          <w:szCs w:val="24"/>
        </w:rPr>
        <w:lastRenderedPageBreak/>
        <w:drawing>
          <wp:inline distT="0" distB="0" distL="0" distR="0" wp14:anchorId="54E1FA89" wp14:editId="0AFD39AD">
            <wp:extent cx="3165231" cy="2520427"/>
            <wp:effectExtent l="0" t="0" r="0" b="0"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F4C62CA-376B-41AD-8FCD-0072C3C5C3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3F4C62CA-376B-41AD-8FCD-0072C3C5C35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574" cy="253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FF236" w14:textId="2B867FCC" w:rsidR="00DC00C6" w:rsidRDefault="006E5845" w:rsidP="00230DC8">
      <w:pPr>
        <w:jc w:val="both"/>
        <w:rPr>
          <w:szCs w:val="24"/>
        </w:rPr>
      </w:pPr>
      <w:bookmarkStart w:id="3" w:name="_Hlk15485848"/>
      <w:r w:rsidRPr="006E5845">
        <w:rPr>
          <w:b/>
          <w:bCs/>
          <w:szCs w:val="24"/>
        </w:rPr>
        <w:t>Supplementary Figure S</w:t>
      </w:r>
      <w:r>
        <w:rPr>
          <w:b/>
          <w:bCs/>
          <w:szCs w:val="24"/>
        </w:rPr>
        <w:t>3</w:t>
      </w:r>
      <w:bookmarkEnd w:id="3"/>
      <w:r w:rsidRPr="006E5845">
        <w:rPr>
          <w:szCs w:val="24"/>
        </w:rPr>
        <w:t>.</w:t>
      </w:r>
      <w:r>
        <w:rPr>
          <w:szCs w:val="24"/>
        </w:rPr>
        <w:t xml:space="preserve"> Chromatogram showing the detection of </w:t>
      </w:r>
      <w:r>
        <w:rPr>
          <w:szCs w:val="24"/>
        </w:rPr>
        <w:sym w:font="Symbol" w:char="F067"/>
      </w:r>
      <w:r>
        <w:rPr>
          <w:szCs w:val="24"/>
        </w:rPr>
        <w:t xml:space="preserve">-tocopherol by the HPLC </w:t>
      </w:r>
      <w:r w:rsidRPr="006E5845">
        <w:rPr>
          <w:szCs w:val="24"/>
        </w:rPr>
        <w:t>system (Kontron Instrument 420 system) equipped with a C18 column (250 x 4.6 mm, 5</w:t>
      </w:r>
      <w:r>
        <w:rPr>
          <w:rFonts w:cs="Times New Roman"/>
          <w:szCs w:val="24"/>
        </w:rPr>
        <w:t>μ</w:t>
      </w:r>
      <w:r w:rsidRPr="006E5845">
        <w:rPr>
          <w:szCs w:val="24"/>
        </w:rPr>
        <w:t>)</w:t>
      </w:r>
      <w:r>
        <w:rPr>
          <w:szCs w:val="24"/>
        </w:rPr>
        <w:t xml:space="preserve">. </w:t>
      </w:r>
    </w:p>
    <w:p w14:paraId="61E18C79" w14:textId="77777777" w:rsidR="006E5845" w:rsidRDefault="006E5845" w:rsidP="006E5845">
      <w:pPr>
        <w:rPr>
          <w:szCs w:val="24"/>
        </w:rPr>
      </w:pPr>
    </w:p>
    <w:p w14:paraId="25D0FC69" w14:textId="66971476" w:rsidR="006E5845" w:rsidRDefault="00703993" w:rsidP="006E5845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4CF8E73B" wp14:editId="29693C3C">
            <wp:extent cx="3804138" cy="35994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a_score2d_1_dpi300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2"/>
                    <a:stretch/>
                  </pic:blipFill>
                  <pic:spPr bwMode="auto">
                    <a:xfrm>
                      <a:off x="0" y="0"/>
                      <a:ext cx="3814813" cy="3609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018813" w14:textId="2507E2A3" w:rsidR="004B5FFC" w:rsidRPr="006E68E7" w:rsidRDefault="006E5845" w:rsidP="00230DC8">
      <w:pPr>
        <w:jc w:val="both"/>
        <w:rPr>
          <w:b/>
          <w:bCs/>
          <w:szCs w:val="24"/>
        </w:rPr>
      </w:pPr>
      <w:r w:rsidRPr="006E5845">
        <w:rPr>
          <w:b/>
          <w:bCs/>
          <w:szCs w:val="24"/>
        </w:rPr>
        <w:t>Supplementary Figure S</w:t>
      </w:r>
      <w:r>
        <w:rPr>
          <w:b/>
          <w:bCs/>
          <w:szCs w:val="24"/>
        </w:rPr>
        <w:t xml:space="preserve">4. </w:t>
      </w:r>
      <w:r w:rsidRPr="006E68E7">
        <w:rPr>
          <w:szCs w:val="24"/>
        </w:rPr>
        <w:t xml:space="preserve">Principal component analysis score plot explaining </w:t>
      </w:r>
      <w:r w:rsidR="006E68E7">
        <w:rPr>
          <w:szCs w:val="24"/>
        </w:rPr>
        <w:t>99</w:t>
      </w:r>
      <w:r w:rsidRPr="006E68E7">
        <w:rPr>
          <w:szCs w:val="24"/>
        </w:rPr>
        <w:t>.</w:t>
      </w:r>
      <w:r w:rsidR="006E68E7">
        <w:rPr>
          <w:szCs w:val="24"/>
        </w:rPr>
        <w:t>3</w:t>
      </w:r>
      <w:r w:rsidRPr="006E68E7">
        <w:rPr>
          <w:szCs w:val="24"/>
        </w:rPr>
        <w:t>% of the variance of</w:t>
      </w:r>
      <w:r w:rsidR="006E68E7" w:rsidRPr="006E68E7">
        <w:rPr>
          <w:szCs w:val="24"/>
        </w:rPr>
        <w:t xml:space="preserve"> </w:t>
      </w:r>
      <w:r w:rsidR="00230DC8">
        <w:rPr>
          <w:szCs w:val="24"/>
        </w:rPr>
        <w:t>measured variables (</w:t>
      </w:r>
      <w:r w:rsidR="00230DC8" w:rsidRPr="00230DC8">
        <w:rPr>
          <w:szCs w:val="24"/>
        </w:rPr>
        <w:t>ROS, RNS, MDA, thiols, tocopherols</w:t>
      </w:r>
      <w:r w:rsidR="00230DC8">
        <w:rPr>
          <w:szCs w:val="24"/>
        </w:rPr>
        <w:t xml:space="preserve">, </w:t>
      </w:r>
      <w:r w:rsidR="00230DC8" w:rsidRPr="00230DC8">
        <w:rPr>
          <w:szCs w:val="24"/>
        </w:rPr>
        <w:t>SFA, MUFA, FUPA, ω-6, ω-3, and trans-fatty acids</w:t>
      </w:r>
      <w:r w:rsidR="00230DC8">
        <w:rPr>
          <w:szCs w:val="24"/>
        </w:rPr>
        <w:t>)</w:t>
      </w:r>
      <w:r w:rsidRPr="006E68E7">
        <w:rPr>
          <w:szCs w:val="24"/>
        </w:rPr>
        <w:t xml:space="preserve">, in which PC1 accounts for </w:t>
      </w:r>
      <w:r w:rsidR="006E68E7">
        <w:rPr>
          <w:szCs w:val="24"/>
        </w:rPr>
        <w:t>92.</w:t>
      </w:r>
      <w:r w:rsidR="00703993">
        <w:rPr>
          <w:szCs w:val="24"/>
        </w:rPr>
        <w:t>9</w:t>
      </w:r>
      <w:r w:rsidRPr="006E68E7">
        <w:rPr>
          <w:szCs w:val="24"/>
        </w:rPr>
        <w:t>%, whereas PC2</w:t>
      </w:r>
      <w:r w:rsidR="006E68E7" w:rsidRPr="006E68E7">
        <w:rPr>
          <w:szCs w:val="24"/>
        </w:rPr>
        <w:t xml:space="preserve"> </w:t>
      </w:r>
      <w:r w:rsidRPr="006E68E7">
        <w:rPr>
          <w:szCs w:val="24"/>
        </w:rPr>
        <w:t xml:space="preserve">accounts for </w:t>
      </w:r>
      <w:r w:rsidR="006E68E7">
        <w:rPr>
          <w:szCs w:val="24"/>
        </w:rPr>
        <w:t>6</w:t>
      </w:r>
      <w:r w:rsidRPr="006E68E7">
        <w:rPr>
          <w:szCs w:val="24"/>
        </w:rPr>
        <w:t>.</w:t>
      </w:r>
      <w:r w:rsidR="006E68E7">
        <w:rPr>
          <w:szCs w:val="24"/>
        </w:rPr>
        <w:t>5</w:t>
      </w:r>
      <w:r w:rsidRPr="006E68E7">
        <w:rPr>
          <w:szCs w:val="24"/>
        </w:rPr>
        <w:t>% of t</w:t>
      </w:r>
      <w:r w:rsidR="006E68E7">
        <w:rPr>
          <w:szCs w:val="24"/>
        </w:rPr>
        <w:t>otal</w:t>
      </w:r>
      <w:r w:rsidRPr="006E68E7">
        <w:rPr>
          <w:szCs w:val="24"/>
        </w:rPr>
        <w:t xml:space="preserve"> variance.</w:t>
      </w:r>
    </w:p>
    <w:p w14:paraId="795BBAA2" w14:textId="77777777" w:rsidR="00DC00C6" w:rsidRPr="004B5FFC" w:rsidRDefault="00DC00C6" w:rsidP="00DC00C6">
      <w:pPr>
        <w:rPr>
          <w:szCs w:val="24"/>
        </w:rPr>
      </w:pPr>
    </w:p>
    <w:p w14:paraId="169206D2" w14:textId="3F7B0BAC" w:rsidR="004735D8" w:rsidRDefault="004735D8" w:rsidP="004735D8">
      <w:pPr>
        <w:spacing w:before="240"/>
        <w:jc w:val="both"/>
        <w:rPr>
          <w:b/>
          <w:bCs/>
        </w:rPr>
      </w:pPr>
      <w:r w:rsidRPr="004735D8">
        <w:rPr>
          <w:b/>
          <w:bCs/>
        </w:rPr>
        <w:lastRenderedPageBreak/>
        <w:t>Supplementary Table S</w:t>
      </w:r>
      <w:r>
        <w:rPr>
          <w:b/>
          <w:bCs/>
        </w:rPr>
        <w:t>1</w:t>
      </w:r>
      <w:r w:rsidRPr="004735D8">
        <w:rPr>
          <w:b/>
          <w:bCs/>
        </w:rPr>
        <w:t>.</w:t>
      </w:r>
      <w:r w:rsidRPr="004735D8">
        <w:t xml:space="preserve"> </w:t>
      </w:r>
      <w:r w:rsidRPr="00833007">
        <w:t>Principal Component Analysis (PCA) loading scores corresponding to each principal component (PC) based on the used variables (</w:t>
      </w:r>
      <w:r w:rsidRPr="004735D8">
        <w:t>ROS, RNS, MDA, thiols, tocopherols</w:t>
      </w:r>
      <w:r>
        <w:t xml:space="preserve">, </w:t>
      </w:r>
      <w:r w:rsidRPr="004735D8">
        <w:t>SFA, MUFA, FUPA, ω-6, ω-3, and trans-fatty acids</w:t>
      </w:r>
      <w:r w:rsidRPr="00833007">
        <w:t xml:space="preserve">). The data were retrieved from </w:t>
      </w:r>
      <w:proofErr w:type="spellStart"/>
      <w:r>
        <w:t>MetaboAnalyst</w:t>
      </w:r>
      <w:proofErr w:type="spellEnd"/>
      <w:r w:rsidRPr="00833007">
        <w:t xml:space="preserve"> program available at </w:t>
      </w:r>
      <w:hyperlink r:id="rId13" w:history="1">
        <w:r w:rsidRPr="00F60DF4">
          <w:rPr>
            <w:rStyle w:val="Hyperlink"/>
          </w:rPr>
          <w:t>https://www.metaboanalyst.ca</w:t>
        </w:r>
      </w:hyperlink>
      <w:r>
        <w:t>.</w:t>
      </w:r>
    </w:p>
    <w:p w14:paraId="0AB7F0DB" w14:textId="4D1D7228" w:rsidR="004735D8" w:rsidRDefault="004735D8" w:rsidP="004735D8">
      <w:pPr>
        <w:spacing w:before="24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83E7870" wp14:editId="1BC419C6">
            <wp:extent cx="2481580" cy="22072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220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E4992B" w14:textId="6E7B9E32" w:rsidR="00DE23E8" w:rsidRDefault="00AC2292" w:rsidP="004735D8">
      <w:pPr>
        <w:spacing w:before="240"/>
        <w:jc w:val="both"/>
      </w:pPr>
      <w:r w:rsidRPr="00AC2292">
        <w:rPr>
          <w:b/>
          <w:bCs/>
        </w:rPr>
        <w:t>Supplementary Table S</w:t>
      </w:r>
      <w:r w:rsidR="004735D8">
        <w:rPr>
          <w:b/>
          <w:bCs/>
        </w:rPr>
        <w:t>2</w:t>
      </w:r>
      <w:r>
        <w:t>.</w:t>
      </w:r>
      <w:r w:rsidR="00833007" w:rsidRPr="00833007">
        <w:t xml:space="preserve"> </w:t>
      </w:r>
      <w:bookmarkStart w:id="4" w:name="_Hlk15551422"/>
      <w:r w:rsidR="00833007" w:rsidRPr="00833007">
        <w:t>Principal Component Analysis (PCA) loading scores corresponding to each principal component (PC) based on the used variables (</w:t>
      </w:r>
      <w:r w:rsidR="004735D8" w:rsidRPr="004735D8">
        <w:t xml:space="preserve">myristic acid, palmitic acid, stearic acid, arachidic acid, behenic acid, </w:t>
      </w:r>
      <w:proofErr w:type="spellStart"/>
      <w:r w:rsidR="004735D8" w:rsidRPr="004735D8">
        <w:t>linolelaidic</w:t>
      </w:r>
      <w:proofErr w:type="spellEnd"/>
      <w:r w:rsidR="004735D8" w:rsidRPr="004735D8">
        <w:t xml:space="preserve"> acid, linoleic acid, γ-linolenic acid, </w:t>
      </w:r>
      <w:proofErr w:type="spellStart"/>
      <w:r w:rsidR="004735D8" w:rsidRPr="004735D8">
        <w:t>dihomo</w:t>
      </w:r>
      <w:proofErr w:type="spellEnd"/>
      <w:r w:rsidR="004735D8" w:rsidRPr="004735D8">
        <w:t xml:space="preserve"> γ-linolenic acid, α-linolenic acid, </w:t>
      </w:r>
      <w:proofErr w:type="spellStart"/>
      <w:r w:rsidR="004735D8" w:rsidRPr="004735D8">
        <w:t>sapienic</w:t>
      </w:r>
      <w:proofErr w:type="spellEnd"/>
      <w:r w:rsidR="004735D8" w:rsidRPr="004735D8">
        <w:t xml:space="preserve"> acid, palmitoleic acid, oleic acid, vaccenic acid, </w:t>
      </w:r>
      <w:proofErr w:type="spellStart"/>
      <w:r w:rsidR="004735D8" w:rsidRPr="004735D8">
        <w:t>docosopentaenoic</w:t>
      </w:r>
      <w:proofErr w:type="spellEnd"/>
      <w:r w:rsidR="004735D8" w:rsidRPr="004735D8">
        <w:t xml:space="preserve"> acid, </w:t>
      </w:r>
      <w:proofErr w:type="spellStart"/>
      <w:r w:rsidR="004735D8" w:rsidRPr="004735D8">
        <w:t>docosohexaenoic</w:t>
      </w:r>
      <w:proofErr w:type="spellEnd"/>
      <w:r w:rsidR="004735D8" w:rsidRPr="004735D8">
        <w:t xml:space="preserve"> acid</w:t>
      </w:r>
      <w:r w:rsidR="00833007" w:rsidRPr="00833007">
        <w:t xml:space="preserve">). The data were retrieved from </w:t>
      </w:r>
      <w:proofErr w:type="spellStart"/>
      <w:r w:rsidR="004735D8">
        <w:t>MetaboAnalyst</w:t>
      </w:r>
      <w:proofErr w:type="spellEnd"/>
      <w:r w:rsidR="00833007" w:rsidRPr="00833007">
        <w:t xml:space="preserve"> program available at </w:t>
      </w:r>
      <w:hyperlink r:id="rId15" w:history="1">
        <w:r w:rsidR="004735D8" w:rsidRPr="00F60DF4">
          <w:rPr>
            <w:rStyle w:val="Hyperlink"/>
          </w:rPr>
          <w:t>https://www.metaboanalyst.ca</w:t>
        </w:r>
      </w:hyperlink>
      <w:r w:rsidR="004735D8">
        <w:t>.</w:t>
      </w:r>
      <w:bookmarkEnd w:id="4"/>
    </w:p>
    <w:p w14:paraId="26652295" w14:textId="60E7BC1A" w:rsidR="00833007" w:rsidRDefault="00833007" w:rsidP="004735D8">
      <w:pPr>
        <w:spacing w:before="240"/>
        <w:jc w:val="center"/>
      </w:pPr>
      <w:r w:rsidRPr="00833007">
        <w:rPr>
          <w:noProof/>
        </w:rPr>
        <w:drawing>
          <wp:inline distT="0" distB="0" distL="0" distR="0" wp14:anchorId="29F510C6" wp14:editId="227664F3">
            <wp:extent cx="3030220" cy="31184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825BC" w14:textId="77777777" w:rsidR="00833007" w:rsidRDefault="00833007" w:rsidP="00654E8F">
      <w:pPr>
        <w:spacing w:before="240"/>
      </w:pPr>
    </w:p>
    <w:p w14:paraId="5B741A6C" w14:textId="2FA01A7F" w:rsidR="00833007" w:rsidRPr="001549D3" w:rsidRDefault="00833007" w:rsidP="00654E8F">
      <w:pPr>
        <w:spacing w:before="240"/>
      </w:pPr>
    </w:p>
    <w:sectPr w:rsidR="00833007" w:rsidRPr="001549D3" w:rsidSect="0093429D">
      <w:headerReference w:type="even" r:id="rId17"/>
      <w:footerReference w:type="even" r:id="rId18"/>
      <w:footerReference w:type="default" r:id="rId19"/>
      <w:headerReference w:type="first" r:id="rId20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29F5C" w14:textId="77777777" w:rsidR="00960591" w:rsidRDefault="00960591" w:rsidP="00117666">
      <w:pPr>
        <w:spacing w:after="0"/>
      </w:pPr>
      <w:r>
        <w:separator/>
      </w:r>
    </w:p>
  </w:endnote>
  <w:endnote w:type="continuationSeparator" w:id="0">
    <w:p w14:paraId="7656F594" w14:textId="77777777" w:rsidR="00960591" w:rsidRDefault="0096059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2CA96" w14:textId="77777777" w:rsidR="00995F6A" w:rsidRPr="00577C4C" w:rsidRDefault="00960591">
    <w:pPr>
      <w:rPr>
        <w:color w:val="C00000"/>
        <w:szCs w:val="24"/>
      </w:rPr>
    </w:pPr>
    <w:r>
      <w:rPr>
        <w:noProof/>
        <w:lang w:val="en-GB" w:eastAsia="en-GB"/>
      </w:rPr>
      <w:pict w14:anchorId="1C6E4F7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484.4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14:paraId="213EB41C" w14:textId="77777777" w:rsidR="00995F6A" w:rsidRPr="00577C4C" w:rsidRDefault="008445C1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DC00C6">
                  <w:rPr>
                    <w:noProof/>
                    <w:color w:val="000000" w:themeColor="text1"/>
                    <w:szCs w:val="40"/>
                  </w:rPr>
                  <w:t>2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B1B89" w14:textId="77777777" w:rsidR="00995F6A" w:rsidRPr="00577C4C" w:rsidRDefault="00960591">
    <w:pPr>
      <w:rPr>
        <w:b/>
        <w:sz w:val="20"/>
        <w:szCs w:val="24"/>
      </w:rPr>
    </w:pPr>
    <w:r>
      <w:rPr>
        <w:noProof/>
        <w:lang w:val="en-GB" w:eastAsia="en-GB"/>
      </w:rPr>
      <w:pict w14:anchorId="4EEB1A70"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2049" type="#_x0000_t202" style="position:absolute;margin-left:484.4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14:paraId="25A51D1D" w14:textId="77777777" w:rsidR="00995F6A" w:rsidRPr="00577C4C" w:rsidRDefault="008445C1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994A3D">
                  <w:rPr>
                    <w:noProof/>
                    <w:color w:val="000000" w:themeColor="text1"/>
                    <w:szCs w:val="40"/>
                  </w:rPr>
                  <w:t>3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93D91" w14:textId="77777777" w:rsidR="00960591" w:rsidRDefault="00960591" w:rsidP="00117666">
      <w:pPr>
        <w:spacing w:after="0"/>
      </w:pPr>
      <w:r>
        <w:separator/>
      </w:r>
    </w:p>
  </w:footnote>
  <w:footnote w:type="continuationSeparator" w:id="0">
    <w:p w14:paraId="58F20CB6" w14:textId="77777777" w:rsidR="00960591" w:rsidRDefault="0096059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407A8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9CFFC" w14:textId="77777777" w:rsidR="00995F6A" w:rsidRDefault="0093429D" w:rsidP="0093429D">
    <w:r w:rsidRPr="005A1D84">
      <w:rPr>
        <w:b/>
        <w:noProof/>
        <w:color w:val="A6A6A6" w:themeColor="background1" w:themeShade="A6"/>
        <w:lang w:val="it-IT" w:eastAsia="it-IT"/>
      </w:rPr>
      <w:drawing>
        <wp:inline distT="0" distB="0" distL="0" distR="0" wp14:anchorId="2C6219D9" wp14:editId="4A866788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283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44035"/>
    <w:rsid w:val="001549D3"/>
    <w:rsid w:val="00160065"/>
    <w:rsid w:val="00177D84"/>
    <w:rsid w:val="00230DC8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735D8"/>
    <w:rsid w:val="00483073"/>
    <w:rsid w:val="004947A6"/>
    <w:rsid w:val="004961FF"/>
    <w:rsid w:val="004B5FFC"/>
    <w:rsid w:val="00511155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6E5845"/>
    <w:rsid w:val="006E68E7"/>
    <w:rsid w:val="00701727"/>
    <w:rsid w:val="00703993"/>
    <w:rsid w:val="0070566C"/>
    <w:rsid w:val="00714C50"/>
    <w:rsid w:val="007228AA"/>
    <w:rsid w:val="00725A7D"/>
    <w:rsid w:val="007501BE"/>
    <w:rsid w:val="00790BB3"/>
    <w:rsid w:val="007C206C"/>
    <w:rsid w:val="00817DD6"/>
    <w:rsid w:val="00833007"/>
    <w:rsid w:val="0083759F"/>
    <w:rsid w:val="008445C1"/>
    <w:rsid w:val="00885156"/>
    <w:rsid w:val="008955BD"/>
    <w:rsid w:val="008B38C1"/>
    <w:rsid w:val="009151AA"/>
    <w:rsid w:val="0093429D"/>
    <w:rsid w:val="00943573"/>
    <w:rsid w:val="00960591"/>
    <w:rsid w:val="00964134"/>
    <w:rsid w:val="00970F7D"/>
    <w:rsid w:val="00994A3D"/>
    <w:rsid w:val="009C2B12"/>
    <w:rsid w:val="00A174D9"/>
    <w:rsid w:val="00AA4D24"/>
    <w:rsid w:val="00AB6715"/>
    <w:rsid w:val="00AC2292"/>
    <w:rsid w:val="00B1671E"/>
    <w:rsid w:val="00B25EB8"/>
    <w:rsid w:val="00B37F4D"/>
    <w:rsid w:val="00C52A7B"/>
    <w:rsid w:val="00C56BAF"/>
    <w:rsid w:val="00C679AA"/>
    <w:rsid w:val="00C75972"/>
    <w:rsid w:val="00CD066B"/>
    <w:rsid w:val="00CD2C1F"/>
    <w:rsid w:val="00CE4FEE"/>
    <w:rsid w:val="00D060CF"/>
    <w:rsid w:val="00DB59C3"/>
    <w:rsid w:val="00DC00C6"/>
    <w:rsid w:val="00DC259A"/>
    <w:rsid w:val="00DE23E8"/>
    <w:rsid w:val="00E5062E"/>
    <w:rsid w:val="00E52377"/>
    <w:rsid w:val="00E537AD"/>
    <w:rsid w:val="00E64E17"/>
    <w:rsid w:val="00E866C9"/>
    <w:rsid w:val="00EA3D3C"/>
    <w:rsid w:val="00EC090A"/>
    <w:rsid w:val="00ED20B5"/>
    <w:rsid w:val="00F10F72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D56F160"/>
  <w15:docId w15:val="{07D48D19-51D8-4828-856A-76B81FD4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473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.balestrazzi@unipv.it" TargetMode="External"/><Relationship Id="rId13" Type="http://schemas.openxmlformats.org/officeDocument/2006/relationships/hyperlink" Target="https://www.metaboanalyst.c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metaboanalyst.ca" TargetMode="External"/><Relationship Id="rId10" Type="http://schemas.openxmlformats.org/officeDocument/2006/relationships/image" Target="media/image2.ti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B0AE7BD-315E-4FF2-B901-94F856F7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4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Sidra Amiri</cp:lastModifiedBy>
  <cp:revision>2</cp:revision>
  <cp:lastPrinted>2013-10-03T12:51:00Z</cp:lastPrinted>
  <dcterms:created xsi:type="dcterms:W3CDTF">2019-11-14T15:11:00Z</dcterms:created>
  <dcterms:modified xsi:type="dcterms:W3CDTF">2019-11-14T15:11:00Z</dcterms:modified>
</cp:coreProperties>
</file>