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1" w:rsidRPr="009012D2" w:rsidRDefault="00616221" w:rsidP="00616221">
      <w:pPr>
        <w:pStyle w:val="Caption"/>
        <w:keepNext/>
        <w:jc w:val="both"/>
        <w:rPr>
          <w:b w:val="0"/>
          <w:color w:val="auto"/>
          <w:sz w:val="22"/>
          <w:lang w:val="en-US"/>
        </w:rPr>
      </w:pPr>
      <w:r w:rsidRPr="009012D2">
        <w:rPr>
          <w:b w:val="0"/>
          <w:color w:val="auto"/>
          <w:sz w:val="22"/>
          <w:lang w:val="en-US"/>
        </w:rPr>
        <w:t xml:space="preserve">Table </w:t>
      </w:r>
      <w:r w:rsidRPr="009012D2">
        <w:rPr>
          <w:b w:val="0"/>
          <w:color w:val="auto"/>
          <w:sz w:val="22"/>
        </w:rPr>
        <w:fldChar w:fldCharType="begin"/>
      </w:r>
      <w:r w:rsidRPr="009012D2">
        <w:rPr>
          <w:b w:val="0"/>
          <w:color w:val="auto"/>
          <w:sz w:val="22"/>
          <w:lang w:val="en-US"/>
        </w:rPr>
        <w:instrText xml:space="preserve"> SEQ Table \* ARABIC </w:instrText>
      </w:r>
      <w:r w:rsidRPr="009012D2">
        <w:rPr>
          <w:b w:val="0"/>
          <w:color w:val="auto"/>
          <w:sz w:val="22"/>
        </w:rPr>
        <w:fldChar w:fldCharType="separate"/>
      </w:r>
      <w:r w:rsidR="00AE3BA2">
        <w:rPr>
          <w:b w:val="0"/>
          <w:noProof/>
          <w:color w:val="auto"/>
          <w:sz w:val="22"/>
          <w:lang w:val="en-US"/>
        </w:rPr>
        <w:t>2</w:t>
      </w:r>
      <w:r w:rsidRPr="009012D2">
        <w:rPr>
          <w:b w:val="0"/>
          <w:color w:val="auto"/>
          <w:sz w:val="22"/>
        </w:rPr>
        <w:fldChar w:fldCharType="end"/>
      </w:r>
      <w:r w:rsidRPr="009012D2">
        <w:rPr>
          <w:b w:val="0"/>
          <w:color w:val="auto"/>
          <w:sz w:val="22"/>
          <w:lang w:val="en-US"/>
        </w:rPr>
        <w:t xml:space="preserve"> Comparison of the log-reductions (log</w:t>
      </w:r>
      <w:r w:rsidRPr="009012D2">
        <w:rPr>
          <w:b w:val="0"/>
          <w:color w:val="auto"/>
          <w:sz w:val="22"/>
          <w:vertAlign w:val="subscript"/>
          <w:lang w:val="en-US"/>
        </w:rPr>
        <w:t>10</w:t>
      </w:r>
      <w:r w:rsidRPr="009012D2">
        <w:rPr>
          <w:b w:val="0"/>
          <w:color w:val="auto"/>
          <w:sz w:val="22"/>
          <w:lang w:val="en-US"/>
        </w:rPr>
        <w:t xml:space="preserve"> (CFU/cm²)) obtained following the individual CAP treatment, the simultaneous CAP + H</w:t>
      </w:r>
      <w:r w:rsidRPr="009012D2">
        <w:rPr>
          <w:b w:val="0"/>
          <w:color w:val="auto"/>
          <w:sz w:val="22"/>
          <w:vertAlign w:val="subscript"/>
          <w:lang w:val="en-US"/>
        </w:rPr>
        <w:t>2</w:t>
      </w:r>
      <w:r w:rsidRPr="009012D2">
        <w:rPr>
          <w:b w:val="0"/>
          <w:color w:val="auto"/>
          <w:sz w:val="22"/>
          <w:lang w:val="en-US"/>
        </w:rPr>
        <w:t>O</w:t>
      </w:r>
      <w:r w:rsidRPr="009012D2">
        <w:rPr>
          <w:b w:val="0"/>
          <w:color w:val="auto"/>
          <w:sz w:val="22"/>
          <w:vertAlign w:val="subscript"/>
          <w:lang w:val="en-US"/>
        </w:rPr>
        <w:t>2</w:t>
      </w:r>
      <w:r w:rsidRPr="009012D2">
        <w:rPr>
          <w:b w:val="0"/>
          <w:color w:val="auto"/>
          <w:sz w:val="22"/>
          <w:lang w:val="en-US"/>
        </w:rPr>
        <w:t xml:space="preserve"> (0.05% (v/v)) treatment, and the simultaneous CAP + H</w:t>
      </w:r>
      <w:r w:rsidRPr="008C2885">
        <w:rPr>
          <w:b w:val="0"/>
          <w:color w:val="auto"/>
          <w:sz w:val="22"/>
          <w:vertAlign w:val="subscript"/>
          <w:lang w:val="en-US"/>
        </w:rPr>
        <w:t>2</w:t>
      </w:r>
      <w:r w:rsidRPr="009012D2">
        <w:rPr>
          <w:b w:val="0"/>
          <w:color w:val="auto"/>
          <w:sz w:val="22"/>
          <w:lang w:val="en-US"/>
        </w:rPr>
        <w:t xml:space="preserve">O treatment. Results have been shown </w:t>
      </w:r>
      <w:r w:rsidR="00CF0CB6">
        <w:rPr>
          <w:b w:val="0"/>
          <w:color w:val="auto"/>
          <w:sz w:val="22"/>
          <w:lang w:val="en-US"/>
        </w:rPr>
        <w:t xml:space="preserve">for the 1 and 7 day(s) old </w:t>
      </w:r>
      <w:r w:rsidR="00CF0CB6" w:rsidRPr="00CF0CB6">
        <w:rPr>
          <w:b w:val="0"/>
          <w:i/>
          <w:color w:val="auto"/>
          <w:sz w:val="22"/>
          <w:lang w:val="en-US"/>
        </w:rPr>
        <w:t>L. monocytogenes</w:t>
      </w:r>
      <w:r w:rsidR="00CF0CB6">
        <w:rPr>
          <w:b w:val="0"/>
          <w:color w:val="auto"/>
          <w:sz w:val="22"/>
          <w:lang w:val="en-US"/>
        </w:rPr>
        <w:t xml:space="preserve"> model biofilms</w:t>
      </w:r>
      <w:r w:rsidRPr="009012D2">
        <w:rPr>
          <w:b w:val="0"/>
          <w:color w:val="auto"/>
          <w:sz w:val="22"/>
          <w:lang w:val="en-US"/>
        </w:rPr>
        <w:t>.</w:t>
      </w:r>
    </w:p>
    <w:tbl>
      <w:tblPr>
        <w:tblStyle w:val="TableGrid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93232C" w:rsidRPr="0093232C" w:rsidTr="009012D2">
        <w:trPr>
          <w:trHeight w:val="283"/>
        </w:trPr>
        <w:tc>
          <w:tcPr>
            <w:tcW w:w="4585" w:type="dxa"/>
            <w:tcBorders>
              <w:top w:val="single" w:sz="4" w:space="0" w:color="auto"/>
              <w:bottom w:val="double" w:sz="4" w:space="0" w:color="auto"/>
            </w:tcBorders>
          </w:tcPr>
          <w:p w:rsidR="0093232C" w:rsidRPr="004A269A" w:rsidRDefault="0093232C" w:rsidP="0093232C">
            <w:pPr>
              <w:jc w:val="center"/>
              <w:rPr>
                <w:b/>
              </w:rPr>
            </w:pPr>
            <w:r w:rsidRPr="004A269A">
              <w:rPr>
                <w:b/>
              </w:rPr>
              <w:t>Treatment conditions</w:t>
            </w:r>
          </w:p>
        </w:tc>
        <w:tc>
          <w:tcPr>
            <w:tcW w:w="4585" w:type="dxa"/>
            <w:tcBorders>
              <w:top w:val="single" w:sz="4" w:space="0" w:color="auto"/>
              <w:bottom w:val="double" w:sz="4" w:space="0" w:color="auto"/>
            </w:tcBorders>
          </w:tcPr>
          <w:p w:rsidR="00EA74BD" w:rsidRDefault="0093232C" w:rsidP="0093232C">
            <w:pPr>
              <w:jc w:val="center"/>
              <w:rPr>
                <w:b/>
                <w:lang w:val="en-US"/>
              </w:rPr>
            </w:pPr>
            <w:r w:rsidRPr="004A269A">
              <w:rPr>
                <w:b/>
                <w:lang w:val="en-US"/>
              </w:rPr>
              <w:t>Log-reductions (log</w:t>
            </w:r>
            <w:r w:rsidRPr="004A269A">
              <w:rPr>
                <w:b/>
                <w:vertAlign w:val="subscript"/>
                <w:lang w:val="en-US"/>
              </w:rPr>
              <w:t>10</w:t>
            </w:r>
            <w:r w:rsidR="00EA74BD">
              <w:rPr>
                <w:b/>
                <w:lang w:val="en-US"/>
              </w:rPr>
              <w:t xml:space="preserve"> (CFU/cm²))</w:t>
            </w:r>
          </w:p>
          <w:p w:rsidR="0093232C" w:rsidRPr="004A269A" w:rsidRDefault="0093232C" w:rsidP="0093232C">
            <w:pPr>
              <w:jc w:val="center"/>
              <w:rPr>
                <w:b/>
                <w:lang w:val="en-US"/>
              </w:rPr>
            </w:pPr>
            <w:r w:rsidRPr="004A269A">
              <w:rPr>
                <w:b/>
                <w:lang w:val="en-US"/>
              </w:rPr>
              <w:t>non-selective medium</w:t>
            </w:r>
          </w:p>
        </w:tc>
      </w:tr>
      <w:tr w:rsidR="00616221" w:rsidRPr="0093232C" w:rsidTr="009012D2">
        <w:trPr>
          <w:trHeight w:val="212"/>
        </w:trPr>
        <w:tc>
          <w:tcPr>
            <w:tcW w:w="917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16221" w:rsidRPr="004A269A" w:rsidRDefault="00616221" w:rsidP="00616221">
            <w:pPr>
              <w:jc w:val="center"/>
              <w:rPr>
                <w:lang w:val="en-US"/>
              </w:rPr>
            </w:pPr>
            <w:r w:rsidRPr="004A269A">
              <w:rPr>
                <w:i/>
                <w:lang w:val="en-US"/>
              </w:rPr>
              <w:t xml:space="preserve">Listeria monocytogenes – </w:t>
            </w:r>
            <w:r w:rsidRPr="004A269A">
              <w:rPr>
                <w:lang w:val="en-US"/>
              </w:rPr>
              <w:t>1 day old</w:t>
            </w:r>
          </w:p>
        </w:tc>
      </w:tr>
      <w:tr w:rsidR="0093232C" w:rsidRPr="0093232C" w:rsidTr="009012D2">
        <w:trPr>
          <w:trHeight w:val="200"/>
        </w:trPr>
        <w:tc>
          <w:tcPr>
            <w:tcW w:w="4585" w:type="dxa"/>
            <w:tcBorders>
              <w:top w:val="single" w:sz="4" w:space="0" w:color="auto"/>
            </w:tcBorders>
          </w:tcPr>
          <w:p w:rsidR="0093232C" w:rsidRPr="0093232C" w:rsidRDefault="0093232C" w:rsidP="0093232C">
            <w:pPr>
              <w:rPr>
                <w:lang w:val="en-US"/>
              </w:rPr>
            </w:pPr>
            <w:r>
              <w:rPr>
                <w:lang w:val="en-US"/>
              </w:rPr>
              <w:t>10’ CAP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93232C" w:rsidRPr="0093232C" w:rsidRDefault="0093232C" w:rsidP="00932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2.72±0.51</w:t>
            </w:r>
          </w:p>
        </w:tc>
      </w:tr>
      <w:tr w:rsidR="0093232C" w:rsidRPr="0093232C" w:rsidTr="009012D2">
        <w:trPr>
          <w:trHeight w:val="212"/>
        </w:trPr>
        <w:tc>
          <w:tcPr>
            <w:tcW w:w="4585" w:type="dxa"/>
          </w:tcPr>
          <w:p w:rsidR="0093232C" w:rsidRPr="0093232C" w:rsidRDefault="0093232C" w:rsidP="0093232C">
            <w:pPr>
              <w:rPr>
                <w:lang w:val="en-US"/>
              </w:rPr>
            </w:pPr>
            <w:r>
              <w:rPr>
                <w:lang w:val="en-US"/>
              </w:rPr>
              <w:t>10’ CAP + 10’ H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(0.05% (v/v)) </w:t>
            </w:r>
          </w:p>
        </w:tc>
        <w:tc>
          <w:tcPr>
            <w:tcW w:w="4585" w:type="dxa"/>
          </w:tcPr>
          <w:p w:rsidR="0093232C" w:rsidRPr="0093232C" w:rsidRDefault="00616221" w:rsidP="0061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1.25±0.50</w:t>
            </w:r>
          </w:p>
        </w:tc>
      </w:tr>
      <w:tr w:rsidR="0093232C" w:rsidRPr="0093232C" w:rsidTr="009012D2">
        <w:trPr>
          <w:trHeight w:val="200"/>
        </w:trPr>
        <w:tc>
          <w:tcPr>
            <w:tcW w:w="4585" w:type="dxa"/>
            <w:tcBorders>
              <w:bottom w:val="single" w:sz="4" w:space="0" w:color="auto"/>
            </w:tcBorders>
          </w:tcPr>
          <w:p w:rsidR="0093232C" w:rsidRPr="0093232C" w:rsidRDefault="0093232C">
            <w:pPr>
              <w:rPr>
                <w:lang w:val="en-US"/>
              </w:rPr>
            </w:pPr>
            <w:r>
              <w:rPr>
                <w:lang w:val="en-US"/>
              </w:rPr>
              <w:t>10’ CAP + 10’ H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(0.05% (v/v))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93232C" w:rsidRPr="0093232C" w:rsidRDefault="00616221" w:rsidP="0061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1.32±0.39</w:t>
            </w:r>
          </w:p>
        </w:tc>
      </w:tr>
      <w:tr w:rsidR="00616221" w:rsidRPr="0093232C" w:rsidTr="009012D2">
        <w:trPr>
          <w:trHeight w:val="212"/>
        </w:trPr>
        <w:tc>
          <w:tcPr>
            <w:tcW w:w="9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221" w:rsidRPr="004A269A" w:rsidRDefault="00616221" w:rsidP="00616221">
            <w:pPr>
              <w:jc w:val="center"/>
              <w:rPr>
                <w:lang w:val="en-US"/>
              </w:rPr>
            </w:pPr>
            <w:r w:rsidRPr="004A269A">
              <w:rPr>
                <w:i/>
                <w:lang w:val="en-US"/>
              </w:rPr>
              <w:t xml:space="preserve">Listeria monocytogenes – </w:t>
            </w:r>
            <w:r w:rsidRPr="004A269A">
              <w:rPr>
                <w:lang w:val="en-US"/>
              </w:rPr>
              <w:t>7 days old</w:t>
            </w:r>
          </w:p>
        </w:tc>
      </w:tr>
      <w:tr w:rsidR="00616221" w:rsidRPr="0093232C" w:rsidTr="009012D2">
        <w:trPr>
          <w:trHeight w:val="200"/>
        </w:trPr>
        <w:tc>
          <w:tcPr>
            <w:tcW w:w="4585" w:type="dxa"/>
            <w:tcBorders>
              <w:top w:val="single" w:sz="4" w:space="0" w:color="auto"/>
            </w:tcBorders>
          </w:tcPr>
          <w:p w:rsidR="00616221" w:rsidRPr="0093232C" w:rsidRDefault="00616221" w:rsidP="001F12F2">
            <w:pPr>
              <w:rPr>
                <w:lang w:val="en-US"/>
              </w:rPr>
            </w:pPr>
            <w:r>
              <w:rPr>
                <w:lang w:val="en-US"/>
              </w:rPr>
              <w:t>10’ CAP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616221" w:rsidRPr="0093232C" w:rsidRDefault="00616221" w:rsidP="0061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0.77±0.89</w:t>
            </w:r>
          </w:p>
        </w:tc>
      </w:tr>
      <w:tr w:rsidR="00616221" w:rsidRPr="0093232C" w:rsidTr="00B75E0A">
        <w:trPr>
          <w:trHeight w:val="212"/>
        </w:trPr>
        <w:tc>
          <w:tcPr>
            <w:tcW w:w="4585" w:type="dxa"/>
          </w:tcPr>
          <w:p w:rsidR="00616221" w:rsidRPr="0093232C" w:rsidRDefault="00616221" w:rsidP="001F12F2">
            <w:pPr>
              <w:rPr>
                <w:lang w:val="en-US"/>
              </w:rPr>
            </w:pPr>
            <w:r>
              <w:rPr>
                <w:lang w:val="en-US"/>
              </w:rPr>
              <w:t>10’ CAP + 10’ H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(0.05% (v/v)) </w:t>
            </w:r>
          </w:p>
        </w:tc>
        <w:tc>
          <w:tcPr>
            <w:tcW w:w="4585" w:type="dxa"/>
          </w:tcPr>
          <w:p w:rsidR="00616221" w:rsidRPr="0093232C" w:rsidRDefault="00616221" w:rsidP="0061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2.33±1.02</w:t>
            </w:r>
          </w:p>
        </w:tc>
      </w:tr>
      <w:tr w:rsidR="00616221" w:rsidRPr="0093232C" w:rsidTr="00B75E0A">
        <w:trPr>
          <w:trHeight w:val="200"/>
        </w:trPr>
        <w:tc>
          <w:tcPr>
            <w:tcW w:w="4585" w:type="dxa"/>
            <w:tcBorders>
              <w:bottom w:val="double" w:sz="4" w:space="0" w:color="auto"/>
            </w:tcBorders>
          </w:tcPr>
          <w:p w:rsidR="00616221" w:rsidRPr="0093232C" w:rsidRDefault="00616221" w:rsidP="001F12F2">
            <w:pPr>
              <w:rPr>
                <w:lang w:val="en-US"/>
              </w:rPr>
            </w:pPr>
            <w:r>
              <w:rPr>
                <w:lang w:val="en-US"/>
              </w:rPr>
              <w:t>10’ CAP + 10’ H</w:t>
            </w:r>
            <w:r w:rsidRPr="0093232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(0.05% (v/v))</w:t>
            </w:r>
          </w:p>
        </w:tc>
        <w:tc>
          <w:tcPr>
            <w:tcW w:w="4585" w:type="dxa"/>
            <w:tcBorders>
              <w:bottom w:val="double" w:sz="4" w:space="0" w:color="auto"/>
            </w:tcBorders>
          </w:tcPr>
          <w:p w:rsidR="00616221" w:rsidRPr="0093232C" w:rsidRDefault="00616221" w:rsidP="006162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1.08±0.82</w:t>
            </w:r>
          </w:p>
        </w:tc>
      </w:tr>
    </w:tbl>
    <w:p w:rsidR="0093232C" w:rsidRDefault="0093232C">
      <w:pPr>
        <w:rPr>
          <w:lang w:val="en-US"/>
        </w:rPr>
      </w:pPr>
      <w:bookmarkStart w:id="0" w:name="_GoBack"/>
      <w:bookmarkEnd w:id="0"/>
    </w:p>
    <w:sectPr w:rsidR="0093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C"/>
    <w:rsid w:val="00045F9C"/>
    <w:rsid w:val="000823EA"/>
    <w:rsid w:val="000C011E"/>
    <w:rsid w:val="001C231F"/>
    <w:rsid w:val="002703FA"/>
    <w:rsid w:val="0028639A"/>
    <w:rsid w:val="002A1907"/>
    <w:rsid w:val="00421507"/>
    <w:rsid w:val="004A269A"/>
    <w:rsid w:val="00564E64"/>
    <w:rsid w:val="006030F7"/>
    <w:rsid w:val="00616221"/>
    <w:rsid w:val="00640B9B"/>
    <w:rsid w:val="00857381"/>
    <w:rsid w:val="008C2885"/>
    <w:rsid w:val="008E34D5"/>
    <w:rsid w:val="009012D2"/>
    <w:rsid w:val="00901FE1"/>
    <w:rsid w:val="0093232C"/>
    <w:rsid w:val="00A21FCC"/>
    <w:rsid w:val="00A24322"/>
    <w:rsid w:val="00AE0B3E"/>
    <w:rsid w:val="00AE3BA2"/>
    <w:rsid w:val="00B75E0A"/>
    <w:rsid w:val="00CF0CB6"/>
    <w:rsid w:val="00DD5AE6"/>
    <w:rsid w:val="00E54345"/>
    <w:rsid w:val="00E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6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6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Govaert</dc:creator>
  <cp:lastModifiedBy>Marlies Govaert</cp:lastModifiedBy>
  <cp:revision>3</cp:revision>
  <cp:lastPrinted>2019-10-23T13:27:00Z</cp:lastPrinted>
  <dcterms:created xsi:type="dcterms:W3CDTF">2019-11-12T10:01:00Z</dcterms:created>
  <dcterms:modified xsi:type="dcterms:W3CDTF">2019-11-12T10:01:00Z</dcterms:modified>
</cp:coreProperties>
</file>