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8C9B" w14:textId="77777777" w:rsidR="003C2E05" w:rsidRPr="00856E4C" w:rsidRDefault="003C2E05" w:rsidP="003C2E05">
      <w:pPr>
        <w:rPr>
          <w:rFonts w:cs="Times New Roman"/>
          <w:szCs w:val="24"/>
        </w:rPr>
      </w:pPr>
      <w:bookmarkStart w:id="0" w:name="_GoBack"/>
      <w:bookmarkEnd w:id="0"/>
      <w:r w:rsidRPr="00856E4C">
        <w:rPr>
          <w:rFonts w:cs="Times New Roman"/>
          <w:b/>
          <w:szCs w:val="24"/>
        </w:rPr>
        <w:t>SUPPLEMENTARY FIGURES</w:t>
      </w:r>
    </w:p>
    <w:p w14:paraId="525FFF22" w14:textId="77777777" w:rsidR="003C2E05" w:rsidRPr="00856E4C" w:rsidRDefault="003C2E05" w:rsidP="003C2E05">
      <w:pPr>
        <w:rPr>
          <w:rFonts w:cs="Times New Roman"/>
          <w:szCs w:val="24"/>
        </w:rPr>
      </w:pPr>
      <w:r w:rsidRPr="00856E4C">
        <w:rPr>
          <w:rFonts w:cs="Times New Roman"/>
          <w:szCs w:val="24"/>
        </w:rPr>
        <w:t xml:space="preserve"> </w:t>
      </w:r>
      <w:r w:rsidR="00F2337A">
        <w:object w:dxaOrig="7199" w:dyaOrig="4861" w14:anchorId="4FAEE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91.25pt" o:ole="">
            <v:imagedata r:id="rId5" o:title=""/>
          </v:shape>
          <o:OLEObject Type="Embed" ProgID="Prism7.Document" ShapeID="_x0000_i1025" DrawAspect="Content" ObjectID="_1634464361" r:id="rId6"/>
        </w:object>
      </w:r>
    </w:p>
    <w:p w14:paraId="47CB999C" w14:textId="2A79CE24" w:rsidR="003C2E05" w:rsidRPr="00856E4C" w:rsidRDefault="003C2E05" w:rsidP="003C2E05">
      <w:pPr>
        <w:rPr>
          <w:rFonts w:cs="Times New Roman"/>
          <w:b/>
          <w:szCs w:val="24"/>
        </w:rPr>
      </w:pPr>
      <w:r w:rsidRPr="00856E4C">
        <w:rPr>
          <w:rFonts w:cs="Times New Roman"/>
          <w:b/>
          <w:szCs w:val="24"/>
        </w:rPr>
        <w:t xml:space="preserve">Figure S1: </w:t>
      </w:r>
      <w:r>
        <w:rPr>
          <w:rFonts w:cs="Times New Roman"/>
          <w:b/>
          <w:szCs w:val="24"/>
        </w:rPr>
        <w:t>miR</w:t>
      </w:r>
      <w:r w:rsidRPr="00856E4C">
        <w:rPr>
          <w:rFonts w:cs="Times New Roman"/>
          <w:b/>
          <w:szCs w:val="24"/>
        </w:rPr>
        <w:t>‐636 transfection concentration determination. Expression of miR‐636 after transfection of a mimic control or miR‐636 at concentrations of 10, 30, 60, or 100 </w:t>
      </w:r>
      <w:proofErr w:type="spellStart"/>
      <w:r w:rsidRPr="00856E4C">
        <w:rPr>
          <w:rFonts w:cs="Times New Roman"/>
          <w:b/>
          <w:szCs w:val="24"/>
        </w:rPr>
        <w:t>nM</w:t>
      </w:r>
      <w:proofErr w:type="spellEnd"/>
      <w:r w:rsidRPr="00856E4C">
        <w:rPr>
          <w:rFonts w:cs="Times New Roman"/>
          <w:b/>
          <w:szCs w:val="24"/>
        </w:rPr>
        <w:t> in CF cells (CFBE41o-) (</w:t>
      </w:r>
      <w:r w:rsidR="00EA55B5">
        <w:rPr>
          <w:rFonts w:cs="Times New Roman"/>
          <w:b/>
          <w:szCs w:val="24"/>
        </w:rPr>
        <w:t xml:space="preserve">A, </w:t>
      </w:r>
      <w:r w:rsidRPr="00856E4C">
        <w:rPr>
          <w:rFonts w:cs="Times New Roman"/>
          <w:b/>
          <w:szCs w:val="24"/>
        </w:rPr>
        <w:t>n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=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1). Expression of miR</w:t>
      </w:r>
      <w:r w:rsidRPr="00856E4C">
        <w:rPr>
          <w:rFonts w:cs="Times New Roman"/>
          <w:b/>
          <w:szCs w:val="24"/>
        </w:rPr>
        <w:noBreakHyphen/>
        <w:t>636 after transfection of a mimic control or miR-636 (</w:t>
      </w:r>
      <w:r w:rsidR="00EA55B5">
        <w:rPr>
          <w:rFonts w:cs="Times New Roman"/>
          <w:b/>
          <w:szCs w:val="24"/>
        </w:rPr>
        <w:t>B</w:t>
      </w:r>
      <w:r w:rsidRPr="00856E4C">
        <w:rPr>
          <w:rFonts w:cs="Times New Roman"/>
          <w:b/>
          <w:szCs w:val="24"/>
        </w:rPr>
        <w:t>, n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=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 xml:space="preserve">6, p &lt; 0.0001), or </w:t>
      </w:r>
      <w:proofErr w:type="spellStart"/>
      <w:r w:rsidRPr="00856E4C">
        <w:rPr>
          <w:rFonts w:cs="Times New Roman"/>
          <w:b/>
          <w:szCs w:val="24"/>
        </w:rPr>
        <w:t>antagomiR</w:t>
      </w:r>
      <w:proofErr w:type="spellEnd"/>
      <w:r w:rsidRPr="00856E4C">
        <w:rPr>
          <w:rFonts w:cs="Times New Roman"/>
          <w:b/>
          <w:szCs w:val="24"/>
        </w:rPr>
        <w:t xml:space="preserve"> control or antagomiR-636 (</w:t>
      </w:r>
      <w:r w:rsidR="00EA55B5">
        <w:rPr>
          <w:rFonts w:cs="Times New Roman"/>
          <w:b/>
          <w:szCs w:val="24"/>
        </w:rPr>
        <w:t>C</w:t>
      </w:r>
      <w:r w:rsidRPr="00856E4C">
        <w:rPr>
          <w:rFonts w:cs="Times New Roman"/>
          <w:b/>
          <w:szCs w:val="24"/>
        </w:rPr>
        <w:t>, n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=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 xml:space="preserve">6, p=0.0397) at 30 </w:t>
      </w:r>
      <w:proofErr w:type="spellStart"/>
      <w:r w:rsidRPr="00856E4C">
        <w:rPr>
          <w:rFonts w:cs="Times New Roman"/>
          <w:b/>
          <w:szCs w:val="24"/>
        </w:rPr>
        <w:t>nM</w:t>
      </w:r>
      <w:proofErr w:type="spellEnd"/>
      <w:r w:rsidRPr="00856E4C">
        <w:rPr>
          <w:rFonts w:cs="Times New Roman"/>
          <w:b/>
          <w:szCs w:val="24"/>
        </w:rPr>
        <w:t xml:space="preserve"> in CF cells (CFBE41o-) during 48 h. Student</w:t>
      </w:r>
      <w:r>
        <w:rPr>
          <w:rFonts w:cs="Times New Roman"/>
          <w:b/>
          <w:szCs w:val="24"/>
        </w:rPr>
        <w:t>’s</w:t>
      </w:r>
      <w:r w:rsidRPr="00856E4C">
        <w:rPr>
          <w:rFonts w:cs="Times New Roman"/>
          <w:b/>
          <w:szCs w:val="24"/>
        </w:rPr>
        <w:t xml:space="preserve"> t-test was used to determine significance.</w:t>
      </w:r>
    </w:p>
    <w:p w14:paraId="68D0E2D7" w14:textId="77777777" w:rsidR="003C2E05" w:rsidRPr="00856E4C" w:rsidRDefault="00E373E1" w:rsidP="003C2E05">
      <w:pPr>
        <w:rPr>
          <w:rFonts w:cs="Times New Roman"/>
          <w:szCs w:val="24"/>
        </w:rPr>
      </w:pPr>
      <w:r>
        <w:object w:dxaOrig="11830" w:dyaOrig="3917" w14:anchorId="0441757A">
          <v:shape id="_x0000_i1026" type="#_x0000_t75" style="width:453pt;height:150pt" o:ole="">
            <v:imagedata r:id="rId7" o:title=""/>
          </v:shape>
          <o:OLEObject Type="Embed" ProgID="Prism7.Document" ShapeID="_x0000_i1026" DrawAspect="Content" ObjectID="_1634464362" r:id="rId8"/>
        </w:object>
      </w:r>
    </w:p>
    <w:p w14:paraId="309B44E6" w14:textId="77777777" w:rsidR="006C2D7E" w:rsidRDefault="003C2E05">
      <w:r w:rsidRPr="00856E4C">
        <w:rPr>
          <w:rFonts w:cs="Times New Roman"/>
          <w:b/>
          <w:szCs w:val="24"/>
        </w:rPr>
        <w:t xml:space="preserve">Figure S2: Expression of </w:t>
      </w:r>
      <w:r w:rsidRPr="00647556">
        <w:rPr>
          <w:rFonts w:cs="Times New Roman"/>
          <w:b/>
          <w:i/>
          <w:szCs w:val="24"/>
        </w:rPr>
        <w:t>IL1R1</w:t>
      </w:r>
      <w:r w:rsidRPr="00856E4C">
        <w:rPr>
          <w:rFonts w:cs="Times New Roman"/>
          <w:b/>
          <w:szCs w:val="24"/>
        </w:rPr>
        <w:t xml:space="preserve"> and </w:t>
      </w:r>
      <w:r w:rsidRPr="00647556">
        <w:rPr>
          <w:rFonts w:cs="Times New Roman"/>
          <w:b/>
          <w:i/>
          <w:szCs w:val="24"/>
        </w:rPr>
        <w:t>RANK</w:t>
      </w:r>
      <w:r w:rsidRPr="00856E4C">
        <w:rPr>
          <w:rFonts w:cs="Times New Roman"/>
          <w:b/>
          <w:szCs w:val="24"/>
        </w:rPr>
        <w:t xml:space="preserve"> following siRNA transfection. Quantification of </w:t>
      </w:r>
      <w:r w:rsidRPr="00647556">
        <w:rPr>
          <w:rFonts w:cs="Times New Roman"/>
          <w:b/>
          <w:i/>
          <w:szCs w:val="24"/>
        </w:rPr>
        <w:t>IL1R1</w:t>
      </w:r>
      <w:r w:rsidRPr="00856E4C">
        <w:rPr>
          <w:rFonts w:cs="Times New Roman"/>
          <w:b/>
          <w:szCs w:val="24"/>
        </w:rPr>
        <w:t xml:space="preserve"> and </w:t>
      </w:r>
      <w:r w:rsidRPr="00647556">
        <w:rPr>
          <w:rFonts w:cs="Times New Roman"/>
          <w:b/>
          <w:i/>
          <w:szCs w:val="24"/>
        </w:rPr>
        <w:t>RANK</w:t>
      </w:r>
      <w:r w:rsidRPr="00856E4C">
        <w:rPr>
          <w:rFonts w:cs="Times New Roman"/>
          <w:b/>
          <w:szCs w:val="24"/>
        </w:rPr>
        <w:t xml:space="preserve"> expressions in CF cells (CFBE41o-) after a siRNA transfection </w:t>
      </w:r>
      <w:r>
        <w:rPr>
          <w:rFonts w:cs="Times New Roman"/>
          <w:b/>
          <w:szCs w:val="24"/>
        </w:rPr>
        <w:t xml:space="preserve">at different concentrations (ns: no stimulation, </w:t>
      </w:r>
      <w:proofErr w:type="spellStart"/>
      <w:r>
        <w:rPr>
          <w:rFonts w:cs="Times New Roman"/>
          <w:b/>
          <w:szCs w:val="24"/>
        </w:rPr>
        <w:t>ev</w:t>
      </w:r>
      <w:proofErr w:type="spellEnd"/>
      <w:r w:rsidRPr="00856E4C">
        <w:rPr>
          <w:rFonts w:cs="Times New Roman"/>
          <w:b/>
          <w:szCs w:val="24"/>
        </w:rPr>
        <w:t xml:space="preserve">: empty vector, 5, 10, 20, 100 </w:t>
      </w:r>
      <w:proofErr w:type="spellStart"/>
      <w:r w:rsidRPr="00856E4C">
        <w:rPr>
          <w:rFonts w:cs="Times New Roman"/>
          <w:b/>
          <w:szCs w:val="24"/>
        </w:rPr>
        <w:t>nM</w:t>
      </w:r>
      <w:proofErr w:type="spellEnd"/>
      <w:r w:rsidRPr="00856E4C">
        <w:rPr>
          <w:rFonts w:cs="Times New Roman"/>
          <w:b/>
          <w:szCs w:val="24"/>
        </w:rPr>
        <w:t xml:space="preserve"> siRNA) during 48 h (n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=</w:t>
      </w:r>
      <w:r>
        <w:rPr>
          <w:rFonts w:cs="Times New Roman"/>
          <w:b/>
          <w:szCs w:val="24"/>
        </w:rPr>
        <w:t xml:space="preserve"> </w:t>
      </w:r>
      <w:r w:rsidRPr="00856E4C">
        <w:rPr>
          <w:rFonts w:cs="Times New Roman"/>
          <w:b/>
          <w:szCs w:val="24"/>
        </w:rPr>
        <w:t>1).</w:t>
      </w:r>
    </w:p>
    <w:sectPr w:rsidR="006C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E2C"/>
    <w:multiLevelType w:val="hybridMultilevel"/>
    <w:tmpl w:val="D61EF390"/>
    <w:lvl w:ilvl="0" w:tplc="B06A5ACC">
      <w:start w:val="1"/>
      <w:numFmt w:val="decimal"/>
      <w:pStyle w:val="Heading2"/>
      <w:lvlText w:val="%1-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B7B7B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4C23A7"/>
    <w:multiLevelType w:val="multilevel"/>
    <w:tmpl w:val="06541E26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767B62"/>
    <w:multiLevelType w:val="hybridMultilevel"/>
    <w:tmpl w:val="B9D484A8"/>
    <w:lvl w:ilvl="0" w:tplc="8592CD9E">
      <w:start w:val="1"/>
      <w:numFmt w:val="upperRoman"/>
      <w:pStyle w:val="Heading3"/>
      <w:lvlText w:val="%1."/>
      <w:lvlJc w:val="righ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2D2A"/>
    <w:multiLevelType w:val="hybridMultilevel"/>
    <w:tmpl w:val="7F08C3BC"/>
    <w:lvl w:ilvl="0" w:tplc="CD9E9B8A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05"/>
    <w:rsid w:val="000950FC"/>
    <w:rsid w:val="00142288"/>
    <w:rsid w:val="003C2E05"/>
    <w:rsid w:val="005A1795"/>
    <w:rsid w:val="00647556"/>
    <w:rsid w:val="006930F0"/>
    <w:rsid w:val="006C2D7E"/>
    <w:rsid w:val="00745F8F"/>
    <w:rsid w:val="007C5AF0"/>
    <w:rsid w:val="00953817"/>
    <w:rsid w:val="00BD2BC1"/>
    <w:rsid w:val="00D60CFC"/>
    <w:rsid w:val="00E373E1"/>
    <w:rsid w:val="00EA55B5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9B326"/>
  <w15:chartTrackingRefBased/>
  <w15:docId w15:val="{8E513E04-5DD4-40AE-A8F4-C2C204D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05"/>
    <w:pPr>
      <w:spacing w:before="120" w:after="24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50FC"/>
    <w:pPr>
      <w:keepNext/>
      <w:keepLines/>
      <w:suppressAutoHyphens/>
      <w:spacing w:before="0" w:after="0" w:line="360" w:lineRule="auto"/>
      <w:ind w:firstLine="709"/>
      <w:jc w:val="center"/>
      <w:outlineLvl w:val="0"/>
    </w:pPr>
    <w:rPr>
      <w:rFonts w:eastAsiaTheme="majorEastAsia" w:cstheme="majorBidi"/>
      <w:b/>
      <w:color w:val="7030A0"/>
      <w:sz w:val="52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2D7E"/>
    <w:pPr>
      <w:keepNext/>
      <w:keepLines/>
      <w:numPr>
        <w:numId w:val="1"/>
      </w:numPr>
      <w:suppressAutoHyphens/>
      <w:spacing w:after="120" w:line="360" w:lineRule="auto"/>
      <w:ind w:left="453" w:hanging="113"/>
      <w:jc w:val="both"/>
      <w:outlineLvl w:val="1"/>
    </w:pPr>
    <w:rPr>
      <w:rFonts w:eastAsiaTheme="majorEastAsia" w:cstheme="majorBidi"/>
      <w:b/>
      <w:bCs/>
      <w:color w:val="7030A0"/>
      <w:sz w:val="28"/>
      <w:szCs w:val="26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2D7E"/>
    <w:pPr>
      <w:keepNext/>
      <w:keepLines/>
      <w:numPr>
        <w:numId w:val="2"/>
      </w:numPr>
      <w:suppressAutoHyphens/>
      <w:spacing w:after="120" w:line="360" w:lineRule="auto"/>
      <w:ind w:left="964" w:hanging="113"/>
      <w:jc w:val="both"/>
      <w:outlineLvl w:val="2"/>
    </w:pPr>
    <w:rPr>
      <w:rFonts w:eastAsiaTheme="majorEastAsia" w:cstheme="majorBidi"/>
      <w:bCs/>
      <w:color w:val="7B7B7B" w:themeColor="accent3" w:themeShade="B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D7E"/>
    <w:rPr>
      <w:rFonts w:ascii="Times New Roman" w:eastAsiaTheme="majorEastAsia" w:hAnsi="Times New Roman" w:cstheme="majorBidi"/>
      <w:bCs/>
      <w:color w:val="7B7B7B" w:themeColor="accent3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2D7E"/>
    <w:rPr>
      <w:rFonts w:ascii="Times New Roman" w:eastAsiaTheme="majorEastAsia" w:hAnsi="Times New Roman" w:cstheme="majorBidi"/>
      <w:b/>
      <w:bCs/>
      <w:color w:val="7030A0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2D7E"/>
    <w:pPr>
      <w:keepNext/>
      <w:keepLines/>
      <w:numPr>
        <w:numId w:val="4"/>
      </w:numPr>
      <w:suppressAutoHyphens/>
      <w:spacing w:after="120" w:line="360" w:lineRule="auto"/>
      <w:ind w:left="1134" w:hanging="113"/>
      <w:contextualSpacing/>
      <w:jc w:val="both"/>
    </w:pPr>
    <w:rPr>
      <w:rFonts w:eastAsiaTheme="majorEastAsia" w:cstheme="majorBidi"/>
      <w:color w:val="FFC000" w:themeColor="accent4"/>
      <w:spacing w:val="-10"/>
      <w:kern w:val="28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6C2D7E"/>
    <w:rPr>
      <w:rFonts w:ascii="Times New Roman" w:eastAsiaTheme="majorEastAsia" w:hAnsi="Times New Roman" w:cstheme="majorBidi"/>
      <w:color w:val="FFC000" w:themeColor="accent4"/>
      <w:spacing w:val="-10"/>
      <w:kern w:val="28"/>
      <w:sz w:val="24"/>
      <w:szCs w:val="56"/>
    </w:rPr>
  </w:style>
  <w:style w:type="character" w:styleId="SubtleEmphasis">
    <w:name w:val="Subtle Emphasis"/>
    <w:basedOn w:val="DefaultParagraphFont"/>
    <w:uiPriority w:val="19"/>
    <w:qFormat/>
    <w:rsid w:val="006C2D7E"/>
    <w:rPr>
      <w:rFonts w:ascii="Times New Roman" w:hAnsi="Times New Roman"/>
      <w:i/>
      <w:iCs/>
      <w:color w:val="404040" w:themeColor="text1" w:themeTint="BF"/>
      <w:sz w:val="24"/>
      <w:u w:val="single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950FC"/>
    <w:rPr>
      <w:rFonts w:ascii="Times New Roman" w:eastAsiaTheme="majorEastAsia" w:hAnsi="Times New Roman" w:cstheme="majorBidi"/>
      <w:b/>
      <w:color w:val="7030A0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Folakemi Adenugba</cp:lastModifiedBy>
  <cp:revision>2</cp:revision>
  <dcterms:created xsi:type="dcterms:W3CDTF">2019-11-05T12:06:00Z</dcterms:created>
  <dcterms:modified xsi:type="dcterms:W3CDTF">2019-11-05T12:06:00Z</dcterms:modified>
</cp:coreProperties>
</file>