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Supplementary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bookmarkStart w:id="0" w:name="OLE_LINK3"/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1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</w:t>
      </w:r>
      <w:r>
        <w:rPr>
          <w:rFonts w:hint="eastAsia" w:ascii="Times New Roman" w:hAnsi="Times New Roman"/>
          <w:b/>
          <w:bCs/>
          <w:color w:val="auto"/>
          <w:sz w:val="24"/>
        </w:rPr>
        <w:t>Myocardial Fibrosis and Id2 in rat hearts post-MI</w:t>
      </w:r>
    </w:p>
    <w:tbl>
      <w:tblPr>
        <w:tblStyle w:val="2"/>
        <w:tblW w:w="8557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33"/>
        <w:gridCol w:w="1750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Sham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Remote zone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Border zone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Infarct zone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Fibrotic Area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0.0590358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0.1590358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0.3867705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0.5308674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0.0678842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0.1478842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0.4175768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0.7855463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0.0773232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0.1573232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0.3813947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0.4956263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0.0483958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0.1983958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0.3536684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0.496141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0.0666916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0.1766916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0.3844948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0.4937695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0.0805568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0.1805568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0.4014505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0.483100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067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170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18*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388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21*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548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±0.01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bookmarkStart w:id="1" w:name="OLE_LINK2"/>
            <w:r>
              <w:rPr>
                <w:rFonts w:hint="eastAsia" w:ascii="Arial" w:hAnsi="Arial" w:cs="Arial"/>
                <w:b/>
                <w:bCs/>
                <w:color w:val="auto"/>
                <w:lang w:val="en-US" w:eastAsia="zh-CN"/>
              </w:rPr>
              <w:t xml:space="preserve">Area of </w:t>
            </w:r>
            <w:r>
              <w:rPr>
                <w:rFonts w:hint="default" w:ascii="Arial" w:hAnsi="Arial" w:cs="Arial"/>
                <w:b/>
                <w:bCs/>
                <w:color w:val="auto"/>
                <w:lang w:val="en-US" w:eastAsia="zh-CN"/>
              </w:rPr>
              <w:t>Ɑ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-SMA</w:t>
            </w:r>
            <w:bookmarkEnd w:id="1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0.005647981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0.02046276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0.03603426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0.1001543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0.006365354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0.02153349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0.03856352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0.0956492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0.0072344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0.01424006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0.05269454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0.09287398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0.01931496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0.01347596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0.05707256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0.1520118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0.01755391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0.0162692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0.06594995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0.1817143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0.02277803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0.01067287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0.05208456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0.1374692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0.01286598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0.01363825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0.04129609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0.1770362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0.01544279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0.009980823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0.0635158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0.1914335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0.02648131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0.01170446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0.04151171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0.2058309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050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148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43*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bookmarkStart w:id="2" w:name="OLE_LINK4" w:colFirst="0" w:colLast="4"/>
            <w:r>
              <w:rPr>
                <w:rFonts w:hint="eastAsia" w:ascii="Arial" w:hAnsi="Arial" w:cs="Arial"/>
                <w:b/>
                <w:bCs/>
                <w:color w:val="auto"/>
                <w:lang w:val="en-US" w:eastAsia="zh-CN"/>
              </w:rPr>
              <w:t>Area of  Id2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0.003427398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0.01784766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0.05544758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0.1371145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0.004132559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0.008963541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0.03009549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0.006384213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0.001627136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0.04509107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0.1648693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0.002505218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0.008601773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0.01472752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0.09510458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0.003037866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0.007396835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0.06447094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0.07437932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0.003465984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0.002026877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0.04509107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0.1582753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0.004288331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0.001677767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0.0338573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0.216422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0.000845008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0.01321962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0.0350357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0.06053172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0.00113675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0.001987102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0.02766642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0.1486861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003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007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039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05*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139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16*</w:t>
            </w:r>
          </w:p>
        </w:tc>
      </w:tr>
      <w:bookmarkEnd w:id="2"/>
    </w:tbl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;  </w:t>
      </w:r>
      <w:r>
        <w:rPr>
          <w:rFonts w:ascii="Times New Roman" w:hAnsi="Times New Roman"/>
          <w:color w:val="auto"/>
          <w:sz w:val="18"/>
          <w:szCs w:val="18"/>
        </w:rPr>
        <w:t>*,P &lt; 0.05, vs sham group .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>
      <w:pPr>
        <w:spacing w:line="480" w:lineRule="auto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2</w:t>
      </w:r>
      <w:r>
        <w:rPr>
          <w:rFonts w:ascii="Times New Roman" w:hAnsi="Times New Roman"/>
          <w:b/>
          <w:bCs/>
          <w:color w:val="auto"/>
          <w:sz w:val="24"/>
        </w:rPr>
        <w:t>. Comparison of heart weight and cardiac function in each group</w:t>
      </w:r>
    </w:p>
    <w:tbl>
      <w:tblPr>
        <w:tblStyle w:val="2"/>
        <w:tblW w:w="8609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400"/>
        <w:gridCol w:w="1725"/>
        <w:gridCol w:w="1691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bookmarkStart w:id="3" w:name="OLE_LINK1" w:colFirst="0" w:colLast="4"/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Sham(n=7)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MI(n=7)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GFP(n=7)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Id2(n=7)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BW(kg)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0.234±0.011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0.229±0.020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0.228±0.016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0.231±0.010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HW(g)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0.670±0.032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0.998±0.113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0.997±0.112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0.767±0.031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LW(g)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1.330±0.043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1.351±0.068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1.496±0.103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1.279±0.059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HW/BW(g/kg)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2.870±0.082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4.288±0.260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4.315±0.243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3.333±0.063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HW/LW(g/g)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0.511±0.042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0.726±0.066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0.685±0.091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0.610±0.046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LVEF(%)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85.831±1.867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56.933±3.833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48.581±3.397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78.416±0.472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FS(%)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50.073±2.276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26.396±2.206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21.463±1.855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41.620±0.441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LVEDS(mm)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1.557±0.143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4.875±0.512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*c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5.968±0.336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3.214±0.135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LVEDD(mm)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4.686±0.145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6.843±0.387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7.571±0.308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5.486±0.231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LVESV(ml)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0.054±0.019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0.356±0.068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0.567±0.075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0.086±0.010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LVEDV(ml)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0.257±0.029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0.783±0.102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1.057±0.097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0.404±0.051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HR(bp/min)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417±28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395±37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410±42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393±13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Systolic BP(mmHg)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113.1±3.4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96.58±5.1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99.72±4.1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112.4±4.4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Diastolic BP(mmHg)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74.29±5.1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73.18±3.8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71.07±5.7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74.26±4.2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Mean BP(mmHg)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87.21±3.2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80.98±2.0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80.62±4.3</w:t>
            </w:r>
            <w:r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  <w:vertAlign w:val="superscript"/>
              </w:rPr>
            </w:pPr>
            <w:r>
              <w:rPr>
                <w:rFonts w:ascii="Times New Roman" w:hAnsi="Times New Roman"/>
                <w:color w:val="auto"/>
              </w:rPr>
              <w:t>86.98±3.6</w:t>
            </w:r>
            <w:r>
              <w:rPr>
                <w:rFonts w:ascii="Times New Roman" w:hAnsi="Times New Roman"/>
                <w:color w:val="auto"/>
                <w:vertAlign w:val="superscript"/>
              </w:rPr>
              <w:t>#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cs="Times New Roman"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</wp:posOffset>
                </wp:positionV>
                <wp:extent cx="5029200" cy="28575"/>
                <wp:effectExtent l="0" t="4445" r="0" b="50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6.05pt;margin-top:0.1pt;height:2.25pt;width:396pt;z-index:251658240;mso-width-relative:page;mso-height-relative:page;" filled="f" stroked="t" coordsize="21600,21600" o:gfxdata="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vaTz7V&#10;AAAABgEAAA8AAAAAAAAAAQAgAAAAIgAAAGRycy9kb3ducmV2LnhtbFBLAQIUABQAAAAIAIdO4kBx&#10;8YFw6gEAAKw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</w:rPr>
        <w:t>BW body weight, HW heart weight, LW, Lung weight, FS fractional shortening, LVEF left ventricular ejection fraction, LVESD left ventricular end-systolic diameter, LVEDD left ventricular end-diastolic diameter, LVESV left ventricular end-systolic volume, LVEDV  left ventricular end-diastolic volume, HR heart rate, BP blood pressure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Heart weight index and Hemodynamics monitoring(n=10), Transthoracic echocardiography measurements(n=7) *,P &lt; 0.05, vs sham group  # ,P &lt; 0.05, vs MI group and GFP group.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>
      <w:pPr>
        <w:spacing w:line="360" w:lineRule="auto"/>
        <w:rPr>
          <w:rFonts w:hint="default" w:ascii="Times New Roman" w:hAnsi="Times New Roman" w:eastAsia="宋体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3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Myocardial Fibrosis and Id2 in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four groups</w:t>
      </w:r>
    </w:p>
    <w:tbl>
      <w:tblPr>
        <w:tblStyle w:val="2"/>
        <w:tblW w:w="8557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33"/>
        <w:gridCol w:w="1750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Sham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MI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GFP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Fibrotic Area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0.1062685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0.590358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0.5308674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0.3247063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0.0822195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0.678842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0.5855463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0.0658949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0.473232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0.4956263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0.3711994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0.1026092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0.483958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0.516141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0.3654978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0.1090118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0.666916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0.6337695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0.2778659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0.1118919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0.705568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0.623100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0.2973644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095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±0.01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595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566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5*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336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37*#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lang w:val="en-US" w:eastAsia="zh-CN"/>
              </w:rPr>
              <w:t>Area of  Id2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0.009531303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0.1301543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0.08437932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0.04237475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0.006545454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0.206422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0.1486861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0.1026945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0.0092544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0.09287398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0.1438693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0.08269454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0.01452847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0.1520118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0.130161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0.05707256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0.01755391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0.1692489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0.2220053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0.08494995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0.02277803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0.1374692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0.134653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0.05308456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0.01286598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0.1737036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0.208472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0.04129609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0.01544279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0.1814335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0.1371145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0.0678158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0.02648131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0.1758309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0.1005317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0.04231171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158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03*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145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4*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0638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22*#</w:t>
            </w: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;  </w:t>
      </w:r>
      <w:r>
        <w:rPr>
          <w:rFonts w:ascii="Times New Roman" w:hAnsi="Times New Roman"/>
          <w:color w:val="auto"/>
          <w:sz w:val="18"/>
          <w:szCs w:val="18"/>
        </w:rPr>
        <w:t>*,P &lt; 0.05, vs sham group  # ,P &lt; 0.05, vs MI group and GFP group.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>
      <w:pPr>
        <w:spacing w:line="360" w:lineRule="auto"/>
        <w:rPr>
          <w:rFonts w:hint="default" w:ascii="Times New Roman" w:hAnsi="Times New Roman" w:eastAsia="宋体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4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mRNA of </w:t>
      </w:r>
      <w:r>
        <w:rPr>
          <w:rFonts w:hint="default" w:ascii="Arial" w:hAnsi="Arial" w:cs="Arial"/>
          <w:b/>
          <w:bCs/>
          <w:color w:val="auto"/>
          <w:sz w:val="24"/>
          <w:lang w:val="en-US" w:eastAsia="zh-CN"/>
        </w:rPr>
        <w:t>ɑ</w:t>
      </w:r>
      <w:r>
        <w:rPr>
          <w:rFonts w:hint="eastAsia" w:ascii="Arial" w:hAnsi="Arial" w:cs="Arial"/>
          <w:b/>
          <w:bCs/>
          <w:color w:val="auto"/>
          <w:sz w:val="24"/>
          <w:lang w:val="en-US" w:eastAsia="zh-CN"/>
        </w:rPr>
        <w:t>-SMA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in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four groups.</w:t>
      </w:r>
    </w:p>
    <w:tbl>
      <w:tblPr>
        <w:tblStyle w:val="2"/>
        <w:tblW w:w="8817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533"/>
        <w:gridCol w:w="1750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bookmarkStart w:id="4" w:name="OLE_LINK9" w:colFirst="1" w:colLast="4"/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Sham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1+GFP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1+Id2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mRNA of 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</w:rPr>
              <w:t>ɑ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-SMA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1.720000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1.470000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1.580000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1.780000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1.490000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1.640000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1.750000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1.730000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1.850000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1.510000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mRNA of 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</w:rPr>
              <w:t>ɑ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-SMA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Sham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Hypoxia+GFP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1.470000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1.500000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1.490000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1.780000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1.380000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1.610000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1.750000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1.630000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1.850000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1.450000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1.270000</w:t>
            </w:r>
          </w:p>
        </w:tc>
      </w:tr>
    </w:tbl>
    <w:p>
      <w:pPr>
        <w:spacing w:line="360" w:lineRule="auto"/>
      </w:pPr>
      <w:r>
        <w:drawing>
          <wp:inline distT="0" distB="0" distL="114300" distR="114300">
            <wp:extent cx="5269865" cy="991235"/>
            <wp:effectExtent l="0" t="0" r="698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67960" cy="1014730"/>
            <wp:effectExtent l="0" t="0" r="889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bookmarkStart w:id="9" w:name="_GoBack"/>
      <w:bookmarkEnd w:id="9"/>
    </w:p>
    <w:p>
      <w:pPr>
        <w:spacing w:line="360" w:lineRule="auto"/>
        <w:rPr>
          <w:rFonts w:hint="default" w:ascii="Times New Roman" w:hAnsi="Times New Roman" w:eastAsia="宋体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5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</w:t>
      </w:r>
      <w:bookmarkStart w:id="5" w:name="OLE_LINK5"/>
      <w:r>
        <w:rPr>
          <w:rFonts w:hint="default" w:ascii="Arial" w:hAnsi="Arial" w:cs="Arial"/>
          <w:b/>
          <w:bCs/>
          <w:color w:val="auto"/>
          <w:sz w:val="24"/>
        </w:rPr>
        <w:t>ɑ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-SMA</w:t>
      </w:r>
      <w:bookmarkEnd w:id="5"/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expression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of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four groups in vitro.</w:t>
      </w:r>
    </w:p>
    <w:tbl>
      <w:tblPr>
        <w:tblStyle w:val="2"/>
        <w:tblW w:w="8557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33"/>
        <w:gridCol w:w="1750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bookmarkStart w:id="6" w:name="OLE_LINK8" w:colFirst="0" w:colLast="4"/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Sham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1+GFP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TGF-</w:t>
            </w:r>
            <w:r>
              <w:rPr>
                <w:rStyle w:val="4"/>
                <w:rFonts w:eastAsia="宋体"/>
                <w:lang w:val="en-US" w:eastAsia="zh-CN" w:bidi="ar"/>
              </w:rPr>
              <w:t>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1+Id2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Area of 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</w:rPr>
              <w:t>ɑ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-SMA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0.1113534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0.2873959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0.2435587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0.1731829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0.1136281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0.2524683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0.476857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0.1692665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0.09220278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0.4381062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0.2471758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0.1791674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0.08837676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0.3639836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0.3381751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0.1909423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0.05749638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0.3244106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0.238316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0.1768991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092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333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7*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309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10*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178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08*#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Area of 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</w:rPr>
              <w:t>ɑ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lang w:val="en-US" w:eastAsia="zh-CN"/>
              </w:rPr>
              <w:t>-SMA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Sham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Hypoxia+GFP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Hypoxia+Id2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0.1099073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0.2179541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0.2839296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0.1717389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0.1001505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0.3571136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0.3318634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0.1596549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0.09232152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0.296460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0.3381062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0.1617452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0.087321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0.3142203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0.3639836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0.1822806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0.07637676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0.3212615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0.3244106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0.1692665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093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301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52*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329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29*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169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08*#</w:t>
            </w: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;  </w:t>
      </w:r>
      <w:r>
        <w:rPr>
          <w:rFonts w:ascii="Times New Roman" w:hAnsi="Times New Roman"/>
          <w:color w:val="auto"/>
          <w:sz w:val="18"/>
          <w:szCs w:val="18"/>
        </w:rPr>
        <w:t xml:space="preserve">*,P &lt; 0.05, vs sham group  # ,P &lt; 0.05, vs 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TGF-</w:t>
      </w:r>
      <w:r>
        <w:rPr>
          <w:rFonts w:hint="default" w:ascii="Arial" w:hAnsi="Arial" w:cs="Arial"/>
          <w:color w:val="auto"/>
          <w:sz w:val="18"/>
          <w:szCs w:val="18"/>
          <w:lang w:val="en-US" w:eastAsia="zh-CN"/>
        </w:rPr>
        <w:t>β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1</w:t>
      </w:r>
      <w:r>
        <w:rPr>
          <w:rFonts w:ascii="Times New Roman" w:hAnsi="Times New Roman"/>
          <w:color w:val="auto"/>
          <w:sz w:val="18"/>
          <w:szCs w:val="18"/>
        </w:rPr>
        <w:t xml:space="preserve"> group 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, Hypoxia group </w:t>
      </w:r>
      <w:r>
        <w:rPr>
          <w:rFonts w:ascii="Times New Roman" w:hAnsi="Times New Roman"/>
          <w:color w:val="auto"/>
          <w:sz w:val="18"/>
          <w:szCs w:val="18"/>
        </w:rPr>
        <w:t>and GFP group.</w:t>
      </w:r>
    </w:p>
    <w:p>
      <w:pPr>
        <w:spacing w:line="360" w:lineRule="auto"/>
        <w:rPr>
          <w:rFonts w:hint="default" w:ascii="Times New Roman" w:hAnsi="Times New Roman" w:eastAsia="宋体"/>
          <w:color w:val="auto"/>
          <w:sz w:val="18"/>
          <w:szCs w:val="18"/>
          <w:lang w:val="en-US" w:eastAsia="zh-CN"/>
        </w:rPr>
      </w:pPr>
      <w:bookmarkStart w:id="7" w:name="OLE_LINK7"/>
      <w:bookmarkStart w:id="8" w:name="OLE_LINK6"/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6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</w:t>
      </w:r>
      <w:r>
        <w:rPr>
          <w:rFonts w:hint="eastAsia" w:ascii="Arial" w:hAnsi="Arial" w:cs="Arial"/>
          <w:b/>
          <w:bCs/>
          <w:color w:val="auto"/>
          <w:sz w:val="24"/>
          <w:lang w:val="en-US" w:eastAsia="zh-CN"/>
        </w:rPr>
        <w:t>apoptosis cell rate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of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four groups.</w:t>
      </w:r>
    </w:p>
    <w:tbl>
      <w:tblPr>
        <w:tblStyle w:val="2"/>
        <w:tblW w:w="8817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533"/>
        <w:gridCol w:w="1750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Sham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GFP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Apoptosis cell rate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0.0482863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0.1951259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0.2852614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0.1479443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0.0985947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0.2154973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0.3897229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0.1497147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0.03243961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0.2273904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0.3991922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0.1685549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0.0680545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0.2089016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0.4337959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0.1558408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0.0450584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0.4245749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0.3122304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0.2122829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0.0565333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0.3825447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0.3147551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0.106990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0.3763869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0.2958402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0.1641555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0.0995398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0.4237351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0.2287347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0.2040978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0.0802214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0.2805471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0.2802706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0.2108941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0.0964049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0.3406731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0.2760539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0.1665363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0.0551621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0.3317604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0.2738918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0.1456006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072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310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9*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317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06*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173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25*#</w:t>
            </w:r>
          </w:p>
        </w:tc>
      </w:tr>
      <w:bookmarkEnd w:id="7"/>
    </w:tbl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;  </w:t>
      </w:r>
      <w:r>
        <w:rPr>
          <w:rFonts w:ascii="Times New Roman" w:hAnsi="Times New Roman"/>
          <w:color w:val="auto"/>
          <w:sz w:val="18"/>
          <w:szCs w:val="18"/>
        </w:rPr>
        <w:t>*,P &lt; 0.05, vs sham group  # ,P &lt; 0.05, vs MI group and GFP group.</w:t>
      </w:r>
    </w:p>
    <w:bookmarkEnd w:id="8"/>
    <w:p>
      <w:pPr>
        <w:spacing w:line="360" w:lineRule="auto"/>
        <w:rPr>
          <w:rFonts w:hint="default" w:ascii="Times New Roman" w:hAnsi="Times New Roman" w:eastAsia="宋体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 7</w:t>
      </w:r>
      <w:r>
        <w:rPr>
          <w:rFonts w:ascii="Times New Roman" w:hAnsi="Times New Roman"/>
          <w:b/>
          <w:bCs/>
          <w:color w:val="auto"/>
          <w:sz w:val="24"/>
        </w:rPr>
        <w:t xml:space="preserve">. Comparison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 xml:space="preserve">of </w:t>
      </w:r>
      <w:r>
        <w:rPr>
          <w:rFonts w:hint="eastAsia" w:ascii="Arial" w:hAnsi="Arial" w:cs="Arial"/>
          <w:b/>
          <w:bCs/>
          <w:color w:val="auto"/>
          <w:sz w:val="24"/>
          <w:lang w:val="en-US" w:eastAsia="zh-CN"/>
        </w:rPr>
        <w:t>HIF-1</w:t>
      </w:r>
      <w:r>
        <w:rPr>
          <w:rFonts w:hint="default" w:ascii="Arial" w:hAnsi="Arial" w:cs="Arial"/>
          <w:b/>
          <w:bCs/>
          <w:color w:val="auto"/>
          <w:sz w:val="24"/>
          <w:lang w:val="en-US" w:eastAsia="zh-CN"/>
        </w:rPr>
        <w:t>ɑ</w:t>
      </w:r>
      <w:r>
        <w:rPr>
          <w:rFonts w:hint="eastAsia" w:ascii="Arial" w:hAnsi="Arial" w:cs="Arial"/>
          <w:b/>
          <w:bCs/>
          <w:color w:val="auto"/>
          <w:sz w:val="24"/>
          <w:lang w:val="en-US" w:eastAsia="zh-CN"/>
        </w:rPr>
        <w:t xml:space="preserve"> expression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of</w:t>
      </w:r>
      <w:r>
        <w:rPr>
          <w:rFonts w:hint="eastAsia" w:ascii="Times New Roman" w:hAnsi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four groups in six groups.</w:t>
      </w:r>
    </w:p>
    <w:tbl>
      <w:tblPr>
        <w:tblStyle w:val="2"/>
        <w:tblW w:w="10017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383"/>
        <w:gridCol w:w="1450"/>
        <w:gridCol w:w="1533"/>
        <w:gridCol w:w="1400"/>
        <w:gridCol w:w="1534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Control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Id2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Oltipraz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Hypoxia+Oltipraz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Hypoxia+Id2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Area of HIF-1</w:t>
            </w:r>
            <w:r>
              <w:rPr>
                <w:rFonts w:hint="default" w:ascii="Arial" w:hAnsi="Arial" w:cs="Arial"/>
                <w:b/>
                <w:bCs/>
                <w:color w:val="auto"/>
                <w:lang w:val="en-US" w:eastAsia="zh-CN"/>
              </w:rPr>
              <w:t>ɑ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0.01131145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0.008771054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0.08597127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0.007274032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0.02597276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0.02376675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0.01103264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0.003449051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0.06504977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0.006522383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0.02488422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0.01635409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0.01050677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0.006529914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0.09797883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0.007973808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0.02384264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0.03513443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0.01342739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0.005456099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0.07233699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0.007210064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0.01502437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0.01527038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0.01094035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0.005288113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0.04141325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0.00793059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0.02119414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0.0360208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0.01144458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0.00646736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0.04668035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0.00310009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0.04531401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0.04302162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0.01441723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0.00635637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0.04467854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0.00498155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0.0283382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0.02044264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0.01241989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0.0084826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0.07840227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0.00347309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0.02689724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0.03436751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Mean </w:t>
            </w:r>
            <w:r>
              <w:rPr>
                <w:rFonts w:ascii="Times New Roman" w:hAnsi="Times New Roman"/>
                <w:b/>
                <w:bCs/>
                <w:color w:val="auto"/>
              </w:rPr>
              <w:t>±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SEM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0119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01*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0666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021*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02*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026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08*#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0.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00628</w:t>
            </w:r>
            <w:r>
              <w:rPr>
                <w:rFonts w:ascii="Times New Roman" w:hAnsi="Times New Roman"/>
                <w:b/>
                <w:bCs/>
                <w:color w:val="auto"/>
              </w:rPr>
              <w:t>±0.0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>10*#</w:t>
            </w: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Data are expressed as mean ± SEM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;  </w:t>
      </w:r>
      <w:r>
        <w:rPr>
          <w:rFonts w:ascii="Times New Roman" w:hAnsi="Times New Roman"/>
          <w:color w:val="auto"/>
          <w:sz w:val="18"/>
          <w:szCs w:val="18"/>
        </w:rPr>
        <w:t xml:space="preserve">*,P &lt; 0.05, vs 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control</w:t>
      </w:r>
      <w:r>
        <w:rPr>
          <w:rFonts w:ascii="Times New Roman" w:hAnsi="Times New Roman"/>
          <w:color w:val="auto"/>
          <w:sz w:val="18"/>
          <w:szCs w:val="18"/>
        </w:rPr>
        <w:t xml:space="preserve"> group  # ,P &lt; 0.05, vs 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Hypoxia</w:t>
      </w:r>
      <w:r>
        <w:rPr>
          <w:rFonts w:ascii="Times New Roman" w:hAnsi="Times New Roman"/>
          <w:color w:val="auto"/>
          <w:sz w:val="18"/>
          <w:szCs w:val="18"/>
        </w:rPr>
        <w:t xml:space="preserve"> group.</w:t>
      </w: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>
      <w:pPr>
        <w:spacing w:line="360" w:lineRule="auto"/>
        <w:rPr>
          <w:rFonts w:ascii="Times New Roman" w:hAnsi="Times New Roman"/>
          <w:color w:val="auto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92F2A"/>
    <w:rsid w:val="049627BD"/>
    <w:rsid w:val="0E7B52F9"/>
    <w:rsid w:val="133125EF"/>
    <w:rsid w:val="1B223660"/>
    <w:rsid w:val="23552079"/>
    <w:rsid w:val="292A211F"/>
    <w:rsid w:val="299370B2"/>
    <w:rsid w:val="383E7AC4"/>
    <w:rsid w:val="3F00658A"/>
    <w:rsid w:val="49721944"/>
    <w:rsid w:val="4AF0630C"/>
    <w:rsid w:val="4DB66473"/>
    <w:rsid w:val="520919E7"/>
    <w:rsid w:val="53892F2A"/>
    <w:rsid w:val="56444149"/>
    <w:rsid w:val="5ADC6B67"/>
    <w:rsid w:val="5B3740ED"/>
    <w:rsid w:val="5C8C7B99"/>
    <w:rsid w:val="78E25D04"/>
    <w:rsid w:val="78E43F5A"/>
    <w:rsid w:val="7A7559AB"/>
    <w:rsid w:val="7D3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ymb1"/>
    <w:basedOn w:val="3"/>
    <w:qFormat/>
    <w:uiPriority w:val="0"/>
    <w:rPr>
      <w:rFonts w:ascii="Symbol" w:hAnsi="Symbol" w:cs="Symbol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2019-10-05T13:53:00Z</dcterms:created>
  <dc:creator>愿尔安好</dc:creator>
  <cp:lastModifiedBy>愿尔安好</cp:lastModifiedBy>
  <dcterms:modified xsi:type="dcterms:W3CDTF">2019-11-07T12:53:51Z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