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FDD59" w14:textId="6529EFFC" w:rsidR="00FF248F" w:rsidRDefault="00FF248F" w:rsidP="00FF248F">
      <w:pPr>
        <w:pStyle w:val="EndNoteBibliography"/>
        <w:spacing w:after="0"/>
        <w:jc w:val="center"/>
      </w:pPr>
      <w:r>
        <w:drawing>
          <wp:inline distT="0" distB="0" distL="0" distR="0" wp14:anchorId="633ABF10" wp14:editId="08437ADD">
            <wp:extent cx="5264859" cy="26136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859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13978" w14:textId="77777777" w:rsidR="00065282" w:rsidRDefault="00FF248F" w:rsidP="00065282">
      <w:pPr>
        <w:pStyle w:val="EndNoteBibliography"/>
        <w:spacing w:after="0" w:line="400" w:lineRule="exact"/>
        <w:jc w:val="center"/>
        <w:sectPr w:rsidR="0006528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t>Fig</w:t>
      </w:r>
      <w:r>
        <w:rPr>
          <w:rFonts w:hint="eastAsia"/>
          <w:lang w:eastAsia="zh-CN"/>
        </w:rPr>
        <w:t>ure</w:t>
      </w:r>
      <w:r>
        <w:t xml:space="preserve"> </w:t>
      </w:r>
      <w:r w:rsidR="007A1F66">
        <w:t>S</w:t>
      </w:r>
      <w:r>
        <w:t xml:space="preserve">1. The proteolytic and lipolytic activity of </w:t>
      </w:r>
      <w:r w:rsidRPr="0009475A">
        <w:rPr>
          <w:i/>
          <w:iCs/>
        </w:rPr>
        <w:t>S. maltophilia</w:t>
      </w:r>
      <w:r>
        <w:t xml:space="preserve"> 4–1 at 4°C and 25°C. (A) and (B) show proteolysis at 4°C, induced by 4–1 and neutral protease, respectively; (C) and (D) show lipolysis at 4°C, induced by 4–1 and lipase, respectively; (E) and (F) show proteolysis at 25°C, induced by 4–1 and neutral protease, respectively; (G) and (H) show lipolysis at 25°C, induced by 4–1 and lipase, respectively.</w:t>
      </w:r>
    </w:p>
    <w:p w14:paraId="5938346C" w14:textId="793794AB" w:rsidR="00422888" w:rsidRDefault="00065282" w:rsidP="00065282">
      <w:pPr>
        <w:pStyle w:val="EndNoteBibliography"/>
        <w:spacing w:after="0"/>
        <w:jc w:val="center"/>
      </w:pPr>
      <w:r>
        <w:rPr>
          <w:rFonts w:hint="eastAsia"/>
        </w:rPr>
        <w:lastRenderedPageBreak/>
        <w:drawing>
          <wp:inline distT="0" distB="0" distL="0" distR="0" wp14:anchorId="3E43B47D" wp14:editId="4C0372BB">
            <wp:extent cx="5270500" cy="453771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5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F6C7D" w14:textId="28EC7804" w:rsidR="00065282" w:rsidRPr="00FF248F" w:rsidRDefault="00065282" w:rsidP="00065282">
      <w:pPr>
        <w:pStyle w:val="EndNoteBibliography"/>
        <w:spacing w:after="0"/>
        <w:jc w:val="center"/>
        <w:rPr>
          <w:rFonts w:hint="eastAsia"/>
        </w:rPr>
      </w:pPr>
      <w:r>
        <w:t>Fig</w:t>
      </w:r>
      <w:r>
        <w:rPr>
          <w:rFonts w:hint="eastAsia"/>
          <w:lang w:eastAsia="zh-CN"/>
        </w:rPr>
        <w:t>ure</w:t>
      </w:r>
      <w:r>
        <w:t xml:space="preserve"> S</w:t>
      </w:r>
      <w:r>
        <w:t>2</w:t>
      </w:r>
      <w:r>
        <w:t xml:space="preserve">. </w:t>
      </w:r>
      <w:r w:rsidRPr="00065282">
        <w:t xml:space="preserve">Antibacterial activities of </w:t>
      </w:r>
      <w:r>
        <w:t xml:space="preserve">seven </w:t>
      </w:r>
      <w:r w:rsidRPr="00065282">
        <w:t xml:space="preserve">polyphenols against </w:t>
      </w:r>
      <w:r w:rsidRPr="00065282">
        <w:rPr>
          <w:i/>
          <w:iCs/>
        </w:rPr>
        <w:t>S. maltophilia</w:t>
      </w:r>
      <w:r w:rsidRPr="00065282">
        <w:t xml:space="preserve"> 4–1. CK1 = solvent control, CK2 = NB medium control.</w:t>
      </w:r>
      <w:bookmarkStart w:id="0" w:name="_GoBack"/>
      <w:bookmarkEnd w:id="0"/>
    </w:p>
    <w:sectPr w:rsidR="00065282" w:rsidRPr="00FF2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B2"/>
    <w:rsid w:val="00065282"/>
    <w:rsid w:val="002728C8"/>
    <w:rsid w:val="003F1BB2"/>
    <w:rsid w:val="00422888"/>
    <w:rsid w:val="007A1F66"/>
    <w:rsid w:val="00E228F6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124F0"/>
  <w15:chartTrackingRefBased/>
  <w15:docId w15:val="{5DEE411E-6C24-4006-A7A6-E3729B1F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rsid w:val="00FF248F"/>
    <w:pPr>
      <w:widowControl/>
      <w:spacing w:before="120" w:after="240"/>
      <w:jc w:val="left"/>
    </w:pPr>
    <w:rPr>
      <w:rFonts w:ascii="Times New Roman" w:hAnsi="Times New Roman" w:cs="Times New Roman"/>
      <w:noProof/>
      <w:kern w:val="0"/>
      <w:sz w:val="24"/>
      <w:lang w:eastAsia="en-US"/>
    </w:rPr>
  </w:style>
  <w:style w:type="character" w:customStyle="1" w:styleId="EndNoteBibliography0">
    <w:name w:val="EndNote Bibliography 字符"/>
    <w:basedOn w:val="a0"/>
    <w:link w:val="EndNoteBibliography"/>
    <w:rsid w:val="00FF248F"/>
    <w:rPr>
      <w:rFonts w:ascii="Times New Roman" w:hAnsi="Times New Roman" w:cs="Times New Roman"/>
      <w:noProof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ZYX</dc:creator>
  <cp:keywords/>
  <dc:description/>
  <cp:lastModifiedBy>ZYX</cp:lastModifiedBy>
  <cp:revision>6</cp:revision>
  <dcterms:created xsi:type="dcterms:W3CDTF">2019-10-16T07:34:00Z</dcterms:created>
  <dcterms:modified xsi:type="dcterms:W3CDTF">2019-10-16T13:13:00Z</dcterms:modified>
</cp:coreProperties>
</file>