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54D378" w14:textId="311A4EA9" w:rsidR="00994A3D" w:rsidRPr="00502B62" w:rsidRDefault="003224BE" w:rsidP="00221E54">
      <w:pPr>
        <w:rPr>
          <w:sz w:val="52"/>
        </w:rPr>
      </w:pPr>
      <w:r w:rsidRPr="00502B62">
        <w:t>Supplementary Material</w:t>
      </w:r>
    </w:p>
    <w:p w14:paraId="58661496" w14:textId="2472E0E8" w:rsidR="000103A6" w:rsidRPr="00502B62" w:rsidRDefault="001E5080" w:rsidP="001E5080">
      <w:pPr>
        <w:keepNext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662ADF3F" wp14:editId="6631A2FA">
            <wp:extent cx="6858000" cy="504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4032064" w:rsidR="000103A6" w:rsidRPr="00502B62" w:rsidRDefault="00994A3D" w:rsidP="003224BE">
      <w:pPr>
        <w:keepNext/>
        <w:jc w:val="both"/>
        <w:rPr>
          <w:rFonts w:cs="Times New Roman"/>
          <w:szCs w:val="24"/>
        </w:rPr>
      </w:pPr>
      <w:r w:rsidRPr="00502B62">
        <w:rPr>
          <w:rFonts w:cs="Times New Roman"/>
          <w:b/>
          <w:szCs w:val="24"/>
        </w:rPr>
        <w:t xml:space="preserve">Supplementary Figure </w:t>
      </w:r>
      <w:r w:rsidRPr="00502B62">
        <w:rPr>
          <w:rFonts w:cs="Times New Roman"/>
          <w:b/>
          <w:szCs w:val="24"/>
        </w:rPr>
        <w:fldChar w:fldCharType="begin"/>
      </w:r>
      <w:r w:rsidRPr="00502B62">
        <w:rPr>
          <w:rFonts w:cs="Times New Roman"/>
          <w:b/>
          <w:szCs w:val="24"/>
        </w:rPr>
        <w:instrText xml:space="preserve"> SEQ Figure \* ARABIC </w:instrText>
      </w:r>
      <w:r w:rsidRPr="00502B62">
        <w:rPr>
          <w:rFonts w:cs="Times New Roman"/>
          <w:b/>
          <w:szCs w:val="24"/>
        </w:rPr>
        <w:fldChar w:fldCharType="separate"/>
      </w:r>
      <w:r w:rsidR="00323D41">
        <w:rPr>
          <w:rFonts w:cs="Times New Roman"/>
          <w:b/>
          <w:noProof/>
          <w:szCs w:val="24"/>
        </w:rPr>
        <w:t>1</w:t>
      </w:r>
      <w:r w:rsidRPr="00502B62">
        <w:rPr>
          <w:rFonts w:cs="Times New Roman"/>
          <w:b/>
          <w:szCs w:val="24"/>
        </w:rPr>
        <w:fldChar w:fldCharType="end"/>
      </w:r>
      <w:r w:rsidRPr="00502B62">
        <w:rPr>
          <w:rFonts w:cs="Times New Roman"/>
          <w:b/>
          <w:szCs w:val="24"/>
        </w:rPr>
        <w:t>.</w:t>
      </w:r>
      <w:r w:rsidR="000103A6" w:rsidRPr="00502B62">
        <w:rPr>
          <w:rFonts w:cs="Times New Roman"/>
          <w:szCs w:val="24"/>
        </w:rPr>
        <w:t xml:space="preserve"> </w:t>
      </w:r>
      <w:r w:rsidR="00C07B62" w:rsidRPr="00502B62">
        <w:rPr>
          <w:rFonts w:cs="Times New Roman"/>
          <w:b/>
          <w:szCs w:val="24"/>
        </w:rPr>
        <w:t>Percentages</w:t>
      </w:r>
      <w:r w:rsidR="005A35C6">
        <w:rPr>
          <w:rFonts w:cs="Times New Roman"/>
          <w:b/>
          <w:szCs w:val="24"/>
        </w:rPr>
        <w:t xml:space="preserve">, </w:t>
      </w:r>
      <w:r w:rsidR="00C07B62" w:rsidRPr="00502B62">
        <w:rPr>
          <w:rFonts w:cs="Times New Roman"/>
          <w:b/>
          <w:szCs w:val="24"/>
        </w:rPr>
        <w:t>t</w:t>
      </w:r>
      <w:r w:rsidR="000103A6" w:rsidRPr="00502B62">
        <w:rPr>
          <w:rFonts w:cs="Times New Roman"/>
          <w:b/>
          <w:szCs w:val="24"/>
        </w:rPr>
        <w:t>otal numbers</w:t>
      </w:r>
      <w:r w:rsidR="005A35C6">
        <w:rPr>
          <w:rFonts w:cs="Times New Roman"/>
          <w:b/>
          <w:szCs w:val="24"/>
        </w:rPr>
        <w:t xml:space="preserve">, and </w:t>
      </w:r>
      <w:proofErr w:type="spellStart"/>
      <w:r w:rsidR="005A35C6">
        <w:rPr>
          <w:rFonts w:cs="Times New Roman"/>
          <w:b/>
          <w:szCs w:val="24"/>
        </w:rPr>
        <w:t>timecourse</w:t>
      </w:r>
      <w:proofErr w:type="spellEnd"/>
      <w:r w:rsidR="000103A6" w:rsidRPr="00502B62">
        <w:rPr>
          <w:rFonts w:cs="Times New Roman"/>
          <w:b/>
          <w:szCs w:val="24"/>
        </w:rPr>
        <w:t xml:space="preserve"> of DC subsets </w:t>
      </w:r>
      <w:r w:rsidR="005A35C6">
        <w:rPr>
          <w:rFonts w:cs="Times New Roman"/>
          <w:b/>
          <w:szCs w:val="24"/>
        </w:rPr>
        <w:t xml:space="preserve">in </w:t>
      </w:r>
      <w:r w:rsidR="005A35C6" w:rsidRPr="00502B62">
        <w:rPr>
          <w:rFonts w:cs="Times New Roman"/>
          <w:b/>
          <w:szCs w:val="24"/>
        </w:rPr>
        <w:t>post-immunization</w:t>
      </w:r>
      <w:bookmarkStart w:id="0" w:name="_GoBack"/>
      <w:bookmarkEnd w:id="0"/>
      <w:r w:rsidR="005A35C6" w:rsidRPr="00502B62">
        <w:rPr>
          <w:rFonts w:cs="Times New Roman"/>
          <w:b/>
          <w:szCs w:val="24"/>
        </w:rPr>
        <w:t xml:space="preserve"> </w:t>
      </w:r>
      <w:proofErr w:type="spellStart"/>
      <w:r w:rsidR="000103A6" w:rsidRPr="00502B62">
        <w:rPr>
          <w:rFonts w:cs="Times New Roman"/>
          <w:b/>
          <w:szCs w:val="24"/>
        </w:rPr>
        <w:t>dLN</w:t>
      </w:r>
      <w:r w:rsidR="005A35C6">
        <w:rPr>
          <w:rFonts w:cs="Times New Roman"/>
          <w:b/>
          <w:szCs w:val="24"/>
        </w:rPr>
        <w:t>s</w:t>
      </w:r>
      <w:proofErr w:type="spellEnd"/>
      <w:r w:rsidR="005A35C6">
        <w:rPr>
          <w:rFonts w:cs="Times New Roman"/>
          <w:b/>
          <w:szCs w:val="24"/>
        </w:rPr>
        <w:t>.</w:t>
      </w:r>
      <w:r w:rsidR="000103A6" w:rsidRPr="00502B62">
        <w:rPr>
          <w:rFonts w:cs="Times New Roman"/>
          <w:b/>
          <w:szCs w:val="24"/>
        </w:rPr>
        <w:t xml:space="preserve"> </w:t>
      </w:r>
      <w:r w:rsidR="000103A6" w:rsidRPr="00502B62">
        <w:rPr>
          <w:rFonts w:cs="Times New Roman"/>
          <w:szCs w:val="24"/>
        </w:rPr>
        <w:t xml:space="preserve"> </w:t>
      </w:r>
      <w:proofErr w:type="spellStart"/>
      <w:r w:rsidR="00266D2A">
        <w:rPr>
          <w:rFonts w:cs="Times New Roman"/>
          <w:szCs w:val="24"/>
        </w:rPr>
        <w:t>Med</w:t>
      </w:r>
      <w:r w:rsidR="00502B62" w:rsidRPr="00502B62">
        <w:rPr>
          <w:rFonts w:eastAsia="Times New Roman" w:cs="Times New Roman"/>
          <w:sz w:val="22"/>
        </w:rPr>
        <w:t>LNs</w:t>
      </w:r>
      <w:proofErr w:type="spellEnd"/>
      <w:r w:rsidR="00266D2A">
        <w:rPr>
          <w:rFonts w:eastAsia="Times New Roman" w:cs="Times New Roman"/>
          <w:sz w:val="22"/>
        </w:rPr>
        <w:t xml:space="preserve"> or ILNs</w:t>
      </w:r>
      <w:r w:rsidR="00502B62" w:rsidRPr="00502B62">
        <w:rPr>
          <w:rFonts w:eastAsia="Times New Roman" w:cs="Times New Roman"/>
          <w:sz w:val="22"/>
        </w:rPr>
        <w:t xml:space="preserve"> were harvested </w:t>
      </w:r>
      <w:r w:rsidR="00266D2A">
        <w:rPr>
          <w:rFonts w:eastAsia="Times New Roman" w:cs="Times New Roman"/>
          <w:sz w:val="22"/>
        </w:rPr>
        <w:t xml:space="preserve">and pooled </w:t>
      </w:r>
      <w:r w:rsidR="00502B62" w:rsidRPr="00502B62">
        <w:rPr>
          <w:rFonts w:eastAsia="Times New Roman" w:cs="Times New Roman"/>
          <w:sz w:val="22"/>
        </w:rPr>
        <w:t xml:space="preserve">from naïve mice, stained for leukocyte lineage markers, and evaluated by flow cytometry using the gating strategy </w:t>
      </w:r>
      <w:r w:rsidR="00502B62">
        <w:rPr>
          <w:rFonts w:eastAsia="Times New Roman" w:cs="Times New Roman"/>
          <w:sz w:val="22"/>
        </w:rPr>
        <w:t xml:space="preserve">shown and </w:t>
      </w:r>
      <w:r w:rsidR="00502B62" w:rsidRPr="00502B62">
        <w:rPr>
          <w:rFonts w:eastAsia="Times New Roman" w:cs="Times New Roman"/>
          <w:sz w:val="22"/>
        </w:rPr>
        <w:t xml:space="preserve">described in </w:t>
      </w:r>
      <w:r w:rsidR="00502B62" w:rsidRPr="00502B62">
        <w:rPr>
          <w:rFonts w:eastAsia="Times New Roman" w:cs="Times New Roman"/>
          <w:b/>
          <w:sz w:val="22"/>
        </w:rPr>
        <w:t>Figure 1A</w:t>
      </w:r>
      <w:r w:rsidR="00502B62" w:rsidRPr="00502B62">
        <w:rPr>
          <w:rFonts w:eastAsia="Times New Roman" w:cs="Times New Roman"/>
          <w:sz w:val="22"/>
        </w:rPr>
        <w:t>.</w:t>
      </w:r>
      <w:r w:rsidR="00502B62">
        <w:rPr>
          <w:rFonts w:eastAsia="Times New Roman" w:cs="Times New Roman"/>
          <w:sz w:val="22"/>
        </w:rPr>
        <w:t xml:space="preserve"> (</w:t>
      </w:r>
      <w:r w:rsidR="00502B62" w:rsidRPr="00502B62">
        <w:rPr>
          <w:rFonts w:eastAsia="Times New Roman" w:cs="Times New Roman"/>
          <w:b/>
          <w:sz w:val="22"/>
        </w:rPr>
        <w:t>A</w:t>
      </w:r>
      <w:r w:rsidR="00502B62">
        <w:rPr>
          <w:rFonts w:eastAsia="Times New Roman" w:cs="Times New Roman"/>
          <w:sz w:val="22"/>
        </w:rPr>
        <w:t>)</w:t>
      </w:r>
      <w:r w:rsidR="00502B62" w:rsidRPr="00502B62">
        <w:rPr>
          <w:rFonts w:cs="Times New Roman"/>
          <w:szCs w:val="24"/>
        </w:rPr>
        <w:t xml:space="preserve"> </w:t>
      </w:r>
      <w:proofErr w:type="gramStart"/>
      <w:r w:rsidR="00502B62" w:rsidRPr="00502B62">
        <w:rPr>
          <w:rFonts w:cs="Times New Roman"/>
          <w:szCs w:val="24"/>
        </w:rPr>
        <w:t>shows</w:t>
      </w:r>
      <w:proofErr w:type="gramEnd"/>
      <w:r w:rsidR="00502B62" w:rsidRPr="00502B62">
        <w:rPr>
          <w:rFonts w:cs="Times New Roman"/>
          <w:szCs w:val="24"/>
        </w:rPr>
        <w:t xml:space="preserve"> the percentage of</w:t>
      </w:r>
      <w:r w:rsidR="00502B62">
        <w:rPr>
          <w:rFonts w:cs="Times New Roman"/>
          <w:szCs w:val="24"/>
        </w:rPr>
        <w:t xml:space="preserve"> the indicated DC subsets </w:t>
      </w:r>
      <w:r w:rsidR="00266D2A">
        <w:rPr>
          <w:rFonts w:cs="Times New Roman"/>
          <w:szCs w:val="24"/>
        </w:rPr>
        <w:t xml:space="preserve">of total LN DCs from </w:t>
      </w:r>
      <w:r w:rsidR="00502B62">
        <w:rPr>
          <w:rFonts w:cs="Times New Roman"/>
          <w:szCs w:val="24"/>
        </w:rPr>
        <w:t xml:space="preserve">naïve mice. </w:t>
      </w:r>
      <w:r w:rsidR="000103A6" w:rsidRPr="00502B62">
        <w:rPr>
          <w:rFonts w:cs="Times New Roman"/>
          <w:szCs w:val="24"/>
        </w:rPr>
        <w:t>(</w:t>
      </w:r>
      <w:r w:rsidR="00502B62">
        <w:rPr>
          <w:rFonts w:cs="Times New Roman"/>
          <w:b/>
          <w:szCs w:val="24"/>
        </w:rPr>
        <w:t>B</w:t>
      </w:r>
      <w:r w:rsidR="000103A6" w:rsidRPr="00502B62">
        <w:rPr>
          <w:rFonts w:cs="Times New Roman"/>
          <w:szCs w:val="24"/>
        </w:rPr>
        <w:t>) shows the percentage of OVA</w:t>
      </w:r>
      <w:r w:rsidR="000103A6" w:rsidRPr="00502B62">
        <w:rPr>
          <w:rFonts w:cs="Times New Roman"/>
          <w:szCs w:val="24"/>
          <w:vertAlign w:val="superscript"/>
        </w:rPr>
        <w:t>+</w:t>
      </w:r>
      <w:r w:rsidR="000103A6" w:rsidRPr="00502B62">
        <w:rPr>
          <w:rFonts w:cs="Times New Roman"/>
          <w:szCs w:val="24"/>
        </w:rPr>
        <w:t xml:space="preserve"> cells within the </w:t>
      </w:r>
      <w:proofErr w:type="spellStart"/>
      <w:r w:rsidR="000103A6" w:rsidRPr="00502B62">
        <w:rPr>
          <w:rFonts w:cs="Times New Roman"/>
          <w:szCs w:val="24"/>
        </w:rPr>
        <w:t>dLN</w:t>
      </w:r>
      <w:proofErr w:type="spellEnd"/>
      <w:r w:rsidR="000103A6" w:rsidRPr="00502B62">
        <w:rPr>
          <w:rFonts w:cs="Times New Roman"/>
          <w:szCs w:val="24"/>
        </w:rPr>
        <w:t xml:space="preserve"> CD11b</w:t>
      </w:r>
      <w:r w:rsidR="000103A6" w:rsidRPr="00502B62">
        <w:rPr>
          <w:rFonts w:cs="Times New Roman"/>
          <w:szCs w:val="24"/>
          <w:vertAlign w:val="superscript"/>
        </w:rPr>
        <w:t>+</w:t>
      </w:r>
      <w:r w:rsidR="000103A6" w:rsidRPr="00502B62">
        <w:rPr>
          <w:rFonts w:cs="Times New Roman"/>
          <w:szCs w:val="24"/>
        </w:rPr>
        <w:t xml:space="preserve"> DC compartment at the indicated time-points</w:t>
      </w:r>
      <w:r w:rsidR="00761B61" w:rsidRPr="00502B62">
        <w:rPr>
          <w:rFonts w:cs="Times New Roman"/>
          <w:szCs w:val="24"/>
        </w:rPr>
        <w:t xml:space="preserve"> (day 1; D1, day 2, D2, day 3, D3)</w:t>
      </w:r>
      <w:r w:rsidR="000103A6" w:rsidRPr="00502B62">
        <w:rPr>
          <w:rFonts w:cs="Times New Roman"/>
          <w:szCs w:val="24"/>
        </w:rPr>
        <w:t xml:space="preserve"> after </w:t>
      </w:r>
      <w:r w:rsidR="003D484E" w:rsidRPr="00502B62">
        <w:rPr>
          <w:rFonts w:cs="Times New Roman"/>
          <w:szCs w:val="24"/>
        </w:rPr>
        <w:t xml:space="preserve">fluorescent </w:t>
      </w:r>
      <w:r w:rsidR="000103A6" w:rsidRPr="00502B62">
        <w:rPr>
          <w:rFonts w:cs="Times New Roman"/>
          <w:szCs w:val="24"/>
        </w:rPr>
        <w:t>OVA/Poly(I:C)</w:t>
      </w:r>
      <w:r w:rsidR="00C07B62" w:rsidRPr="00502B62">
        <w:rPr>
          <w:rFonts w:cs="Times New Roman"/>
          <w:szCs w:val="24"/>
        </w:rPr>
        <w:t xml:space="preserve"> immunization</w:t>
      </w:r>
      <w:r w:rsidR="000103A6" w:rsidRPr="00502B62">
        <w:rPr>
          <w:rFonts w:cs="Times New Roman"/>
          <w:szCs w:val="24"/>
        </w:rPr>
        <w:t xml:space="preserve"> via the i.m. or i.n. routes</w:t>
      </w:r>
      <w:r w:rsidR="00C07B62" w:rsidRPr="00502B62">
        <w:rPr>
          <w:rFonts w:cs="Times New Roman"/>
          <w:szCs w:val="24"/>
        </w:rPr>
        <w:t>, or in naïve mice</w:t>
      </w:r>
      <w:r w:rsidR="000103A6" w:rsidRPr="00502B62">
        <w:rPr>
          <w:rFonts w:cs="Times New Roman"/>
          <w:szCs w:val="24"/>
        </w:rPr>
        <w:t>. One of 3 representative experiments shown with 1-3 individual mice per immunization route and S.D. error bars</w:t>
      </w:r>
      <w:r w:rsidR="003224BE" w:rsidRPr="00502B62">
        <w:rPr>
          <w:rFonts w:cs="Times New Roman"/>
          <w:szCs w:val="24"/>
        </w:rPr>
        <w:t>.</w:t>
      </w:r>
      <w:r w:rsidR="000103A6" w:rsidRPr="00502B62">
        <w:rPr>
          <w:rFonts w:cs="Times New Roman"/>
          <w:szCs w:val="24"/>
        </w:rPr>
        <w:t xml:space="preserve"> (</w:t>
      </w:r>
      <w:r w:rsidR="00502B62">
        <w:rPr>
          <w:rFonts w:cs="Times New Roman"/>
          <w:b/>
          <w:szCs w:val="24"/>
        </w:rPr>
        <w:t>C</w:t>
      </w:r>
      <w:r w:rsidR="000103A6" w:rsidRPr="00502B62">
        <w:rPr>
          <w:rFonts w:cs="Times New Roman"/>
          <w:szCs w:val="24"/>
        </w:rPr>
        <w:t xml:space="preserve">) </w:t>
      </w:r>
      <w:r w:rsidR="003D484E" w:rsidRPr="00502B62">
        <w:rPr>
          <w:rFonts w:cs="Times New Roman"/>
          <w:szCs w:val="24"/>
        </w:rPr>
        <w:t>t</w:t>
      </w:r>
      <w:r w:rsidR="000103A6" w:rsidRPr="00502B62">
        <w:rPr>
          <w:rFonts w:cs="Times New Roman"/>
          <w:szCs w:val="24"/>
        </w:rPr>
        <w:t xml:space="preserve">he absolute numbers of </w:t>
      </w:r>
      <w:r w:rsidR="00761B61" w:rsidRPr="00502B62">
        <w:rPr>
          <w:rFonts w:cs="Times New Roman"/>
          <w:szCs w:val="24"/>
        </w:rPr>
        <w:t xml:space="preserve">DC subsets </w:t>
      </w:r>
      <w:r w:rsidR="000103A6" w:rsidRPr="00502B62">
        <w:rPr>
          <w:rFonts w:cs="Times New Roman"/>
          <w:szCs w:val="24"/>
        </w:rPr>
        <w:t xml:space="preserve">per </w:t>
      </w:r>
      <w:proofErr w:type="spellStart"/>
      <w:r w:rsidR="000103A6" w:rsidRPr="00502B62">
        <w:rPr>
          <w:rFonts w:cs="Times New Roman"/>
          <w:szCs w:val="24"/>
        </w:rPr>
        <w:t>dLN</w:t>
      </w:r>
      <w:proofErr w:type="spellEnd"/>
      <w:r w:rsidR="000103A6" w:rsidRPr="00502B62">
        <w:rPr>
          <w:rFonts w:cs="Times New Roman"/>
          <w:szCs w:val="24"/>
        </w:rPr>
        <w:t xml:space="preserve"> </w:t>
      </w:r>
      <w:r w:rsidR="003D484E" w:rsidRPr="00502B62">
        <w:rPr>
          <w:rFonts w:cs="Times New Roman"/>
          <w:szCs w:val="24"/>
        </w:rPr>
        <w:t xml:space="preserve">or </w:t>
      </w:r>
      <w:r w:rsidR="00502B62">
        <w:rPr>
          <w:rFonts w:cs="Times New Roman"/>
          <w:b/>
          <w:szCs w:val="24"/>
        </w:rPr>
        <w:t>(D</w:t>
      </w:r>
      <w:r w:rsidR="003D484E" w:rsidRPr="00502B62">
        <w:rPr>
          <w:rFonts w:cs="Times New Roman"/>
          <w:b/>
          <w:szCs w:val="24"/>
        </w:rPr>
        <w:t>)</w:t>
      </w:r>
      <w:r w:rsidR="003D484E" w:rsidRPr="00502B62">
        <w:rPr>
          <w:rFonts w:cs="Times New Roman"/>
          <w:szCs w:val="24"/>
        </w:rPr>
        <w:t xml:space="preserve"> </w:t>
      </w:r>
      <w:r w:rsidR="00761B61" w:rsidRPr="00502B62">
        <w:rPr>
          <w:rFonts w:cs="Times New Roman"/>
          <w:szCs w:val="24"/>
        </w:rPr>
        <w:t xml:space="preserve">the number of </w:t>
      </w:r>
      <w:r w:rsidR="003D484E" w:rsidRPr="00502B62">
        <w:rPr>
          <w:rFonts w:cs="Times New Roman"/>
          <w:szCs w:val="24"/>
        </w:rPr>
        <w:t>OVA</w:t>
      </w:r>
      <w:r w:rsidR="003D484E" w:rsidRPr="00502B62">
        <w:rPr>
          <w:rFonts w:cs="Times New Roman"/>
          <w:szCs w:val="24"/>
          <w:vertAlign w:val="superscript"/>
        </w:rPr>
        <w:t>+</w:t>
      </w:r>
      <w:r w:rsidR="003D484E" w:rsidRPr="00502B62">
        <w:rPr>
          <w:rFonts w:cs="Times New Roman"/>
          <w:szCs w:val="24"/>
        </w:rPr>
        <w:t xml:space="preserve"> DCs per </w:t>
      </w:r>
      <w:proofErr w:type="spellStart"/>
      <w:r w:rsidR="003D484E" w:rsidRPr="00502B62">
        <w:rPr>
          <w:rFonts w:cs="Times New Roman"/>
          <w:szCs w:val="24"/>
        </w:rPr>
        <w:t>dLN</w:t>
      </w:r>
      <w:proofErr w:type="spellEnd"/>
      <w:r w:rsidR="001E5080">
        <w:rPr>
          <w:rFonts w:cs="Times New Roman"/>
          <w:szCs w:val="24"/>
        </w:rPr>
        <w:t>,</w:t>
      </w:r>
      <w:r w:rsidR="003D484E" w:rsidRPr="00502B62">
        <w:rPr>
          <w:rFonts w:cs="Times New Roman"/>
          <w:szCs w:val="24"/>
        </w:rPr>
        <w:t xml:space="preserve"> </w:t>
      </w:r>
      <w:r w:rsidR="000103A6" w:rsidRPr="00502B62">
        <w:rPr>
          <w:rFonts w:cs="Times New Roman"/>
          <w:szCs w:val="24"/>
        </w:rPr>
        <w:t>at 24h post-immunization with</w:t>
      </w:r>
      <w:r w:rsidR="00761B61" w:rsidRPr="00502B62">
        <w:rPr>
          <w:rFonts w:cs="Times New Roman"/>
          <w:szCs w:val="24"/>
        </w:rPr>
        <w:t xml:space="preserve"> fluorescent</w:t>
      </w:r>
      <w:r w:rsidR="001E5080">
        <w:rPr>
          <w:rFonts w:cs="Times New Roman"/>
          <w:szCs w:val="24"/>
        </w:rPr>
        <w:t xml:space="preserve"> OVA/Poly(I:C).</w:t>
      </w:r>
      <w:r w:rsidR="00502B62" w:rsidRPr="00502B62">
        <w:rPr>
          <w:rFonts w:cs="Times New Roman"/>
          <w:szCs w:val="24"/>
        </w:rPr>
        <w:t xml:space="preserve"> L</w:t>
      </w:r>
      <w:r w:rsidR="001E5080">
        <w:rPr>
          <w:rFonts w:cs="Times New Roman"/>
          <w:szCs w:val="24"/>
        </w:rPr>
        <w:t>Ns from 3</w:t>
      </w:r>
      <w:r w:rsidR="000103A6" w:rsidRPr="00502B62">
        <w:rPr>
          <w:rFonts w:cs="Times New Roman"/>
          <w:szCs w:val="24"/>
        </w:rPr>
        <w:t xml:space="preserve">-12 mice per route were pooled, </w:t>
      </w:r>
      <w:r w:rsidR="00761B61" w:rsidRPr="00502B62">
        <w:rPr>
          <w:rFonts w:cs="Times New Roman"/>
          <w:szCs w:val="24"/>
        </w:rPr>
        <w:t xml:space="preserve">representing </w:t>
      </w:r>
      <w:r w:rsidR="000103A6" w:rsidRPr="00502B62">
        <w:rPr>
          <w:rFonts w:cs="Times New Roman"/>
          <w:szCs w:val="24"/>
        </w:rPr>
        <w:t>3</w:t>
      </w:r>
      <w:r w:rsidR="001E5080">
        <w:rPr>
          <w:rFonts w:cs="Times New Roman"/>
          <w:szCs w:val="24"/>
        </w:rPr>
        <w:t xml:space="preserve"> or more</w:t>
      </w:r>
      <w:r w:rsidR="000103A6" w:rsidRPr="00502B62">
        <w:rPr>
          <w:rFonts w:cs="Times New Roman"/>
          <w:szCs w:val="24"/>
        </w:rPr>
        <w:t xml:space="preserve"> independent experiments and the SEM. Statistical differences were calculated using a one-way ANOVA with post-test as described in the Materials and Methods. P &gt; 0.05; ‘ns’, not significant, P &lt; 0.05; *, P &lt; 0.01; **.</w:t>
      </w:r>
    </w:p>
    <w:p w14:paraId="1A949FA3" w14:textId="77777777" w:rsidR="000103A6" w:rsidRPr="00502B62" w:rsidRDefault="000103A6">
      <w:pPr>
        <w:spacing w:before="0" w:after="200" w:line="276" w:lineRule="auto"/>
        <w:rPr>
          <w:rFonts w:cs="Times New Roman"/>
          <w:szCs w:val="24"/>
        </w:rPr>
      </w:pPr>
      <w:r w:rsidRPr="00502B62">
        <w:rPr>
          <w:rFonts w:cs="Times New Roman"/>
          <w:szCs w:val="24"/>
        </w:rPr>
        <w:br w:type="page"/>
      </w:r>
    </w:p>
    <w:p w14:paraId="0A8E2C62" w14:textId="77777777" w:rsidR="00994A3D" w:rsidRPr="00502B62" w:rsidRDefault="00994A3D" w:rsidP="002B4A57">
      <w:pPr>
        <w:keepNext/>
        <w:rPr>
          <w:rFonts w:cs="Times New Roman"/>
          <w:b/>
          <w:szCs w:val="24"/>
        </w:rPr>
      </w:pPr>
    </w:p>
    <w:p w14:paraId="21A43D48" w14:textId="77777777" w:rsidR="000103A6" w:rsidRPr="00502B62" w:rsidRDefault="000103A6" w:rsidP="00654E8F">
      <w:pPr>
        <w:spacing w:before="240"/>
        <w:rPr>
          <w:rFonts w:cs="Times New Roman"/>
          <w:b/>
          <w:szCs w:val="24"/>
        </w:rPr>
      </w:pPr>
    </w:p>
    <w:p w14:paraId="34CFC32E" w14:textId="4F36E153" w:rsidR="000103A6" w:rsidRPr="00502B62" w:rsidRDefault="003D484E" w:rsidP="00654E8F">
      <w:pPr>
        <w:spacing w:before="240"/>
        <w:rPr>
          <w:rFonts w:cs="Times New Roman"/>
          <w:b/>
          <w:szCs w:val="24"/>
        </w:rPr>
      </w:pPr>
      <w:r w:rsidRPr="00502B62">
        <w:rPr>
          <w:noProof/>
        </w:rPr>
        <w:drawing>
          <wp:inline distT="0" distB="0" distL="0" distR="0" wp14:anchorId="010251E5" wp14:editId="5208C7EE">
            <wp:extent cx="6858000" cy="5209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633C" w14:textId="6DC631D8" w:rsidR="003D484E" w:rsidRPr="00502B62" w:rsidRDefault="000103A6" w:rsidP="003D484E">
      <w:pPr>
        <w:spacing w:before="240"/>
        <w:jc w:val="both"/>
        <w:rPr>
          <w:b/>
        </w:rPr>
      </w:pPr>
      <w:r w:rsidRPr="00502B62">
        <w:rPr>
          <w:rFonts w:cs="Times New Roman"/>
          <w:b/>
          <w:szCs w:val="24"/>
        </w:rPr>
        <w:t>Supplementary Figure 2.</w:t>
      </w:r>
      <w:r w:rsidRPr="00502B62">
        <w:rPr>
          <w:rFonts w:cs="Times New Roman"/>
          <w:szCs w:val="24"/>
        </w:rPr>
        <w:t xml:space="preserve"> </w:t>
      </w:r>
      <w:r w:rsidR="003224BE" w:rsidRPr="00502B62">
        <w:rPr>
          <w:b/>
          <w:bCs/>
        </w:rPr>
        <w:t xml:space="preserve">OT-II cell </w:t>
      </w:r>
      <w:r w:rsidR="005A35C6">
        <w:rPr>
          <w:b/>
          <w:bCs/>
        </w:rPr>
        <w:t xml:space="preserve">and endogenous </w:t>
      </w:r>
      <w:r w:rsidR="005A35C6" w:rsidRPr="00221E54">
        <w:rPr>
          <w:b/>
          <w:bCs/>
          <w:i/>
        </w:rPr>
        <w:t>ex vivo</w:t>
      </w:r>
      <w:r w:rsidR="005A35C6">
        <w:rPr>
          <w:b/>
          <w:bCs/>
        </w:rPr>
        <w:t xml:space="preserve"> T cell analysis</w:t>
      </w:r>
      <w:r w:rsidR="003224BE" w:rsidRPr="00502B62">
        <w:rPr>
          <w:b/>
          <w:bCs/>
        </w:rPr>
        <w:t xml:space="preserve"> after co-culture with DCs. </w:t>
      </w:r>
      <w:r w:rsidR="003224BE" w:rsidRPr="00502B62">
        <w:t>(</w:t>
      </w:r>
      <w:r w:rsidR="003224BE" w:rsidRPr="00502B62">
        <w:rPr>
          <w:b/>
        </w:rPr>
        <w:t>A</w:t>
      </w:r>
      <w:r w:rsidR="003224BE" w:rsidRPr="00502B62">
        <w:t>) shows the gating strategy used to exclude doublets, dead cells, CD3</w:t>
      </w:r>
      <w:r w:rsidR="003224BE" w:rsidRPr="00502B62">
        <w:rPr>
          <w:vertAlign w:val="superscript"/>
        </w:rPr>
        <w:t>-</w:t>
      </w:r>
      <w:r w:rsidR="003224BE" w:rsidRPr="00502B62">
        <w:t xml:space="preserve"> CD4</w:t>
      </w:r>
      <w:r w:rsidR="003224BE" w:rsidRPr="00502B62">
        <w:rPr>
          <w:vertAlign w:val="superscript"/>
        </w:rPr>
        <w:t>-</w:t>
      </w:r>
      <w:r w:rsidR="003224BE" w:rsidRPr="00502B62">
        <w:t xml:space="preserve"> , and select CD44</w:t>
      </w:r>
      <w:r w:rsidR="003224BE" w:rsidRPr="00502B62">
        <w:rPr>
          <w:vertAlign w:val="superscript"/>
        </w:rPr>
        <w:t>+</w:t>
      </w:r>
      <w:r w:rsidR="003224BE" w:rsidRPr="00502B62">
        <w:t xml:space="preserve"> (activated) cells from OT-II CD4</w:t>
      </w:r>
      <w:r w:rsidR="003224BE" w:rsidRPr="00502B62">
        <w:rPr>
          <w:vertAlign w:val="superscript"/>
        </w:rPr>
        <w:t>+</w:t>
      </w:r>
      <w:r w:rsidR="003224BE" w:rsidRPr="00502B62">
        <w:t xml:space="preserve"> T cells, at day 0, 1, or 3 of co-culture with </w:t>
      </w:r>
      <w:r w:rsidR="003D484E" w:rsidRPr="00502B62">
        <w:t xml:space="preserve">total </w:t>
      </w:r>
      <w:r w:rsidR="003224BE" w:rsidRPr="00502B62">
        <w:t>CD11b</w:t>
      </w:r>
      <w:r w:rsidR="003224BE" w:rsidRPr="00502B62">
        <w:rPr>
          <w:vertAlign w:val="superscript"/>
        </w:rPr>
        <w:t>+</w:t>
      </w:r>
      <w:r w:rsidR="003224BE" w:rsidRPr="00502B62">
        <w:t xml:space="preserve"> DC</w:t>
      </w:r>
      <w:r w:rsidR="003D484E" w:rsidRPr="00502B62">
        <w:t xml:space="preserve"> subsets</w:t>
      </w:r>
      <w:r w:rsidR="003224BE" w:rsidRPr="00502B62">
        <w:t xml:space="preserve"> from the draining</w:t>
      </w:r>
      <w:r w:rsidR="00DA67A8" w:rsidRPr="00502B62">
        <w:t xml:space="preserve"> </w:t>
      </w:r>
      <w:r w:rsidR="003224BE" w:rsidRPr="00502B62">
        <w:t>LN of immunized mice</w:t>
      </w:r>
      <w:r w:rsidR="00DA67A8" w:rsidRPr="00502B62">
        <w:t xml:space="preserve"> (MedLN representative data shown)</w:t>
      </w:r>
      <w:r w:rsidR="003224BE" w:rsidRPr="00502B62">
        <w:t>. After 3 days of co-culture with sorted DCs or media alone, OT-II cells were stained for the indicated markers and acquired on a flow cytometer to evaluate surface expression as (</w:t>
      </w:r>
      <w:r w:rsidR="003224BE" w:rsidRPr="00502B62">
        <w:rPr>
          <w:b/>
        </w:rPr>
        <w:t>B</w:t>
      </w:r>
      <w:r w:rsidR="003224BE" w:rsidRPr="00502B62">
        <w:t>) histograms</w:t>
      </w:r>
      <w:r w:rsidR="00DA67A8" w:rsidRPr="00502B62">
        <w:t xml:space="preserve"> of the </w:t>
      </w:r>
      <w:proofErr w:type="spellStart"/>
      <w:r w:rsidR="00DA67A8" w:rsidRPr="00502B62">
        <w:t>dLN</w:t>
      </w:r>
      <w:proofErr w:type="spellEnd"/>
      <w:r w:rsidR="003224BE" w:rsidRPr="00502B62">
        <w:t xml:space="preserve">, representative of at least three experimental repeats </w:t>
      </w:r>
      <w:r w:rsidR="003D484E" w:rsidRPr="00502B62">
        <w:t>after incubation with total CD11b</w:t>
      </w:r>
      <w:r w:rsidR="003D484E" w:rsidRPr="00502B62">
        <w:rPr>
          <w:vertAlign w:val="superscript"/>
        </w:rPr>
        <w:t>+</w:t>
      </w:r>
      <w:r w:rsidR="003D484E" w:rsidRPr="00502B62">
        <w:t xml:space="preserve"> DCs, </w:t>
      </w:r>
      <w:r w:rsidR="003224BE" w:rsidRPr="00502B62">
        <w:t>and (</w:t>
      </w:r>
      <w:r w:rsidR="003D484E" w:rsidRPr="00502B62">
        <w:rPr>
          <w:b/>
        </w:rPr>
        <w:t>C</w:t>
      </w:r>
      <w:r w:rsidR="003D484E" w:rsidRPr="00502B62">
        <w:t xml:space="preserve">) the percentage of cells </w:t>
      </w:r>
      <w:r w:rsidR="005A35C6">
        <w:t>that expressed both</w:t>
      </w:r>
      <w:r w:rsidR="003D484E" w:rsidRPr="00502B62">
        <w:t xml:space="preserve"> lung homing markers (CD49a and CXCR3) within the CD44</w:t>
      </w:r>
      <w:r w:rsidR="003D484E" w:rsidRPr="00502B62">
        <w:rPr>
          <w:vertAlign w:val="superscript"/>
        </w:rPr>
        <w:t>+</w:t>
      </w:r>
      <w:r w:rsidR="003D484E" w:rsidRPr="00502B62">
        <w:t xml:space="preserve"> OT-II gate, after incubation with OVA</w:t>
      </w:r>
      <w:r w:rsidR="003D484E" w:rsidRPr="00502B62">
        <w:rPr>
          <w:vertAlign w:val="superscript"/>
        </w:rPr>
        <w:t>+</w:t>
      </w:r>
      <w:r w:rsidR="003D484E" w:rsidRPr="00502B62">
        <w:t xml:space="preserve"> CD11b</w:t>
      </w:r>
      <w:r w:rsidR="003D484E" w:rsidRPr="00502B62">
        <w:rPr>
          <w:vertAlign w:val="superscript"/>
        </w:rPr>
        <w:t>+</w:t>
      </w:r>
      <w:r w:rsidR="003D484E" w:rsidRPr="00502B62">
        <w:t xml:space="preserve"> DCs. </w:t>
      </w:r>
      <w:r w:rsidR="003D484E" w:rsidRPr="00502B62">
        <w:rPr>
          <w:b/>
        </w:rPr>
        <w:t>(D)</w:t>
      </w:r>
      <w:r w:rsidR="003D484E" w:rsidRPr="00502B62">
        <w:t xml:space="preserve"> and </w:t>
      </w:r>
      <w:r w:rsidR="003D484E" w:rsidRPr="00502B62">
        <w:rPr>
          <w:b/>
        </w:rPr>
        <w:t>(E)</w:t>
      </w:r>
      <w:r w:rsidR="003D484E" w:rsidRPr="00502B62">
        <w:t xml:space="preserve"> BL6 mice were immunized and the </w:t>
      </w:r>
      <w:proofErr w:type="spellStart"/>
      <w:r w:rsidR="003D484E" w:rsidRPr="00502B62">
        <w:t>dLNs</w:t>
      </w:r>
      <w:proofErr w:type="spellEnd"/>
      <w:r w:rsidR="003D484E" w:rsidRPr="00502B62">
        <w:t xml:space="preserve"> were </w:t>
      </w:r>
      <w:proofErr w:type="spellStart"/>
      <w:r w:rsidR="003D484E" w:rsidRPr="00502B62">
        <w:t>analysed</w:t>
      </w:r>
      <w:proofErr w:type="spellEnd"/>
      <w:r w:rsidR="003D484E" w:rsidRPr="00502B62">
        <w:t xml:space="preserve"> directly </w:t>
      </w:r>
      <w:r w:rsidR="003D484E" w:rsidRPr="00502B62">
        <w:rPr>
          <w:i/>
        </w:rPr>
        <w:t>ex vivo</w:t>
      </w:r>
      <w:r w:rsidR="003D484E" w:rsidRPr="00502B62">
        <w:t xml:space="preserve"> by flow cytometry to determine the percentages </w:t>
      </w:r>
      <w:r w:rsidR="00DA67A8" w:rsidRPr="00502B62">
        <w:t xml:space="preserve">and phenotype </w:t>
      </w:r>
      <w:r w:rsidR="003D484E" w:rsidRPr="00502B62">
        <w:t xml:space="preserve">of </w:t>
      </w:r>
      <w:r w:rsidR="005A35C6">
        <w:t xml:space="preserve">endogenous </w:t>
      </w:r>
      <w:r w:rsidR="003D484E" w:rsidRPr="00502B62">
        <w:t xml:space="preserve">lung homing </w:t>
      </w:r>
      <w:r w:rsidR="005A35C6">
        <w:t>T</w:t>
      </w:r>
      <w:r w:rsidR="003D484E" w:rsidRPr="00502B62">
        <w:t xml:space="preserve"> cells. Representative gating for lung homing markers (CD49a and CXCR3) within the CD44</w:t>
      </w:r>
      <w:r w:rsidR="003D484E" w:rsidRPr="00502B62">
        <w:rPr>
          <w:vertAlign w:val="superscript"/>
        </w:rPr>
        <w:t>+</w:t>
      </w:r>
      <w:r w:rsidR="003D484E" w:rsidRPr="00502B62">
        <w:t xml:space="preserve"> </w:t>
      </w:r>
      <w:r w:rsidR="005A35C6">
        <w:t>CD</w:t>
      </w:r>
      <w:r w:rsidR="005A35C6" w:rsidRPr="00502B62">
        <w:t>4</w:t>
      </w:r>
      <w:r w:rsidR="005A35C6" w:rsidRPr="00502B62">
        <w:rPr>
          <w:vertAlign w:val="superscript"/>
        </w:rPr>
        <w:t>+</w:t>
      </w:r>
      <w:r w:rsidR="005A35C6" w:rsidRPr="00502B62">
        <w:t xml:space="preserve"> </w:t>
      </w:r>
      <w:r w:rsidR="005A35C6">
        <w:t xml:space="preserve">T cell </w:t>
      </w:r>
      <w:r w:rsidR="003D484E" w:rsidRPr="00502B62">
        <w:t xml:space="preserve">gate is shown in </w:t>
      </w:r>
      <w:r w:rsidR="003D484E" w:rsidRPr="00502B62">
        <w:rPr>
          <w:b/>
        </w:rPr>
        <w:t xml:space="preserve">(D) </w:t>
      </w:r>
      <w:r w:rsidR="003D484E" w:rsidRPr="00502B62">
        <w:t xml:space="preserve">at 3 days post-immunization, and in </w:t>
      </w:r>
      <w:r w:rsidR="003D484E" w:rsidRPr="00502B62">
        <w:rPr>
          <w:b/>
        </w:rPr>
        <w:t>(E)</w:t>
      </w:r>
      <w:r w:rsidR="003D484E" w:rsidRPr="00502B62">
        <w:t xml:space="preserve"> the bars represent the mean pooled from 2 experiments at the indicated time-points post-immunization, with individual mice shown as separate points, with SD error bars. P &lt; 0.05, *; </w:t>
      </w:r>
      <w:r w:rsidR="003D484E" w:rsidRPr="00502B62">
        <w:rPr>
          <w:rFonts w:cs="Times New Roman"/>
          <w:szCs w:val="24"/>
        </w:rPr>
        <w:t>P &lt; 0.01; **</w:t>
      </w:r>
      <w:r w:rsidR="003D484E" w:rsidRPr="00502B62">
        <w:t>, P &lt; 0.001; ***.</w:t>
      </w:r>
    </w:p>
    <w:p w14:paraId="3C14ADAB" w14:textId="77777777" w:rsidR="003224BE" w:rsidRPr="00502B62" w:rsidRDefault="003224BE" w:rsidP="003224BE">
      <w:pPr>
        <w:spacing w:before="240"/>
        <w:jc w:val="both"/>
      </w:pPr>
    </w:p>
    <w:p w14:paraId="7B65BC41" w14:textId="7485622F" w:rsidR="000103A6" w:rsidRPr="00502B62" w:rsidRDefault="000103A6" w:rsidP="00654E8F">
      <w:pPr>
        <w:spacing w:before="240"/>
        <w:rPr>
          <w:rFonts w:cs="Times New Roman"/>
          <w:szCs w:val="24"/>
        </w:rPr>
      </w:pPr>
    </w:p>
    <w:p w14:paraId="1772A9EB" w14:textId="4F3DE9AF" w:rsidR="000103A6" w:rsidRPr="00502B62" w:rsidRDefault="000103A6">
      <w:pPr>
        <w:spacing w:before="0" w:after="200" w:line="276" w:lineRule="auto"/>
        <w:rPr>
          <w:rFonts w:cs="Times New Roman"/>
          <w:szCs w:val="24"/>
        </w:rPr>
      </w:pPr>
    </w:p>
    <w:p w14:paraId="0C9E54CD" w14:textId="392B0A4A" w:rsidR="000103A6" w:rsidRPr="00502B62" w:rsidRDefault="000103A6" w:rsidP="000103A6">
      <w:pPr>
        <w:spacing w:before="240"/>
        <w:rPr>
          <w:rFonts w:cs="Times New Roman"/>
          <w:b/>
          <w:szCs w:val="24"/>
        </w:rPr>
      </w:pPr>
      <w:r w:rsidRPr="00502B62">
        <w:rPr>
          <w:noProof/>
        </w:rPr>
        <w:drawing>
          <wp:inline distT="0" distB="0" distL="0" distR="0" wp14:anchorId="43369784" wp14:editId="0303C10A">
            <wp:extent cx="5704764" cy="4817356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124" cy="48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B2BB" w14:textId="0EB3F572" w:rsidR="003224BE" w:rsidRPr="00502B62" w:rsidRDefault="000103A6" w:rsidP="003224BE">
      <w:pPr>
        <w:spacing w:before="240"/>
        <w:jc w:val="both"/>
      </w:pPr>
      <w:r w:rsidRPr="00502B62">
        <w:rPr>
          <w:rFonts w:cs="Times New Roman"/>
          <w:b/>
          <w:szCs w:val="24"/>
        </w:rPr>
        <w:t>Supplementary Figure 3.</w:t>
      </w:r>
      <w:r w:rsidRPr="00502B62">
        <w:rPr>
          <w:rFonts w:cs="Times New Roman"/>
          <w:szCs w:val="24"/>
        </w:rPr>
        <w:t xml:space="preserve"> </w:t>
      </w:r>
      <w:r w:rsidR="003224BE" w:rsidRPr="00502B62">
        <w:rPr>
          <w:b/>
          <w:bCs/>
        </w:rPr>
        <w:t>Preliminary gating strategy and additional</w:t>
      </w:r>
      <w:r w:rsidR="005A35C6">
        <w:rPr>
          <w:b/>
          <w:bCs/>
        </w:rPr>
        <w:t xml:space="preserve"> </w:t>
      </w:r>
      <w:r w:rsidR="005A35C6" w:rsidRPr="00221E54">
        <w:rPr>
          <w:b/>
          <w:bCs/>
          <w:i/>
        </w:rPr>
        <w:t>ex vivo</w:t>
      </w:r>
      <w:r w:rsidR="003224BE" w:rsidRPr="00502B62">
        <w:rPr>
          <w:b/>
          <w:bCs/>
        </w:rPr>
        <w:t xml:space="preserve"> homing marker analyses of adoptively transferred OT-II cells </w:t>
      </w:r>
      <w:r w:rsidR="003224BE" w:rsidRPr="00502B62">
        <w:t>(</w:t>
      </w:r>
      <w:r w:rsidR="003224BE" w:rsidRPr="00502B62">
        <w:rPr>
          <w:b/>
        </w:rPr>
        <w:t>A-B</w:t>
      </w:r>
      <w:r w:rsidR="003224BE" w:rsidRPr="00502B62">
        <w:t xml:space="preserve">) OT-II cells were activated </w:t>
      </w:r>
      <w:r w:rsidR="003224BE" w:rsidRPr="00502B62">
        <w:rPr>
          <w:i/>
          <w:iCs/>
        </w:rPr>
        <w:t xml:space="preserve">in vitro </w:t>
      </w:r>
      <w:r w:rsidR="003224BE" w:rsidRPr="00502B62">
        <w:t xml:space="preserve">via co-culture </w:t>
      </w:r>
      <w:r w:rsidR="00DA67A8" w:rsidRPr="00502B62">
        <w:t xml:space="preserve">for 3 days </w:t>
      </w:r>
      <w:r w:rsidR="003224BE" w:rsidRPr="00502B62">
        <w:t>with sorted MedLN or ILN CD11b</w:t>
      </w:r>
      <w:r w:rsidR="003224BE" w:rsidRPr="00502B62">
        <w:rPr>
          <w:vertAlign w:val="superscript"/>
        </w:rPr>
        <w:t>+</w:t>
      </w:r>
      <w:r w:rsidR="003224BE" w:rsidRPr="00502B62">
        <w:t xml:space="preserve"> DCs from i.n. or i.m. immunized mice, then transferred into naïve Rag2-/- mice (n = 6 per DC co-culture type). After 18 hours, the indicated organs of these recipient mice were removed and characterized by flow cytometry, as described in </w:t>
      </w:r>
      <w:r w:rsidR="0034764D" w:rsidRPr="00502B62">
        <w:t>(</w:t>
      </w:r>
      <w:r w:rsidR="0034764D" w:rsidRPr="00502B62">
        <w:rPr>
          <w:b/>
        </w:rPr>
        <w:t>Figure</w:t>
      </w:r>
      <w:r w:rsidR="003224BE" w:rsidRPr="00502B62">
        <w:rPr>
          <w:b/>
        </w:rPr>
        <w:t xml:space="preserve"> 3</w:t>
      </w:r>
      <w:r w:rsidR="0034764D" w:rsidRPr="00502B62">
        <w:t>)</w:t>
      </w:r>
      <w:r w:rsidR="003224BE" w:rsidRPr="00502B62">
        <w:t xml:space="preserve"> and the Materials and Methods. The preliminary steps of the flow cytometry gating strategy shown in (</w:t>
      </w:r>
      <w:r w:rsidR="003224BE" w:rsidRPr="00502B62">
        <w:rPr>
          <w:b/>
        </w:rPr>
        <w:t>A</w:t>
      </w:r>
      <w:r w:rsidR="003224BE" w:rsidRPr="00502B62">
        <w:t xml:space="preserve">) were used to exclude debris, remaining red blood cells, and dead cells, followed by the gating strategy shown in the Results Section </w:t>
      </w:r>
      <w:r w:rsidR="0034764D" w:rsidRPr="00502B62">
        <w:t>(</w:t>
      </w:r>
      <w:r w:rsidR="003224BE" w:rsidRPr="00502B62">
        <w:rPr>
          <w:b/>
        </w:rPr>
        <w:t>Figure 3B</w:t>
      </w:r>
      <w:r w:rsidR="0034764D" w:rsidRPr="00502B62">
        <w:t>).</w:t>
      </w:r>
      <w:r w:rsidR="003224BE" w:rsidRPr="00502B62">
        <w:t xml:space="preserve"> Cell numbers in each sample could be accurately calculated using latex bead controls that were added during the staining procedure. (</w:t>
      </w:r>
      <w:r w:rsidR="003224BE" w:rsidRPr="00502B62">
        <w:rPr>
          <w:b/>
        </w:rPr>
        <w:t>B</w:t>
      </w:r>
      <w:r w:rsidR="003224BE" w:rsidRPr="00502B62">
        <w:t>) shows the expression levels of CXCR4 of activated OT-II cells in recipient Rag2-/- mice at 18 hours post transfer, which were compared using a one-way ANOVA with post-test of pooled data from two independent experiments.</w:t>
      </w:r>
      <w:r w:rsidR="003224BE" w:rsidRPr="00502B62">
        <w:rPr>
          <w:lang w:val="en-CA"/>
        </w:rPr>
        <w:t xml:space="preserve"> P &lt; 0.05; *.</w:t>
      </w:r>
    </w:p>
    <w:p w14:paraId="3127F26C" w14:textId="3C43C1A5" w:rsidR="000103A6" w:rsidRPr="00502B62" w:rsidRDefault="000103A6" w:rsidP="000103A6">
      <w:pPr>
        <w:spacing w:before="240"/>
        <w:rPr>
          <w:rFonts w:cs="Times New Roman"/>
          <w:b/>
          <w:szCs w:val="24"/>
        </w:rPr>
      </w:pPr>
    </w:p>
    <w:p w14:paraId="36D27D5B" w14:textId="153ABBCA" w:rsidR="000103A6" w:rsidRPr="00502B62" w:rsidRDefault="000103A6" w:rsidP="00DD77C5">
      <w:pPr>
        <w:spacing w:before="240"/>
        <w:jc w:val="center"/>
        <w:rPr>
          <w:rFonts w:cs="Times New Roman"/>
          <w:b/>
          <w:szCs w:val="24"/>
        </w:rPr>
      </w:pPr>
      <w:r w:rsidRPr="00502B62">
        <w:br w:type="page"/>
      </w:r>
      <w:r w:rsidR="0081578A" w:rsidRPr="00502B62">
        <w:rPr>
          <w:noProof/>
        </w:rPr>
        <w:lastRenderedPageBreak/>
        <w:drawing>
          <wp:inline distT="0" distB="0" distL="0" distR="0" wp14:anchorId="16147902" wp14:editId="38072F93">
            <wp:extent cx="5720316" cy="389723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2648" cy="38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78A" w:rsidRPr="00502B62">
        <w:rPr>
          <w:noProof/>
        </w:rPr>
        <w:drawing>
          <wp:inline distT="0" distB="0" distL="0" distR="0" wp14:anchorId="24B89924" wp14:editId="399C300C">
            <wp:extent cx="6081823" cy="18938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251" cy="18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D87C" w14:textId="50647C51" w:rsidR="000103A6" w:rsidRPr="00502B62" w:rsidRDefault="000103A6" w:rsidP="003D484E">
      <w:pPr>
        <w:spacing w:before="240"/>
        <w:jc w:val="both"/>
      </w:pPr>
      <w:r w:rsidRPr="00502B62">
        <w:rPr>
          <w:rFonts w:cs="Times New Roman"/>
          <w:b/>
          <w:szCs w:val="24"/>
        </w:rPr>
        <w:t>Supplementary Figure</w:t>
      </w:r>
      <w:r w:rsidR="003224BE" w:rsidRPr="00502B62">
        <w:rPr>
          <w:rFonts w:cs="Times New Roman"/>
          <w:b/>
          <w:szCs w:val="24"/>
        </w:rPr>
        <w:t xml:space="preserve"> </w:t>
      </w:r>
      <w:r w:rsidRPr="00502B62">
        <w:rPr>
          <w:rFonts w:cs="Times New Roman"/>
          <w:b/>
          <w:szCs w:val="24"/>
        </w:rPr>
        <w:t>4.</w:t>
      </w:r>
      <w:r w:rsidRPr="00502B62">
        <w:rPr>
          <w:rFonts w:cs="Times New Roman"/>
          <w:szCs w:val="24"/>
        </w:rPr>
        <w:t xml:space="preserve"> </w:t>
      </w:r>
      <w:r w:rsidR="003224BE" w:rsidRPr="00502B62">
        <w:rPr>
          <w:b/>
          <w:bCs/>
        </w:rPr>
        <w:t xml:space="preserve">Absolute size and surface marker expression kinetics of DC subsets from different draining LNs. </w:t>
      </w:r>
      <w:r w:rsidR="003D484E" w:rsidRPr="00502B62">
        <w:rPr>
          <w:bCs/>
        </w:rPr>
        <w:t xml:space="preserve">Mice were immunized by the i.n. or i.m. route with fluorescent OVA/Poly(I:C) and </w:t>
      </w:r>
      <w:proofErr w:type="spellStart"/>
      <w:r w:rsidR="003D484E" w:rsidRPr="00502B62">
        <w:rPr>
          <w:bCs/>
        </w:rPr>
        <w:t>dLNs</w:t>
      </w:r>
      <w:proofErr w:type="spellEnd"/>
      <w:r w:rsidR="003D484E" w:rsidRPr="00502B62">
        <w:rPr>
          <w:bCs/>
        </w:rPr>
        <w:t xml:space="preserve"> were harvested 24h later and either stained, sorted, or rested as indicated. </w:t>
      </w:r>
      <w:r w:rsidR="003D484E" w:rsidRPr="00502B62">
        <w:t>(</w:t>
      </w:r>
      <w:r w:rsidR="003D484E" w:rsidRPr="00502B62">
        <w:rPr>
          <w:b/>
        </w:rPr>
        <w:t>A</w:t>
      </w:r>
      <w:r w:rsidR="003D484E" w:rsidRPr="00502B62">
        <w:t xml:space="preserve">) DC subsets were sorted and rested overnight in complete media. The graph shows the absolute size of </w:t>
      </w:r>
      <w:r w:rsidR="003D484E" w:rsidRPr="00502B62">
        <w:tab/>
        <w:t xml:space="preserve"> DCs as measured by an image based cytometer. Each image acquisition contained 200 to 375 cells or control beads per sample, and data represents one of two independent experiments. </w:t>
      </w:r>
      <w:bookmarkStart w:id="1" w:name="OLE_LINK1"/>
      <w:r w:rsidR="003D484E" w:rsidRPr="00502B62">
        <w:t>(</w:t>
      </w:r>
      <w:r w:rsidR="003D484E" w:rsidRPr="00502B62">
        <w:rPr>
          <w:b/>
        </w:rPr>
        <w:t>B-E</w:t>
      </w:r>
      <w:r w:rsidR="003D484E" w:rsidRPr="00502B62">
        <w:t>)</w:t>
      </w:r>
      <w:bookmarkEnd w:id="1"/>
      <w:r w:rsidR="003D484E" w:rsidRPr="00502B62">
        <w:t xml:space="preserve"> Mice were immunized </w:t>
      </w:r>
      <w:r w:rsidR="003D484E" w:rsidRPr="00502B62">
        <w:rPr>
          <w:bCs/>
        </w:rPr>
        <w:t>by the i.n. or i.m. route with fluorescent OVA/</w:t>
      </w:r>
      <w:proofErr w:type="gramStart"/>
      <w:r w:rsidR="003D484E" w:rsidRPr="00502B62">
        <w:rPr>
          <w:bCs/>
        </w:rPr>
        <w:t>Poly(</w:t>
      </w:r>
      <w:proofErr w:type="gramEnd"/>
      <w:r w:rsidR="003D484E" w:rsidRPr="00502B62">
        <w:rPr>
          <w:bCs/>
        </w:rPr>
        <w:t xml:space="preserve">I:C) and </w:t>
      </w:r>
      <w:proofErr w:type="spellStart"/>
      <w:r w:rsidR="003D484E" w:rsidRPr="00502B62">
        <w:rPr>
          <w:bCs/>
        </w:rPr>
        <w:t>dLNs</w:t>
      </w:r>
      <w:proofErr w:type="spellEnd"/>
      <w:r w:rsidR="003D484E" w:rsidRPr="00502B62">
        <w:rPr>
          <w:bCs/>
        </w:rPr>
        <w:t xml:space="preserve"> were harvested</w:t>
      </w:r>
      <w:r w:rsidR="003D484E" w:rsidRPr="00502B62">
        <w:t xml:space="preserve"> at 24h (</w:t>
      </w:r>
      <w:r w:rsidR="003D484E" w:rsidRPr="00502B62">
        <w:rPr>
          <w:b/>
        </w:rPr>
        <w:t>C, D, E, F</w:t>
      </w:r>
      <w:r w:rsidR="003D484E" w:rsidRPr="00502B62">
        <w:t>), 48h (</w:t>
      </w:r>
      <w:r w:rsidR="003D484E" w:rsidRPr="00502B62">
        <w:rPr>
          <w:b/>
        </w:rPr>
        <w:t>C</w:t>
      </w:r>
      <w:r w:rsidR="003D484E" w:rsidRPr="00502B62">
        <w:t>), or 72h (</w:t>
      </w:r>
      <w:r w:rsidR="003D484E" w:rsidRPr="00502B62">
        <w:rPr>
          <w:b/>
        </w:rPr>
        <w:t xml:space="preserve">B </w:t>
      </w:r>
      <w:r w:rsidR="003D484E" w:rsidRPr="00502B62">
        <w:t>and</w:t>
      </w:r>
      <w:r w:rsidR="003D484E" w:rsidRPr="00502B62">
        <w:rPr>
          <w:b/>
        </w:rPr>
        <w:t xml:space="preserve"> C</w:t>
      </w:r>
      <w:r w:rsidR="003D484E" w:rsidRPr="00502B62">
        <w:t xml:space="preserve">) post immunization as indicated, and </w:t>
      </w:r>
      <w:r w:rsidR="005A35C6">
        <w:t xml:space="preserve">these figures </w:t>
      </w:r>
      <w:r w:rsidR="003D484E" w:rsidRPr="00502B62">
        <w:t>show the net gMFI of the indicated surface markers of OVA</w:t>
      </w:r>
      <w:r w:rsidR="003D484E" w:rsidRPr="00502B62">
        <w:rPr>
          <w:vertAlign w:val="superscript"/>
        </w:rPr>
        <w:t>+</w:t>
      </w:r>
      <w:r w:rsidR="003D484E" w:rsidRPr="00502B62">
        <w:t xml:space="preserve"> CD11b</w:t>
      </w:r>
      <w:r w:rsidR="003D484E" w:rsidRPr="00502B62">
        <w:rPr>
          <w:vertAlign w:val="superscript"/>
        </w:rPr>
        <w:t>+</w:t>
      </w:r>
      <w:r w:rsidR="003D484E" w:rsidRPr="00502B62">
        <w:t xml:space="preserve"> DCs for (</w:t>
      </w:r>
      <w:r w:rsidR="003D484E" w:rsidRPr="00502B62">
        <w:rPr>
          <w:b/>
        </w:rPr>
        <w:t>B</w:t>
      </w:r>
      <w:r w:rsidR="003D484E" w:rsidRPr="00502B62">
        <w:t xml:space="preserve">, </w:t>
      </w:r>
      <w:r w:rsidR="003D484E" w:rsidRPr="00502B62">
        <w:rPr>
          <w:b/>
        </w:rPr>
        <w:t>D</w:t>
      </w:r>
      <w:r w:rsidR="003D484E" w:rsidRPr="00502B62">
        <w:t xml:space="preserve">, </w:t>
      </w:r>
      <w:r w:rsidR="003D484E" w:rsidRPr="00502B62">
        <w:rPr>
          <w:b/>
        </w:rPr>
        <w:t>E</w:t>
      </w:r>
      <w:r w:rsidR="003D484E" w:rsidRPr="00502B62">
        <w:t>) pools of draining LN suspensions, or (</w:t>
      </w:r>
      <w:r w:rsidR="003D484E" w:rsidRPr="00502B62">
        <w:rPr>
          <w:b/>
        </w:rPr>
        <w:t>C</w:t>
      </w:r>
      <w:r w:rsidR="003D484E" w:rsidRPr="00502B62">
        <w:t xml:space="preserve">) individual mice. </w:t>
      </w:r>
      <w:r w:rsidR="0081578A" w:rsidRPr="00502B62">
        <w:t>One of two</w:t>
      </w:r>
      <w:r w:rsidR="003D484E" w:rsidRPr="00502B62">
        <w:t xml:space="preserve"> representative experiments shown. In (</w:t>
      </w:r>
      <w:r w:rsidR="003D484E" w:rsidRPr="00502B62">
        <w:rPr>
          <w:b/>
        </w:rPr>
        <w:t>C</w:t>
      </w:r>
      <w:r w:rsidR="003D484E" w:rsidRPr="00502B62">
        <w:t>), S.D. error bars, and statistical differences were calculated using a one-way ANOVA with post-test. (</w:t>
      </w:r>
      <w:r w:rsidR="003D484E" w:rsidRPr="00502B62">
        <w:rPr>
          <w:b/>
        </w:rPr>
        <w:t>D</w:t>
      </w:r>
      <w:proofErr w:type="gramStart"/>
      <w:r w:rsidR="003D484E" w:rsidRPr="00502B62">
        <w:t>,</w:t>
      </w:r>
      <w:r w:rsidR="003D484E" w:rsidRPr="00502B62">
        <w:rPr>
          <w:b/>
        </w:rPr>
        <w:t>E</w:t>
      </w:r>
      <w:proofErr w:type="gramEnd"/>
      <w:r w:rsidR="003D484E" w:rsidRPr="00502B62">
        <w:t>) represent one of two independent experiments with similar results. (</w:t>
      </w:r>
      <w:r w:rsidR="003D484E" w:rsidRPr="00502B62">
        <w:rPr>
          <w:b/>
        </w:rPr>
        <w:t>F</w:t>
      </w:r>
      <w:r w:rsidR="003D484E" w:rsidRPr="00502B62">
        <w:t xml:space="preserve">) </w:t>
      </w:r>
      <w:proofErr w:type="gramStart"/>
      <w:r w:rsidR="003D484E" w:rsidRPr="00502B62">
        <w:t>shows</w:t>
      </w:r>
      <w:proofErr w:type="gramEnd"/>
      <w:r w:rsidR="003D484E" w:rsidRPr="00502B62">
        <w:t xml:space="preserve"> histograms of individual marker expression for each of the 9 t-SNE gates described in (</w:t>
      </w:r>
      <w:r w:rsidR="003D484E" w:rsidRPr="00502B62">
        <w:rPr>
          <w:b/>
        </w:rPr>
        <w:t>Figure 4</w:t>
      </w:r>
      <w:r w:rsidR="003D484E" w:rsidRPr="00502B62">
        <w:t xml:space="preserve">). </w:t>
      </w:r>
      <w:r w:rsidR="003D484E" w:rsidRPr="00502B62">
        <w:rPr>
          <w:lang w:val="en-CA"/>
        </w:rPr>
        <w:t>P &gt; 0.05; ‘ns’, not significant, P &lt; 0.05; *, P &lt; 0.01; **, P &lt; 0.001; ***.</w:t>
      </w:r>
    </w:p>
    <w:p w14:paraId="41EBA92C" w14:textId="6B19AD63" w:rsidR="000103A6" w:rsidRPr="00502B62" w:rsidRDefault="000103A6">
      <w:pPr>
        <w:spacing w:before="0" w:after="200" w:line="276" w:lineRule="auto"/>
      </w:pPr>
    </w:p>
    <w:p w14:paraId="46CB03AC" w14:textId="5BDB6711" w:rsidR="000103A6" w:rsidRPr="00502B62" w:rsidRDefault="003D484E" w:rsidP="000103A6">
      <w:pPr>
        <w:spacing w:before="240"/>
        <w:rPr>
          <w:rFonts w:cs="Times New Roman"/>
          <w:b/>
          <w:szCs w:val="24"/>
        </w:rPr>
      </w:pPr>
      <w:r w:rsidRPr="00502B62">
        <w:rPr>
          <w:noProof/>
        </w:rPr>
        <w:drawing>
          <wp:inline distT="0" distB="0" distL="0" distR="0" wp14:anchorId="0AC0AA7D" wp14:editId="1C594498">
            <wp:extent cx="6005015" cy="50914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8977" cy="50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9D65" w14:textId="3B1C9ED4" w:rsidR="003224BE" w:rsidRPr="00502B62" w:rsidRDefault="000103A6" w:rsidP="003224BE">
      <w:pPr>
        <w:spacing w:before="240"/>
        <w:jc w:val="both"/>
      </w:pPr>
      <w:r w:rsidRPr="00502B62">
        <w:rPr>
          <w:rFonts w:cs="Times New Roman"/>
          <w:b/>
          <w:szCs w:val="24"/>
        </w:rPr>
        <w:t>Supplementary Figure</w:t>
      </w:r>
      <w:r w:rsidR="003224BE" w:rsidRPr="00502B62">
        <w:rPr>
          <w:rFonts w:cs="Times New Roman"/>
          <w:b/>
          <w:szCs w:val="24"/>
        </w:rPr>
        <w:t xml:space="preserve"> 5</w:t>
      </w:r>
      <w:r w:rsidRPr="00502B62">
        <w:rPr>
          <w:rFonts w:cs="Times New Roman"/>
          <w:b/>
          <w:szCs w:val="24"/>
        </w:rPr>
        <w:t>.</w:t>
      </w:r>
      <w:r w:rsidRPr="00502B62">
        <w:rPr>
          <w:rFonts w:cs="Times New Roman"/>
          <w:szCs w:val="24"/>
        </w:rPr>
        <w:t xml:space="preserve"> </w:t>
      </w:r>
      <w:r w:rsidR="003224BE" w:rsidRPr="00502B62">
        <w:rPr>
          <w:b/>
          <w:bCs/>
        </w:rPr>
        <w:t xml:space="preserve">Contribution of individual DC surface markers to the activation of lung homing T cells </w:t>
      </w:r>
      <w:r w:rsidR="003224BE" w:rsidRPr="00502B62">
        <w:rPr>
          <w:b/>
          <w:bCs/>
          <w:i/>
          <w:iCs/>
        </w:rPr>
        <w:t>in vitro</w:t>
      </w:r>
      <w:r w:rsidR="003224BE" w:rsidRPr="00502B62">
        <w:rPr>
          <w:b/>
          <w:bCs/>
        </w:rPr>
        <w:t xml:space="preserve">, and also to LN site-specific molecular signatures </w:t>
      </w:r>
      <w:r w:rsidR="003224BE" w:rsidRPr="00502B62">
        <w:t>(</w:t>
      </w:r>
      <w:r w:rsidR="003224BE" w:rsidRPr="00502B62">
        <w:rPr>
          <w:b/>
        </w:rPr>
        <w:t>A</w:t>
      </w:r>
      <w:r w:rsidR="003224BE" w:rsidRPr="00502B62">
        <w:t>) shows the effect of incubating mAbs with OVA</w:t>
      </w:r>
      <w:r w:rsidR="003224BE" w:rsidRPr="00502B62">
        <w:rPr>
          <w:vertAlign w:val="superscript"/>
        </w:rPr>
        <w:t>+</w:t>
      </w:r>
      <w:r w:rsidR="003224BE" w:rsidRPr="00502B62">
        <w:t xml:space="preserve"> CD11b</w:t>
      </w:r>
      <w:r w:rsidR="003224BE" w:rsidRPr="00502B62">
        <w:rPr>
          <w:vertAlign w:val="superscript"/>
        </w:rPr>
        <w:t>+</w:t>
      </w:r>
      <w:r w:rsidR="003224BE" w:rsidRPr="00502B62">
        <w:t xml:space="preserve"> DCs sorted from the draining MedLN one day after i.n. immunization, on </w:t>
      </w:r>
      <w:r w:rsidR="003224BE" w:rsidRPr="00502B62">
        <w:rPr>
          <w:i/>
          <w:iCs/>
        </w:rPr>
        <w:t xml:space="preserve">in vitro </w:t>
      </w:r>
      <w:r w:rsidR="003224BE" w:rsidRPr="00502B62">
        <w:t>activation of OT-II that co-express lung homing markers CXCR3 and CD49a, compared to after DC incubation with isotype control Abs. A single sample t test was used to determine whether the reduction was significant compared to the expected value of 100% for the isotype control. (</w:t>
      </w:r>
      <w:r w:rsidR="003224BE" w:rsidRPr="00502B62">
        <w:rPr>
          <w:b/>
        </w:rPr>
        <w:t>B</w:t>
      </w:r>
      <w:r w:rsidR="003224BE" w:rsidRPr="00502B62">
        <w:t xml:space="preserve">) </w:t>
      </w:r>
      <w:proofErr w:type="gramStart"/>
      <w:r w:rsidR="003224BE" w:rsidRPr="00502B62">
        <w:t>shows</w:t>
      </w:r>
      <w:proofErr w:type="gramEnd"/>
      <w:r w:rsidR="003224BE" w:rsidRPr="00502B62">
        <w:t xml:space="preserve"> a Principal Component Analysis plot and its associated component loading matrix, based on equal numbers of OVA</w:t>
      </w:r>
      <w:r w:rsidR="003224BE" w:rsidRPr="00502B62">
        <w:rPr>
          <w:vertAlign w:val="superscript"/>
        </w:rPr>
        <w:t>+</w:t>
      </w:r>
      <w:r w:rsidR="003224BE" w:rsidRPr="00502B62">
        <w:t xml:space="preserve"> CD11b</w:t>
      </w:r>
      <w:r w:rsidR="003224BE" w:rsidRPr="00502B62">
        <w:rPr>
          <w:vertAlign w:val="superscript"/>
        </w:rPr>
        <w:t>+</w:t>
      </w:r>
      <w:r w:rsidR="003224BE" w:rsidRPr="00502B62">
        <w:t xml:space="preserve"> DCs from the ILN and MedLN. Data represents one of two independent experiments with similar results. </w:t>
      </w:r>
      <w:r w:rsidR="003D484E" w:rsidRPr="00502B62">
        <w:rPr>
          <w:lang w:val="en-CA"/>
        </w:rPr>
        <w:t>(</w:t>
      </w:r>
      <w:r w:rsidR="003D484E" w:rsidRPr="00502B62">
        <w:rPr>
          <w:b/>
          <w:lang w:val="en-CA"/>
        </w:rPr>
        <w:t>C</w:t>
      </w:r>
      <w:r w:rsidR="003D484E" w:rsidRPr="00502B62">
        <w:rPr>
          <w:lang w:val="en-CA"/>
        </w:rPr>
        <w:t>) shows the percentages of CXCR3</w:t>
      </w:r>
      <w:r w:rsidR="003D484E" w:rsidRPr="00502B62">
        <w:rPr>
          <w:vertAlign w:val="superscript"/>
          <w:lang w:val="en-CA"/>
        </w:rPr>
        <w:t>+</w:t>
      </w:r>
      <w:r w:rsidR="003D484E" w:rsidRPr="00502B62">
        <w:rPr>
          <w:lang w:val="en-CA"/>
        </w:rPr>
        <w:t xml:space="preserve"> CD49a</w:t>
      </w:r>
      <w:r w:rsidR="003D484E" w:rsidRPr="00502B62">
        <w:rPr>
          <w:vertAlign w:val="superscript"/>
          <w:lang w:val="en-CA"/>
        </w:rPr>
        <w:t>+</w:t>
      </w:r>
      <w:r w:rsidR="003D484E" w:rsidRPr="00502B62">
        <w:rPr>
          <w:lang w:val="en-CA"/>
        </w:rPr>
        <w:t xml:space="preserve"> cells within the CD44</w:t>
      </w:r>
      <w:r w:rsidR="003D484E" w:rsidRPr="00502B62">
        <w:rPr>
          <w:vertAlign w:val="superscript"/>
          <w:lang w:val="en-CA"/>
        </w:rPr>
        <w:t>+</w:t>
      </w:r>
      <w:r w:rsidR="003D484E" w:rsidRPr="00502B62">
        <w:rPr>
          <w:lang w:val="en-CA"/>
        </w:rPr>
        <w:t xml:space="preserve"> gate of OT-II cells after 3 days of co-culture with either cytometry-sorted CD24</w:t>
      </w:r>
      <w:r w:rsidR="003D484E" w:rsidRPr="00502B62">
        <w:rPr>
          <w:vertAlign w:val="superscript"/>
          <w:lang w:val="en-CA"/>
        </w:rPr>
        <w:t>+</w:t>
      </w:r>
      <w:r w:rsidR="003D484E" w:rsidRPr="00502B62">
        <w:rPr>
          <w:lang w:val="en-CA"/>
        </w:rPr>
        <w:t xml:space="preserve"> or CD24</w:t>
      </w:r>
      <w:r w:rsidR="003D484E" w:rsidRPr="00502B62">
        <w:rPr>
          <w:vertAlign w:val="superscript"/>
          <w:lang w:val="en-CA"/>
        </w:rPr>
        <w:t>-</w:t>
      </w:r>
      <w:r w:rsidR="003D484E" w:rsidRPr="00502B62">
        <w:rPr>
          <w:lang w:val="en-CA"/>
        </w:rPr>
        <w:t xml:space="preserve"> OVA</w:t>
      </w:r>
      <w:r w:rsidR="003D484E" w:rsidRPr="00502B62">
        <w:rPr>
          <w:vertAlign w:val="superscript"/>
          <w:lang w:val="en-CA"/>
        </w:rPr>
        <w:t>+</w:t>
      </w:r>
      <w:r w:rsidR="003D484E" w:rsidRPr="00502B62">
        <w:rPr>
          <w:lang w:val="en-CA"/>
        </w:rPr>
        <w:t xml:space="preserve"> CD11b</w:t>
      </w:r>
      <w:r w:rsidR="003D484E" w:rsidRPr="00502B62">
        <w:rPr>
          <w:vertAlign w:val="superscript"/>
          <w:lang w:val="en-CA"/>
        </w:rPr>
        <w:t>+</w:t>
      </w:r>
      <w:r w:rsidR="003D484E" w:rsidRPr="00502B62">
        <w:rPr>
          <w:lang w:val="en-CA"/>
        </w:rPr>
        <w:t xml:space="preserve"> DCs from the </w:t>
      </w:r>
      <w:proofErr w:type="spellStart"/>
      <w:r w:rsidR="003D484E" w:rsidRPr="00502B62">
        <w:rPr>
          <w:lang w:val="en-CA"/>
        </w:rPr>
        <w:t>dLNs</w:t>
      </w:r>
      <w:proofErr w:type="spellEnd"/>
      <w:r w:rsidR="003D484E" w:rsidRPr="00502B62">
        <w:rPr>
          <w:lang w:val="en-CA"/>
        </w:rPr>
        <w:t xml:space="preserve"> of mice that had been immunized 24h earlier with fluorescent OVA/Poly(I:C) via the i.m. or i.n. rout</w:t>
      </w:r>
      <w:r w:rsidR="00DA67A8" w:rsidRPr="00502B62">
        <w:rPr>
          <w:lang w:val="en-CA"/>
        </w:rPr>
        <w:t>e. (</w:t>
      </w:r>
      <w:r w:rsidR="00DA67A8" w:rsidRPr="00502B62">
        <w:rPr>
          <w:b/>
          <w:lang w:val="en-CA"/>
        </w:rPr>
        <w:t>A</w:t>
      </w:r>
      <w:r w:rsidR="00DA67A8" w:rsidRPr="00502B62">
        <w:rPr>
          <w:lang w:val="en-CA"/>
        </w:rPr>
        <w:t xml:space="preserve"> – </w:t>
      </w:r>
      <w:r w:rsidR="00DA67A8" w:rsidRPr="00502B62">
        <w:rPr>
          <w:b/>
          <w:lang w:val="en-CA"/>
        </w:rPr>
        <w:t>C</w:t>
      </w:r>
      <w:r w:rsidR="00DA67A8" w:rsidRPr="00502B62">
        <w:rPr>
          <w:lang w:val="en-CA"/>
        </w:rPr>
        <w:t xml:space="preserve">) Data is representative of at least 3 independent experiments, </w:t>
      </w:r>
      <w:r w:rsidR="003224BE" w:rsidRPr="00502B62">
        <w:rPr>
          <w:lang w:val="en-CA"/>
        </w:rPr>
        <w:t>P &gt; 0.05; ‘ns’, not significant.</w:t>
      </w:r>
    </w:p>
    <w:p w14:paraId="7558BD77" w14:textId="090845AC" w:rsidR="000103A6" w:rsidRPr="00502B62" w:rsidRDefault="000103A6" w:rsidP="000103A6">
      <w:pPr>
        <w:spacing w:before="240"/>
      </w:pPr>
    </w:p>
    <w:p w14:paraId="158A1A0A" w14:textId="0BE66C48" w:rsidR="000103A6" w:rsidRPr="00502B62" w:rsidRDefault="000103A6" w:rsidP="000103A6">
      <w:pPr>
        <w:spacing w:before="240"/>
        <w:rPr>
          <w:rFonts w:cs="Times New Roman"/>
          <w:b/>
          <w:szCs w:val="24"/>
        </w:rPr>
      </w:pPr>
      <w:r w:rsidRPr="00502B62">
        <w:br w:type="page"/>
      </w:r>
      <w:r w:rsidR="002A1FC2" w:rsidRPr="00502B62">
        <w:rPr>
          <w:noProof/>
        </w:rPr>
        <w:lastRenderedPageBreak/>
        <w:drawing>
          <wp:inline distT="0" distB="0" distL="0" distR="0" wp14:anchorId="2CB26AE0" wp14:editId="66824300">
            <wp:extent cx="6858000" cy="53930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DDB9B" w14:textId="56D50FE9" w:rsidR="003224BE" w:rsidRPr="00502B62" w:rsidRDefault="000103A6" w:rsidP="003224BE">
      <w:pPr>
        <w:spacing w:before="240"/>
        <w:jc w:val="both"/>
      </w:pPr>
      <w:r w:rsidRPr="00502B62">
        <w:rPr>
          <w:rFonts w:cs="Times New Roman"/>
          <w:b/>
          <w:szCs w:val="24"/>
        </w:rPr>
        <w:t>Supplementary Figure</w:t>
      </w:r>
      <w:r w:rsidR="003224BE" w:rsidRPr="00502B62">
        <w:rPr>
          <w:rFonts w:cs="Times New Roman"/>
          <w:b/>
          <w:szCs w:val="24"/>
        </w:rPr>
        <w:t xml:space="preserve"> 6</w:t>
      </w:r>
      <w:r w:rsidRPr="00502B62">
        <w:rPr>
          <w:rFonts w:cs="Times New Roman"/>
          <w:b/>
          <w:szCs w:val="24"/>
        </w:rPr>
        <w:t>.</w:t>
      </w:r>
      <w:r w:rsidRPr="00502B62">
        <w:rPr>
          <w:rFonts w:cs="Times New Roman"/>
          <w:szCs w:val="24"/>
        </w:rPr>
        <w:t xml:space="preserve"> </w:t>
      </w:r>
      <w:r w:rsidR="003224BE" w:rsidRPr="00502B62">
        <w:rPr>
          <w:b/>
          <w:bCs/>
        </w:rPr>
        <w:t xml:space="preserve">Flow cytometric characterization of </w:t>
      </w:r>
      <w:proofErr w:type="spellStart"/>
      <w:r w:rsidR="003224BE" w:rsidRPr="00502B62">
        <w:rPr>
          <w:b/>
          <w:bCs/>
        </w:rPr>
        <w:t>dLNs</w:t>
      </w:r>
      <w:proofErr w:type="spellEnd"/>
      <w:r w:rsidR="004D101D" w:rsidRPr="00502B62">
        <w:rPr>
          <w:b/>
          <w:bCs/>
        </w:rPr>
        <w:t xml:space="preserve"> DCs or CD4</w:t>
      </w:r>
      <w:r w:rsidR="004D101D" w:rsidRPr="00502B62">
        <w:rPr>
          <w:b/>
          <w:bCs/>
          <w:vertAlign w:val="superscript"/>
        </w:rPr>
        <w:t>+</w:t>
      </w:r>
      <w:r w:rsidR="004D101D" w:rsidRPr="00502B62">
        <w:rPr>
          <w:b/>
          <w:bCs/>
        </w:rPr>
        <w:t xml:space="preserve"> T cells</w:t>
      </w:r>
      <w:r w:rsidR="003224BE" w:rsidRPr="00502B62">
        <w:rPr>
          <w:b/>
          <w:bCs/>
        </w:rPr>
        <w:t xml:space="preserve"> </w:t>
      </w:r>
      <w:r w:rsidR="003224BE" w:rsidRPr="00502B62">
        <w:rPr>
          <w:b/>
          <w:bCs/>
          <w:i/>
          <w:iCs/>
        </w:rPr>
        <w:t xml:space="preserve">ex vivo </w:t>
      </w:r>
      <w:r w:rsidR="003224BE" w:rsidRPr="00502B62">
        <w:rPr>
          <w:b/>
          <w:bCs/>
        </w:rPr>
        <w:t xml:space="preserve">post-immunization. </w:t>
      </w:r>
      <w:r w:rsidR="003224BE" w:rsidRPr="00502B62">
        <w:t>(</w:t>
      </w:r>
      <w:r w:rsidR="003224BE" w:rsidRPr="00502B62">
        <w:rPr>
          <w:b/>
        </w:rPr>
        <w:t>A-E</w:t>
      </w:r>
      <w:r w:rsidR="003224BE" w:rsidRPr="00502B62">
        <w:t xml:space="preserve">) shows the percentage or surface marker MFI of </w:t>
      </w:r>
      <w:r w:rsidR="00DA67A8" w:rsidRPr="00502B62">
        <w:t>DC</w:t>
      </w:r>
      <w:r w:rsidR="003224BE" w:rsidRPr="00502B62">
        <w:t xml:space="preserve"> subsets from the indicated </w:t>
      </w:r>
      <w:proofErr w:type="spellStart"/>
      <w:r w:rsidR="003224BE" w:rsidRPr="00502B62">
        <w:t>dLN</w:t>
      </w:r>
      <w:proofErr w:type="spellEnd"/>
      <w:r w:rsidR="003224BE" w:rsidRPr="00502B62">
        <w:t xml:space="preserve"> (ILN or MedLN) of mice immunized 24 hours prior via the i.m. or i.n. route with </w:t>
      </w:r>
      <w:r w:rsidR="004D101D" w:rsidRPr="00502B62">
        <w:t xml:space="preserve">fluorescent </w:t>
      </w:r>
      <w:r w:rsidR="003224BE" w:rsidRPr="00502B62">
        <w:t>OVA adjuvanted with either Poly(I:C), CpG 1826, or LPS as indicated. (</w:t>
      </w:r>
      <w:r w:rsidR="003224BE" w:rsidRPr="00502B62">
        <w:rPr>
          <w:b/>
        </w:rPr>
        <w:t>A</w:t>
      </w:r>
      <w:r w:rsidR="003224BE" w:rsidRPr="00502B62">
        <w:t xml:space="preserve">) </w:t>
      </w:r>
      <w:proofErr w:type="gramStart"/>
      <w:r w:rsidR="004D101D" w:rsidRPr="00502B62">
        <w:t>the</w:t>
      </w:r>
      <w:proofErr w:type="gramEnd"/>
      <w:r w:rsidR="004D101D" w:rsidRPr="00502B62">
        <w:t xml:space="preserve"> percentage of CD4</w:t>
      </w:r>
      <w:r w:rsidR="004D101D" w:rsidRPr="00502B62">
        <w:rPr>
          <w:vertAlign w:val="superscript"/>
        </w:rPr>
        <w:t>+</w:t>
      </w:r>
      <w:r w:rsidR="004D101D" w:rsidRPr="00502B62">
        <w:t xml:space="preserve"> or CD4</w:t>
      </w:r>
      <w:r w:rsidR="004D101D" w:rsidRPr="00502B62">
        <w:rPr>
          <w:vertAlign w:val="superscript"/>
        </w:rPr>
        <w:t>-</w:t>
      </w:r>
      <w:r w:rsidR="004D101D" w:rsidRPr="00502B62">
        <w:t xml:space="preserve"> DCs within CD24</w:t>
      </w:r>
      <w:r w:rsidR="004D101D" w:rsidRPr="00502B62">
        <w:rPr>
          <w:vertAlign w:val="superscript"/>
        </w:rPr>
        <w:t>+</w:t>
      </w:r>
      <w:r w:rsidR="004D101D" w:rsidRPr="00502B62">
        <w:t xml:space="preserve"> or CD24</w:t>
      </w:r>
      <w:r w:rsidR="004D101D" w:rsidRPr="00502B62">
        <w:rPr>
          <w:vertAlign w:val="superscript"/>
        </w:rPr>
        <w:t>-</w:t>
      </w:r>
      <w:r w:rsidR="004D101D" w:rsidRPr="00502B62">
        <w:t xml:space="preserve"> CD11b</w:t>
      </w:r>
      <w:r w:rsidR="004D101D" w:rsidRPr="00502B62">
        <w:rPr>
          <w:vertAlign w:val="superscript"/>
        </w:rPr>
        <w:t>+</w:t>
      </w:r>
      <w:r w:rsidR="004D101D" w:rsidRPr="00502B62">
        <w:t xml:space="preserve"> DC subsets, with 3 mice per group and SD error bars</w:t>
      </w:r>
      <w:r w:rsidR="003224BE" w:rsidRPr="00502B62">
        <w:t>. CCR7 (</w:t>
      </w:r>
      <w:r w:rsidR="003224BE" w:rsidRPr="00502B62">
        <w:rPr>
          <w:b/>
        </w:rPr>
        <w:t>B</w:t>
      </w:r>
      <w:r w:rsidR="003224BE" w:rsidRPr="00502B62">
        <w:t>) and MHC-II (</w:t>
      </w:r>
      <w:r w:rsidR="003224BE" w:rsidRPr="00502B62">
        <w:rPr>
          <w:b/>
        </w:rPr>
        <w:t>C</w:t>
      </w:r>
      <w:r w:rsidR="003224BE" w:rsidRPr="00502B62">
        <w:t>) geometric MFI</w:t>
      </w:r>
      <w:r w:rsidR="004D101D" w:rsidRPr="00502B62">
        <w:t>s</w:t>
      </w:r>
      <w:r w:rsidR="003224BE" w:rsidRPr="00502B62">
        <w:t xml:space="preserve"> of </w:t>
      </w:r>
      <w:r w:rsidR="004D101D" w:rsidRPr="00502B62">
        <w:t>CD24</w:t>
      </w:r>
      <w:r w:rsidR="004D101D" w:rsidRPr="00502B62">
        <w:rPr>
          <w:vertAlign w:val="superscript"/>
        </w:rPr>
        <w:t>+</w:t>
      </w:r>
      <w:r w:rsidR="004D101D" w:rsidRPr="00502B62">
        <w:t xml:space="preserve"> or CD24</w:t>
      </w:r>
      <w:r w:rsidR="004D101D" w:rsidRPr="00502B62">
        <w:rPr>
          <w:vertAlign w:val="superscript"/>
        </w:rPr>
        <w:t>-</w:t>
      </w:r>
      <w:r w:rsidR="004D101D" w:rsidRPr="00502B62">
        <w:t xml:space="preserve"> CD11b</w:t>
      </w:r>
      <w:r w:rsidR="004D101D" w:rsidRPr="00502B62">
        <w:rPr>
          <w:vertAlign w:val="superscript"/>
        </w:rPr>
        <w:t xml:space="preserve">+ </w:t>
      </w:r>
      <w:r w:rsidR="003224BE" w:rsidRPr="00502B62">
        <w:t xml:space="preserve">DC populations </w:t>
      </w:r>
      <w:r w:rsidR="004D101D" w:rsidRPr="00502B62">
        <w:t xml:space="preserve">were </w:t>
      </w:r>
      <w:r w:rsidR="003224BE" w:rsidRPr="00502B62">
        <w:t xml:space="preserve">determined using pooled LNs of 3 – 6 </w:t>
      </w:r>
      <w:r w:rsidR="004D101D" w:rsidRPr="00502B62">
        <w:t>mice that were immunized 24h earlier</w:t>
      </w:r>
      <w:r w:rsidR="003224BE" w:rsidRPr="00502B62">
        <w:t>. (</w:t>
      </w:r>
      <w:r w:rsidR="003224BE" w:rsidRPr="00502B62">
        <w:rPr>
          <w:b/>
        </w:rPr>
        <w:t>D</w:t>
      </w:r>
      <w:r w:rsidR="003224BE" w:rsidRPr="00502B62">
        <w:t xml:space="preserve">) </w:t>
      </w:r>
      <w:r w:rsidR="004D101D" w:rsidRPr="00502B62">
        <w:t>The percentage of CD24</w:t>
      </w:r>
      <w:r w:rsidR="004D101D" w:rsidRPr="00502B62">
        <w:rPr>
          <w:vertAlign w:val="superscript"/>
        </w:rPr>
        <w:t>+</w:t>
      </w:r>
      <w:r w:rsidR="004D101D" w:rsidRPr="00502B62">
        <w:t xml:space="preserve"> cells on pre-gated OVA</w:t>
      </w:r>
      <w:r w:rsidR="004D101D" w:rsidRPr="00502B62">
        <w:rPr>
          <w:vertAlign w:val="superscript"/>
        </w:rPr>
        <w:t>+</w:t>
      </w:r>
      <w:r w:rsidR="004D101D" w:rsidRPr="00502B62">
        <w:t xml:space="preserve"> CD11b</w:t>
      </w:r>
      <w:r w:rsidR="004D101D" w:rsidRPr="00502B62">
        <w:rPr>
          <w:vertAlign w:val="superscript"/>
        </w:rPr>
        <w:t>+</w:t>
      </w:r>
      <w:r w:rsidR="004D101D" w:rsidRPr="00502B62">
        <w:t xml:space="preserve"> DCs in the draining LN of mice immunized with fluorescent OVA and either CpG or LPS adjuvants, showing results from pooled draining LNs</w:t>
      </w:r>
      <w:r w:rsidR="00250969" w:rsidRPr="00502B62">
        <w:t xml:space="preserve"> of at least 3 mice</w:t>
      </w:r>
      <w:r w:rsidR="004D101D" w:rsidRPr="00502B62">
        <w:t>.</w:t>
      </w:r>
      <w:r w:rsidR="004D101D" w:rsidRPr="00502B62" w:rsidDel="004D101D">
        <w:t xml:space="preserve"> </w:t>
      </w:r>
      <w:r w:rsidR="003224BE" w:rsidRPr="00502B62">
        <w:t>(</w:t>
      </w:r>
      <w:r w:rsidR="003224BE" w:rsidRPr="00502B62">
        <w:rPr>
          <w:b/>
        </w:rPr>
        <w:t>A-D</w:t>
      </w:r>
      <w:r w:rsidR="003224BE" w:rsidRPr="00502B62">
        <w:t xml:space="preserve">) data </w:t>
      </w:r>
      <w:r w:rsidR="00DA67A8" w:rsidRPr="00502B62">
        <w:t xml:space="preserve">is </w:t>
      </w:r>
      <w:r w:rsidR="003224BE" w:rsidRPr="00502B62">
        <w:t>represent</w:t>
      </w:r>
      <w:r w:rsidR="00DA67A8" w:rsidRPr="00502B62">
        <w:t xml:space="preserve">ative of </w:t>
      </w:r>
      <w:r w:rsidR="003224BE" w:rsidRPr="00502B62">
        <w:t>2 – 3 independent experiments. (</w:t>
      </w:r>
      <w:r w:rsidR="003224BE" w:rsidRPr="00502B62">
        <w:rPr>
          <w:b/>
        </w:rPr>
        <w:t>E</w:t>
      </w:r>
      <w:r w:rsidR="003224BE" w:rsidRPr="00502B62">
        <w:t xml:space="preserve">) </w:t>
      </w:r>
      <w:proofErr w:type="gramStart"/>
      <w:r w:rsidR="004D101D" w:rsidRPr="00502B62">
        <w:t>the</w:t>
      </w:r>
      <w:proofErr w:type="gramEnd"/>
      <w:r w:rsidR="004D101D" w:rsidRPr="00502B62">
        <w:t xml:space="preserve"> percentage of CD4</w:t>
      </w:r>
      <w:r w:rsidR="004D101D" w:rsidRPr="00502B62">
        <w:rPr>
          <w:vertAlign w:val="superscript"/>
        </w:rPr>
        <w:t>+</w:t>
      </w:r>
      <w:r w:rsidR="004D101D" w:rsidRPr="00502B62">
        <w:t xml:space="preserve"> T cells of total live </w:t>
      </w:r>
      <w:proofErr w:type="spellStart"/>
      <w:r w:rsidR="004D101D" w:rsidRPr="00502B62">
        <w:t>dLN</w:t>
      </w:r>
      <w:proofErr w:type="spellEnd"/>
      <w:r w:rsidR="004D101D" w:rsidRPr="00502B62">
        <w:t xml:space="preserve"> cells at 24h post-immunization, </w:t>
      </w:r>
      <w:r w:rsidR="003224BE" w:rsidRPr="00502B62">
        <w:t xml:space="preserve">symbols represent </w:t>
      </w:r>
      <w:r w:rsidR="00250969" w:rsidRPr="00502B62">
        <w:t>the mean</w:t>
      </w:r>
      <w:r w:rsidR="005A35C6">
        <w:t xml:space="preserve"> percentage from</w:t>
      </w:r>
      <w:r w:rsidR="00250969" w:rsidRPr="00502B62">
        <w:t xml:space="preserve"> </w:t>
      </w:r>
      <w:r w:rsidR="003224BE" w:rsidRPr="00502B62">
        <w:t xml:space="preserve">individual experiment repeats using pooled LNs from 3 – 12 mice per route per experiment, and compared using a ratio paired t test. </w:t>
      </w:r>
      <w:r w:rsidR="003224BE" w:rsidRPr="00502B62">
        <w:rPr>
          <w:lang w:val="en-CA"/>
        </w:rPr>
        <w:t>P &gt; 0.05; ‘ns’, not significant, P &lt; 0.001; ***, P &lt; 0.0001; ****.</w:t>
      </w:r>
    </w:p>
    <w:p w14:paraId="6E15BC42" w14:textId="097D1290" w:rsidR="000103A6" w:rsidRPr="00502B62" w:rsidRDefault="000103A6" w:rsidP="000103A6">
      <w:pPr>
        <w:spacing w:before="240"/>
      </w:pPr>
    </w:p>
    <w:p w14:paraId="660D9382" w14:textId="2212F7A7" w:rsidR="000103A6" w:rsidRPr="00502B62" w:rsidRDefault="000103A6">
      <w:pPr>
        <w:spacing w:before="0" w:after="200" w:line="276" w:lineRule="auto"/>
      </w:pPr>
    </w:p>
    <w:p w14:paraId="35A92964" w14:textId="7286913E" w:rsidR="003224BE" w:rsidRPr="00502B62" w:rsidRDefault="003224BE" w:rsidP="003224BE">
      <w:pPr>
        <w:spacing w:before="240"/>
        <w:rPr>
          <w:noProof/>
        </w:rPr>
      </w:pPr>
    </w:p>
    <w:p w14:paraId="43DBAB0B" w14:textId="77777777" w:rsidR="0034764D" w:rsidRPr="00502B62" w:rsidRDefault="0034764D" w:rsidP="003224BE">
      <w:pPr>
        <w:spacing w:before="240"/>
        <w:rPr>
          <w:rFonts w:cs="Times New Roman"/>
          <w:szCs w:val="24"/>
        </w:rPr>
      </w:pPr>
    </w:p>
    <w:p w14:paraId="37043E46" w14:textId="0C7B13E2" w:rsidR="00DE23E8" w:rsidRPr="00D84D36" w:rsidRDefault="00430B23" w:rsidP="00070EC4">
      <w:pPr>
        <w:spacing w:before="240"/>
        <w:jc w:val="center"/>
      </w:pPr>
      <w:r w:rsidRPr="00502B62">
        <w:object w:dxaOrig="11216" w:dyaOrig="12172" w14:anchorId="3F3DFB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5pt;height:585.75pt" o:ole="">
            <v:imagedata r:id="rId15" o:title=""/>
          </v:shape>
          <o:OLEObject Type="Embed" ProgID="Excel.Sheet.12" ShapeID="_x0000_i1025" DrawAspect="Content" ObjectID="_1624195648" r:id="rId16"/>
        </w:object>
      </w:r>
    </w:p>
    <w:sectPr w:rsidR="00DE23E8" w:rsidRPr="00D84D36" w:rsidSect="000103A6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0F1DD9" w14:textId="77777777" w:rsidR="00364F5E" w:rsidRDefault="00364F5E" w:rsidP="00117666">
      <w:pPr>
        <w:spacing w:after="0"/>
      </w:pPr>
      <w:r>
        <w:separator/>
      </w:r>
    </w:p>
  </w:endnote>
  <w:endnote w:type="continuationSeparator" w:id="0">
    <w:p w14:paraId="036B8EA7" w14:textId="77777777" w:rsidR="00364F5E" w:rsidRDefault="00364F5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C356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C356B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C356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C356B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A007F" w14:textId="77777777" w:rsidR="00364F5E" w:rsidRDefault="00364F5E" w:rsidP="00117666">
      <w:pPr>
        <w:spacing w:after="0"/>
      </w:pPr>
      <w:r>
        <w:separator/>
      </w:r>
    </w:p>
  </w:footnote>
  <w:footnote w:type="continuationSeparator" w:id="0">
    <w:p w14:paraId="4EC711CB" w14:textId="77777777" w:rsidR="00364F5E" w:rsidRDefault="00364F5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B9216" w14:textId="24222A59" w:rsidR="000103A6" w:rsidRPr="000103A6" w:rsidRDefault="00C52A7B" w:rsidP="000103A6">
    <w:pPr>
      <w:pStyle w:val="SupplementaryMaterial"/>
      <w:jc w:val="left"/>
      <w:rPr>
        <w:b w:val="0"/>
      </w:rPr>
    </w:pPr>
    <w:r w:rsidRPr="007E3148">
      <w:ptab w:relativeTo="margin" w:alignment="center" w:leader="none"/>
    </w:r>
    <w:r w:rsidR="000103A6" w:rsidRPr="005A1D84">
      <w:rPr>
        <w:b w:val="0"/>
        <w:noProof/>
        <w:color w:val="A6A6A6" w:themeColor="background1" w:themeShade="A6"/>
      </w:rPr>
      <w:drawing>
        <wp:inline distT="0" distB="0" distL="0" distR="0" wp14:anchorId="0A0E3CA0" wp14:editId="4AAA6F49">
          <wp:extent cx="1381086" cy="414068"/>
          <wp:effectExtent l="0" t="0" r="0" b="508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614"/>
                  <a:stretch/>
                </pic:blipFill>
                <pic:spPr bwMode="auto">
                  <a:xfrm>
                    <a:off x="0" y="0"/>
                    <a:ext cx="1534909" cy="4601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103A6" w:rsidRPr="000103A6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trackedChanges" w:enforcement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03A6"/>
    <w:rsid w:val="0001436A"/>
    <w:rsid w:val="000165E9"/>
    <w:rsid w:val="00034304"/>
    <w:rsid w:val="00035434"/>
    <w:rsid w:val="00052A14"/>
    <w:rsid w:val="00070EC4"/>
    <w:rsid w:val="00077D53"/>
    <w:rsid w:val="000F1E52"/>
    <w:rsid w:val="00105FD9"/>
    <w:rsid w:val="00117666"/>
    <w:rsid w:val="001549D3"/>
    <w:rsid w:val="00160065"/>
    <w:rsid w:val="00177D84"/>
    <w:rsid w:val="001C7691"/>
    <w:rsid w:val="001E5080"/>
    <w:rsid w:val="00221E54"/>
    <w:rsid w:val="00250969"/>
    <w:rsid w:val="002636C0"/>
    <w:rsid w:val="00266D2A"/>
    <w:rsid w:val="00267D18"/>
    <w:rsid w:val="00274347"/>
    <w:rsid w:val="002868E2"/>
    <w:rsid w:val="002869C3"/>
    <w:rsid w:val="002936E4"/>
    <w:rsid w:val="002A1FC2"/>
    <w:rsid w:val="002B3C8C"/>
    <w:rsid w:val="002B4A57"/>
    <w:rsid w:val="002C74CA"/>
    <w:rsid w:val="003123F4"/>
    <w:rsid w:val="003224BE"/>
    <w:rsid w:val="00323D41"/>
    <w:rsid w:val="0034764D"/>
    <w:rsid w:val="003544FB"/>
    <w:rsid w:val="00364F5E"/>
    <w:rsid w:val="003C356B"/>
    <w:rsid w:val="003C4754"/>
    <w:rsid w:val="003D2F2D"/>
    <w:rsid w:val="003D484E"/>
    <w:rsid w:val="00401590"/>
    <w:rsid w:val="0040162A"/>
    <w:rsid w:val="00430B23"/>
    <w:rsid w:val="00447801"/>
    <w:rsid w:val="00452E9C"/>
    <w:rsid w:val="004735C8"/>
    <w:rsid w:val="004947A6"/>
    <w:rsid w:val="004961FF"/>
    <w:rsid w:val="004A5772"/>
    <w:rsid w:val="004D101D"/>
    <w:rsid w:val="00502B62"/>
    <w:rsid w:val="00517A89"/>
    <w:rsid w:val="005250F2"/>
    <w:rsid w:val="00565215"/>
    <w:rsid w:val="0057468A"/>
    <w:rsid w:val="00593EEA"/>
    <w:rsid w:val="005A0873"/>
    <w:rsid w:val="005A35C6"/>
    <w:rsid w:val="005A5EEE"/>
    <w:rsid w:val="006114FD"/>
    <w:rsid w:val="006375C7"/>
    <w:rsid w:val="00654E8F"/>
    <w:rsid w:val="00660D05"/>
    <w:rsid w:val="006820B1"/>
    <w:rsid w:val="00685650"/>
    <w:rsid w:val="006B7D14"/>
    <w:rsid w:val="00701727"/>
    <w:rsid w:val="0070566C"/>
    <w:rsid w:val="00714C50"/>
    <w:rsid w:val="00725A7D"/>
    <w:rsid w:val="007501BE"/>
    <w:rsid w:val="00755E65"/>
    <w:rsid w:val="00761B61"/>
    <w:rsid w:val="00790BB3"/>
    <w:rsid w:val="007C206C"/>
    <w:rsid w:val="00801CA1"/>
    <w:rsid w:val="0081578A"/>
    <w:rsid w:val="00817DD6"/>
    <w:rsid w:val="0083759F"/>
    <w:rsid w:val="00862799"/>
    <w:rsid w:val="00885156"/>
    <w:rsid w:val="008E4D2C"/>
    <w:rsid w:val="009151AA"/>
    <w:rsid w:val="0093429D"/>
    <w:rsid w:val="00943573"/>
    <w:rsid w:val="00964134"/>
    <w:rsid w:val="00970F7D"/>
    <w:rsid w:val="00980CA2"/>
    <w:rsid w:val="00994A3D"/>
    <w:rsid w:val="009C2B12"/>
    <w:rsid w:val="009C7B2C"/>
    <w:rsid w:val="00A174D9"/>
    <w:rsid w:val="00A360B9"/>
    <w:rsid w:val="00AA4D24"/>
    <w:rsid w:val="00AB6715"/>
    <w:rsid w:val="00B1671E"/>
    <w:rsid w:val="00B25EB8"/>
    <w:rsid w:val="00B37F4D"/>
    <w:rsid w:val="00B81D4A"/>
    <w:rsid w:val="00C07B62"/>
    <w:rsid w:val="00C2063C"/>
    <w:rsid w:val="00C52A7B"/>
    <w:rsid w:val="00C56BAF"/>
    <w:rsid w:val="00C679AA"/>
    <w:rsid w:val="00C75972"/>
    <w:rsid w:val="00CB2B4A"/>
    <w:rsid w:val="00CD066B"/>
    <w:rsid w:val="00CE4FEE"/>
    <w:rsid w:val="00D060CF"/>
    <w:rsid w:val="00D55508"/>
    <w:rsid w:val="00D84D36"/>
    <w:rsid w:val="00D91BAA"/>
    <w:rsid w:val="00DA67A8"/>
    <w:rsid w:val="00DB59C3"/>
    <w:rsid w:val="00DC259A"/>
    <w:rsid w:val="00DD77C5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3D484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8652018-4220-42C2-838F-9FB7B9822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7</Pages>
  <Words>1121</Words>
  <Characters>6390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David Pejoski</cp:lastModifiedBy>
  <cp:revision>4</cp:revision>
  <cp:lastPrinted>2019-07-08T14:31:00Z</cp:lastPrinted>
  <dcterms:created xsi:type="dcterms:W3CDTF">2019-07-09T14:39:00Z</dcterms:created>
  <dcterms:modified xsi:type="dcterms:W3CDTF">2019-07-09T14:41:00Z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http://www.zotero.org/styles/frontiers-in-immunology</vt:lpwstr>
  </property>
  <property fmtid="{D5CDD505-2E9C-101B-9397-08002B2CF9AE}" pid="9" name="Mendeley Recent Style Name 3_1">
    <vt:lpwstr>Frontiers in Immunology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http://www.zotero.org/styles/mucosal-immunology</vt:lpwstr>
  </property>
  <property fmtid="{D5CDD505-2E9C-101B-9397-08002B2CF9AE}" pid="19" name="Mendeley Recent Style Name 8_1">
    <vt:lpwstr>Mucosal Immunology</vt:lpwstr>
  </property>
  <property fmtid="{D5CDD505-2E9C-101B-9397-08002B2CF9AE}" pid="20" name="Mendeley Recent Style Id 9_1">
    <vt:lpwstr>http://www.zotero.org/styles/the-journal-of-experimental-medicine</vt:lpwstr>
  </property>
  <property fmtid="{D5CDD505-2E9C-101B-9397-08002B2CF9AE}" pid="21" name="Mendeley Recent Style Name 9_1">
    <vt:lpwstr>The Journal of Experimental Medicine</vt:lpwstr>
  </property>
</Properties>
</file>