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52" w:rsidRPr="00E50303" w:rsidRDefault="00B81452" w:rsidP="00B8145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0303">
        <w:rPr>
          <w:rFonts w:ascii="Times New Roman" w:hAnsi="Times New Roman"/>
          <w:b/>
          <w:sz w:val="24"/>
          <w:szCs w:val="24"/>
          <w:lang w:val="en-US"/>
        </w:rPr>
        <w:t>Monosaccharide constituent composition</w:t>
      </w:r>
    </w:p>
    <w:p w:rsidR="00B81452" w:rsidRDefault="00B81452" w:rsidP="00B8145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50303">
        <w:rPr>
          <w:rFonts w:ascii="Times New Roman" w:hAnsi="Times New Roman"/>
          <w:sz w:val="24"/>
          <w:szCs w:val="24"/>
          <w:lang w:val="en-US"/>
        </w:rPr>
        <w:t xml:space="preserve">Samples taken from the monoculture of </w:t>
      </w:r>
      <w:r w:rsidRPr="00E50303">
        <w:rPr>
          <w:rFonts w:ascii="Times New Roman" w:hAnsi="Times New Roman"/>
          <w:i/>
          <w:sz w:val="24"/>
          <w:szCs w:val="24"/>
          <w:lang w:val="en-US"/>
        </w:rPr>
        <w:t xml:space="preserve">B. </w:t>
      </w:r>
      <w:proofErr w:type="spellStart"/>
      <w:r w:rsidRPr="00E50303">
        <w:rPr>
          <w:rFonts w:ascii="Times New Roman" w:hAnsi="Times New Roman"/>
          <w:i/>
          <w:sz w:val="24"/>
          <w:szCs w:val="24"/>
          <w:lang w:val="en-US"/>
        </w:rPr>
        <w:t>thetaiotaomicron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and the co-culture in pectin after inoculation (T0) and 6 days of incubation (T6) were analyzed for their monosaccharide constituent composition using the method described elsewhere </w:t>
      </w:r>
      <w:r w:rsidRPr="00E50303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&lt;EndNote&gt;&lt;Cite&gt;&lt;Author&gt;De Ruiter&lt;/Author&gt;&lt;Year&gt;1992&lt;/Year&gt;&lt;RecNum&gt;1167&lt;/RecNum&gt;&lt;DisplayText&gt;(De Ruiter, Schols, Voragen and Rombouts 1992)&lt;/DisplayText&gt;&lt;record&gt;&lt;rec-number&gt;1167&lt;/rec-number&gt;&lt;foreign-keys&gt;&lt;key app="EN" db-id="zzpraxx04pwxf9e2sf6ppfvapsppv5pvvese" timestamp="1464163906"&gt;1167&lt;/key&gt;&lt;/foreign-keys&gt;&lt;ref-type name="Journal Article"&gt;17&lt;/ref-type&gt;&lt;contributors&gt;&lt;authors&gt;&lt;author&gt;De Ruiter, Gerhard A.&lt;/author&gt;&lt;author&gt;Schols, Henk A.&lt;/author&gt;&lt;author&gt;Voragen, Alfons G. J.&lt;/author&gt;&lt;author&gt;Rombouts, Frank M.&lt;/author&gt;&lt;/authors&gt;&lt;/contributors&gt;&lt;titles&gt;&lt;title&gt;Carbohydrate analysis of water-soluble uronic acid-containing polysaccharides with high-performance anion-exchange chromatography using methanolysis combined with TFA hydrolysis is superior to four other methods&lt;/title&gt;&lt;secondary-title&gt;Analytical Biochemistry&lt;/secondary-title&gt;&lt;/titles&gt;&lt;periodical&gt;&lt;full-title&gt;Analytical Biochemistry&lt;/full-title&gt;&lt;/periodical&gt;&lt;pages&gt;176-185&lt;/pages&gt;&lt;volume&gt;207&lt;/volume&gt;&lt;number&gt;1&lt;/number&gt;&lt;dates&gt;&lt;year&gt;1992&lt;/year&gt;&lt;/dates&gt;&lt;isbn&gt;0003-2697&lt;/isbn&gt;&lt;urls&gt;&lt;related-urls&gt;&lt;url&gt;http://www.sciencedirect.com/science/article/pii/000326979290520H&lt;/url&gt;&lt;/related-urls&gt;&lt;/urls&gt;&lt;electronic-resource-num&gt;http://dx.doi.org/10.1016/0003-2697(92)90520-H&lt;/electronic-resource-num&gt;&lt;/record&gt;&lt;/Cite&gt;&lt;/EndNote&gt;</w:instrText>
      </w:r>
      <w:r w:rsidRPr="00E50303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(De Ruiter, Schols, Voragen and Rombouts 1992)</w:t>
      </w:r>
      <w:r w:rsidRPr="00E50303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E50303">
        <w:rPr>
          <w:rFonts w:ascii="Times New Roman" w:hAnsi="Times New Roman"/>
          <w:sz w:val="24"/>
          <w:szCs w:val="24"/>
          <w:lang w:val="en-US"/>
        </w:rPr>
        <w:t xml:space="preserve">, using duplicate aliquots of samples (25 µl for T0 and 100 µl for T6).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Methanolysis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was performed in 2 M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in dry methanol at 80</w:t>
      </w:r>
      <w:r w:rsidRPr="00E50303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E50303">
        <w:rPr>
          <w:rFonts w:ascii="Times New Roman" w:hAnsi="Times New Roman"/>
          <w:sz w:val="24"/>
          <w:szCs w:val="24"/>
          <w:lang w:val="en-US"/>
        </w:rPr>
        <w:t xml:space="preserve">C for 16h, followed by hydrolysis in 2 M TFA at 121 </w:t>
      </w:r>
      <w:proofErr w:type="spellStart"/>
      <w:r w:rsidRPr="00E50303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E50303">
        <w:rPr>
          <w:rFonts w:ascii="Times New Roman" w:hAnsi="Times New Roman"/>
          <w:sz w:val="24"/>
          <w:szCs w:val="24"/>
          <w:lang w:val="en-US"/>
        </w:rPr>
        <w:t>C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for 1h. The hydrolyzed samples were dried and re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E50303">
        <w:rPr>
          <w:rFonts w:ascii="Times New Roman" w:hAnsi="Times New Roman"/>
          <w:sz w:val="24"/>
          <w:szCs w:val="24"/>
          <w:lang w:val="en-US"/>
        </w:rPr>
        <w:t xml:space="preserve">dissolved in water. Aliquots of 100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standard solution containing 1 mg/ml each of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fucose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, arabinose,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rhamnose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, galactose, glucose, xylose, mannose,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galacturonic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acid and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glucuronic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acid were treated identical to and in parallel with the samples. The standards were diluted to 2.5, 5, 7.5 and 10 µg/ml, whereas the samples were diluted so that the concentration of monosaccharides was below 10 µg/ml. </w:t>
      </w:r>
    </w:p>
    <w:p w:rsidR="00B81452" w:rsidRPr="00E50303" w:rsidRDefault="00B81452" w:rsidP="00B8145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1452" w:rsidRPr="00E50303" w:rsidRDefault="00B81452" w:rsidP="00B8145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50303">
        <w:rPr>
          <w:rFonts w:ascii="Times New Roman" w:hAnsi="Times New Roman"/>
          <w:sz w:val="24"/>
          <w:szCs w:val="24"/>
          <w:lang w:val="en-US"/>
        </w:rPr>
        <w:t xml:space="preserve">The monosaccharides were then analyzed using a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Dionex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ICS5000 High Performance Anion Exchange Chromatography with Pulsed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Amperometric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Detection (HPAEC-PAD) system (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Thermo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Fisher Scientific, Waltham, MA, USA), with post-column addition equipped with a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CarboPac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PA-1 (2 x 250 mm) column preceded by a guard column (2 x 50 mm). The eluents used for separation were 0.1 M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, 1 M sodium acetate in 0.1 M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. The flow rate of the gradient pump was 0.4 ml/min. The gradient was based on a method published elsewhere </w:t>
      </w:r>
      <w:r w:rsidRPr="00E50303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&lt;EndNote&gt;&lt;Cite&gt;&lt;Author&gt;Sengkhamparn&lt;/Author&gt;&lt;Year&gt;2009&lt;/Year&gt;&lt;RecNum&gt;1168&lt;/RecNum&gt;&lt;DisplayText&gt;(Sengkhamparn, Verhoef, Schols, Sajjaanantakul and Voragen 2009)&lt;/DisplayText&gt;&lt;record&gt;&lt;rec-number&gt;1168&lt;/rec-number&gt;&lt;foreign-keys&gt;&lt;key app="EN" db-id="zzpraxx04pwxf9e2sf6ppfvapsppv5pvvese" timestamp="1464163958"&gt;1168&lt;/key&gt;&lt;/foreign-keys&gt;&lt;ref-type name="Journal Article"&gt;17&lt;/ref-type&gt;&lt;contributors&gt;&lt;authors&gt;&lt;author&gt;Sengkhamparn, Nipaporn&lt;/author&gt;&lt;author&gt;Verhoef, René&lt;/author&gt;&lt;author&gt;Schols, Henk A.&lt;/author&gt;&lt;author&gt;Sajjaanantakul, Tanaboon&lt;/author&gt;&lt;author&gt;Voragen, Alphons G. J.&lt;/author&gt;&lt;/authors&gt;&lt;/contributors&gt;&lt;titles&gt;&lt;title&gt;Characterisation of cell wall polysaccharides from okra (Abelmoschus esculentus (L.) Moench)&lt;/title&gt;&lt;secondary-title&gt;Carbohydrate Research&lt;/secondary-title&gt;&lt;/titles&gt;&lt;periodical&gt;&lt;full-title&gt;Carbohydrate Research&lt;/full-title&gt;&lt;/periodical&gt;&lt;pages&gt;1824-1832&lt;/pages&gt;&lt;volume&gt;344&lt;/volume&gt;&lt;number&gt;14&lt;/number&gt;&lt;keywords&gt;&lt;keyword&gt;Okra&lt;/keyword&gt;&lt;keyword&gt;Polysaccharides&lt;/keyword&gt;&lt;keyword&gt;Pectin&lt;/keyword&gt;&lt;keyword&gt;Xyloglucan&lt;/keyword&gt;&lt;keyword&gt;Xylan&lt;/keyword&gt;&lt;/keywords&gt;&lt;dates&gt;&lt;year&gt;2009&lt;/year&gt;&lt;/dates&gt;&lt;isbn&gt;0008-6215&lt;/isbn&gt;&lt;urls&gt;&lt;related-urls&gt;&lt;url&gt;http://www.sciencedirect.com/science/article/pii/S0008621508005053&lt;/url&gt;&lt;/related-urls&gt;&lt;/urls&gt;&lt;electronic-resource-num&gt;http://dx.doi.org/10.1016/j.carres.2008.10.012&lt;/electronic-resource-num&gt;&lt;/record&gt;&lt;/Cite&gt;&lt;/EndNote&gt;</w:instrText>
      </w:r>
      <w:r w:rsidRPr="00E50303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(Sengkhamparn, Verhoef, Schols, Sajjaanantakul and Voragen 2009)</w:t>
      </w:r>
      <w:r w:rsidRPr="00E50303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E50303">
        <w:rPr>
          <w:rFonts w:ascii="Times New Roman" w:hAnsi="Times New Roman"/>
          <w:sz w:val="24"/>
          <w:szCs w:val="24"/>
          <w:lang w:val="en-US"/>
        </w:rPr>
        <w:t xml:space="preserve">, with modifications to adapt to the different system used. First, neutral monosaccharides were eluted using a 27 min isocratic elution of water, with post-column addition of 0.1 ml/min 0.5 M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.  Then, acidic monosaccharides were eluted using an 11 min gradient from 100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mM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sodium acetate in 0.1M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to 173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mM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sodium acetate in 0.1M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. After each run, the column was cleaned using 1M sodium acetate in 0.1M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for 5 min, followed by 8 min isocratic elution of 0.1M </w:t>
      </w:r>
      <w:proofErr w:type="spellStart"/>
      <w:r w:rsidRPr="00E50303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E50303">
        <w:rPr>
          <w:rFonts w:ascii="Times New Roman" w:hAnsi="Times New Roman"/>
          <w:sz w:val="24"/>
          <w:szCs w:val="24"/>
          <w:lang w:val="en-US"/>
        </w:rPr>
        <w:t xml:space="preserve"> to remove the acetate. The column was allowed equilibration for 15 min in the starting condition before each injection. </w:t>
      </w:r>
    </w:p>
    <w:p w:rsidR="00B81452" w:rsidRDefault="00B81452">
      <w:pPr>
        <w:rPr>
          <w:lang w:val="en-US"/>
        </w:rPr>
      </w:pPr>
    </w:p>
    <w:p w:rsidR="00B81452" w:rsidRPr="006B57CF" w:rsidRDefault="00B81452" w:rsidP="006B57C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B57CF">
        <w:rPr>
          <w:rFonts w:ascii="Times New Roman" w:hAnsi="Times New Roman"/>
          <w:b/>
          <w:sz w:val="24"/>
          <w:szCs w:val="24"/>
          <w:lang w:val="en-US"/>
        </w:rPr>
        <w:t>References</w:t>
      </w:r>
      <w:bookmarkStart w:id="0" w:name="_GoBack"/>
      <w:bookmarkEnd w:id="0"/>
    </w:p>
    <w:p w:rsidR="00B81452" w:rsidRPr="006B57CF" w:rsidRDefault="00B81452" w:rsidP="006B57C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B57CF">
        <w:rPr>
          <w:rFonts w:ascii="Times New Roman" w:hAnsi="Times New Roman"/>
          <w:sz w:val="24"/>
          <w:szCs w:val="24"/>
        </w:rPr>
        <w:fldChar w:fldCharType="begin"/>
      </w:r>
      <w:r w:rsidRPr="006B57CF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6B57CF">
        <w:rPr>
          <w:rFonts w:ascii="Times New Roman" w:hAnsi="Times New Roman"/>
          <w:sz w:val="24"/>
          <w:szCs w:val="24"/>
        </w:rPr>
        <w:fldChar w:fldCharType="separate"/>
      </w:r>
      <w:r w:rsidRPr="006B57CF">
        <w:rPr>
          <w:rFonts w:ascii="Times New Roman" w:hAnsi="Times New Roman"/>
          <w:noProof/>
          <w:sz w:val="24"/>
          <w:szCs w:val="24"/>
        </w:rPr>
        <w:t>De Ruiter GA, Schols HA, Voragen AGJ</w:t>
      </w:r>
      <w:r w:rsidRPr="006B57CF">
        <w:rPr>
          <w:rFonts w:ascii="Times New Roman" w:hAnsi="Times New Roman"/>
          <w:i/>
          <w:noProof/>
          <w:sz w:val="24"/>
          <w:szCs w:val="24"/>
        </w:rPr>
        <w:t>, et al.</w:t>
      </w:r>
      <w:r w:rsidRPr="006B57CF">
        <w:rPr>
          <w:rFonts w:ascii="Times New Roman" w:hAnsi="Times New Roman"/>
          <w:noProof/>
          <w:sz w:val="24"/>
          <w:szCs w:val="24"/>
        </w:rPr>
        <w:t xml:space="preserve"> 1992. Carbohydrate analysis of water-soluble uronic acid-containing polysaccharides with high-performance anion-exchange chromatography using methanolysis combined with tfa hydrolysis is superior to four other methods Analytical Biochemistry </w:t>
      </w:r>
      <w:r w:rsidRPr="006B57CF">
        <w:rPr>
          <w:rFonts w:ascii="Times New Roman" w:hAnsi="Times New Roman"/>
          <w:b/>
          <w:noProof/>
          <w:sz w:val="24"/>
          <w:szCs w:val="24"/>
        </w:rPr>
        <w:t>207</w:t>
      </w:r>
      <w:r w:rsidRPr="006B57CF">
        <w:rPr>
          <w:rFonts w:ascii="Times New Roman" w:hAnsi="Times New Roman"/>
          <w:noProof/>
          <w:sz w:val="24"/>
          <w:szCs w:val="24"/>
        </w:rPr>
        <w:t>: 176-185.</w:t>
      </w:r>
    </w:p>
    <w:p w:rsidR="00B81452" w:rsidRPr="006B57CF" w:rsidRDefault="00B81452" w:rsidP="006B57CF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6B57CF">
        <w:rPr>
          <w:rFonts w:ascii="Times New Roman" w:hAnsi="Times New Roman"/>
          <w:sz w:val="24"/>
          <w:szCs w:val="24"/>
        </w:rPr>
        <w:t>Sengkhamparn N, Verhoef R, Schols HA</w:t>
      </w:r>
      <w:r w:rsidRPr="006B57CF">
        <w:rPr>
          <w:rFonts w:ascii="Times New Roman" w:hAnsi="Times New Roman"/>
          <w:i/>
          <w:sz w:val="24"/>
          <w:szCs w:val="24"/>
        </w:rPr>
        <w:t>, et al.</w:t>
      </w:r>
      <w:r w:rsidRPr="006B57CF">
        <w:rPr>
          <w:rFonts w:ascii="Times New Roman" w:hAnsi="Times New Roman"/>
          <w:sz w:val="24"/>
          <w:szCs w:val="24"/>
        </w:rPr>
        <w:t xml:space="preserve"> 2009. Characterisation of cell wall polysaccharides from okra (abelmoschus esculentus (l.) moench) Carbohydrate Research </w:t>
      </w:r>
      <w:r w:rsidRPr="006B57CF">
        <w:rPr>
          <w:rFonts w:ascii="Times New Roman" w:hAnsi="Times New Roman"/>
          <w:b/>
          <w:sz w:val="24"/>
          <w:szCs w:val="24"/>
        </w:rPr>
        <w:t>344</w:t>
      </w:r>
      <w:r w:rsidRPr="006B57CF">
        <w:rPr>
          <w:rFonts w:ascii="Times New Roman" w:hAnsi="Times New Roman"/>
          <w:sz w:val="24"/>
          <w:szCs w:val="24"/>
        </w:rPr>
        <w:t>: 1824-1832.</w:t>
      </w:r>
    </w:p>
    <w:p w:rsidR="00AD3852" w:rsidRPr="00B81452" w:rsidRDefault="00B81452" w:rsidP="006B57CF">
      <w:pPr>
        <w:spacing w:after="0"/>
        <w:rPr>
          <w:lang w:val="en-US"/>
        </w:rPr>
      </w:pPr>
      <w:r w:rsidRPr="006B57CF">
        <w:rPr>
          <w:rFonts w:ascii="Times New Roman" w:hAnsi="Times New Roman"/>
          <w:sz w:val="24"/>
          <w:szCs w:val="24"/>
          <w:lang w:val="en-US"/>
        </w:rPr>
        <w:fldChar w:fldCharType="end"/>
      </w:r>
    </w:p>
    <w:sectPr w:rsidR="00AD3852" w:rsidRPr="00B8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rontiers Ecol Environ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praxx04pwxf9e2sf6ppfvapsppv5pvvese&quot;&gt;My EndNote Library&lt;record-ids&gt;&lt;item&gt;1167&lt;/item&gt;&lt;item&gt;1168&lt;/item&gt;&lt;/record-ids&gt;&lt;/item&gt;&lt;/Libraries&gt;"/>
  </w:docVars>
  <w:rsids>
    <w:rsidRoot w:val="00B81452"/>
    <w:rsid w:val="006B57CF"/>
    <w:rsid w:val="00AD3852"/>
    <w:rsid w:val="00B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7C83"/>
  <w15:chartTrackingRefBased/>
  <w15:docId w15:val="{7D07FC71-761B-4D33-A43F-945C2A6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52"/>
    <w:pPr>
      <w:spacing w:line="276" w:lineRule="auto"/>
    </w:pPr>
    <w:rPr>
      <w:rFonts w:eastAsia="Calibri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81452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1452"/>
    <w:rPr>
      <w:rFonts w:eastAsia="Calibri" w:cs="Times New Roman"/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1452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1452"/>
    <w:rPr>
      <w:rFonts w:eastAsia="Calibri" w:cs="Times New Roman"/>
      <w:noProof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AA9A7B1.dotm</Template>
  <TotalTime>3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Nam</dc:creator>
  <cp:keywords/>
  <dc:description/>
  <cp:lastModifiedBy>Bui, Nam</cp:lastModifiedBy>
  <cp:revision>2</cp:revision>
  <dcterms:created xsi:type="dcterms:W3CDTF">2019-09-24T09:08:00Z</dcterms:created>
  <dcterms:modified xsi:type="dcterms:W3CDTF">2019-09-24T09:11:00Z</dcterms:modified>
</cp:coreProperties>
</file>