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2160" w:rsidRPr="00146D3B" w:rsidRDefault="00FC22FF" w:rsidP="00146D3B">
      <w:pPr>
        <w:jc w:val="center"/>
        <w:rPr>
          <w:rFonts w:ascii="Times New Roman" w:hAnsi="Times New Roman" w:cs="Times New Roman"/>
          <w:b/>
          <w:i/>
          <w:sz w:val="32"/>
          <w:szCs w:val="32"/>
        </w:rPr>
      </w:pPr>
      <w:r w:rsidRPr="00793B16">
        <w:rPr>
          <w:rFonts w:ascii="Times New Roman" w:hAnsi="Times New Roman" w:cs="Times New Roman"/>
          <w:b/>
          <w:i/>
          <w:sz w:val="32"/>
          <w:szCs w:val="32"/>
        </w:rPr>
        <w:t xml:space="preserve">Supplementary </w:t>
      </w:r>
      <w:r w:rsidR="00C7531D" w:rsidRPr="00793B16">
        <w:rPr>
          <w:rFonts w:ascii="Times New Roman" w:hAnsi="Times New Roman" w:cs="Times New Roman"/>
          <w:b/>
          <w:i/>
          <w:sz w:val="32"/>
          <w:szCs w:val="32"/>
        </w:rPr>
        <w:t>figures</w:t>
      </w:r>
    </w:p>
    <w:p w:rsidR="00195467" w:rsidRPr="00793B16" w:rsidRDefault="00195467">
      <w:pPr>
        <w:rPr>
          <w:rFonts w:ascii="Times New Roman" w:hAnsi="Times New Roman" w:cs="Times New Roman"/>
          <w:color w:val="FF0000"/>
          <w:sz w:val="24"/>
        </w:rPr>
      </w:pPr>
    </w:p>
    <w:p w:rsidR="00B73B9C" w:rsidRPr="00793B16" w:rsidRDefault="00806A36" w:rsidP="00806A36">
      <w:pPr>
        <w:jc w:val="center"/>
        <w:rPr>
          <w:rFonts w:ascii="Times New Roman" w:hAnsi="Times New Roman" w:cs="Times New Roman"/>
          <w:color w:val="FF0000"/>
          <w:sz w:val="24"/>
        </w:rPr>
      </w:pPr>
      <w:r w:rsidRPr="00806A36">
        <w:rPr>
          <w:rFonts w:ascii="Times New Roman" w:hAnsi="Times New Roman" w:cs="Times New Roman"/>
          <w:noProof/>
          <w:color w:val="FF0000"/>
          <w:sz w:val="24"/>
        </w:rPr>
        <w:drawing>
          <wp:inline distT="0" distB="0" distL="0" distR="0">
            <wp:extent cx="6457950" cy="8010525"/>
            <wp:effectExtent l="0" t="0" r="0" b="9525"/>
            <wp:docPr id="2" name="Picture 2" descr="P:\Pathologie\ImmunoGenetics\Marieke IJsselsteijn\Articles\4_IMC_tech_paper\Figures\Sup_fig2\Sup_fig_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athologie\ImmunoGenetics\Marieke IJsselsteijn\Articles\4_IMC_tech_paper\Figures\Sup_fig2\Sup_fig_2A.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457950" cy="8010525"/>
                    </a:xfrm>
                    <a:prstGeom prst="rect">
                      <a:avLst/>
                    </a:prstGeom>
                    <a:noFill/>
                    <a:ln>
                      <a:noFill/>
                    </a:ln>
                  </pic:spPr>
                </pic:pic>
              </a:graphicData>
            </a:graphic>
          </wp:inline>
        </w:drawing>
      </w:r>
    </w:p>
    <w:p w:rsidR="006437D9" w:rsidRPr="000D719F" w:rsidRDefault="00806A36" w:rsidP="00366667">
      <w:pPr>
        <w:spacing w:after="0"/>
        <w:jc w:val="both"/>
        <w:rPr>
          <w:rFonts w:ascii="Times New Roman" w:hAnsi="Times New Roman" w:cs="Times New Roman"/>
          <w:sz w:val="24"/>
        </w:rPr>
      </w:pPr>
      <w:r w:rsidRPr="00793B16">
        <w:rPr>
          <w:rFonts w:ascii="Times New Roman" w:hAnsi="Times New Roman" w:cs="Times New Roman"/>
          <w:b/>
          <w:sz w:val="24"/>
        </w:rPr>
        <w:t xml:space="preserve">Supplementary figure </w:t>
      </w:r>
      <w:r>
        <w:rPr>
          <w:rFonts w:ascii="Times New Roman" w:hAnsi="Times New Roman" w:cs="Times New Roman"/>
          <w:b/>
          <w:sz w:val="24"/>
        </w:rPr>
        <w:t xml:space="preserve">1a. </w:t>
      </w:r>
      <w:r>
        <w:rPr>
          <w:rFonts w:ascii="Times New Roman" w:hAnsi="Times New Roman" w:cs="Times New Roman"/>
          <w:sz w:val="24"/>
        </w:rPr>
        <w:t xml:space="preserve">Comparison of immunodetection patterns between imaging mass cytometry (left panels) and IHC (adjacent right panels) of the 40 markers included in the described imaging mass cytometry panel. </w:t>
      </w:r>
      <w:r w:rsidR="000D719F">
        <w:rPr>
          <w:rFonts w:ascii="Times New Roman" w:hAnsi="Times New Roman" w:cs="Times New Roman"/>
          <w:sz w:val="24"/>
        </w:rPr>
        <w:t xml:space="preserve">Incubation of each antibody for imaging mass cytometry was performed at the determined optimal conditions. Both </w:t>
      </w:r>
      <w:r>
        <w:rPr>
          <w:rFonts w:ascii="Times New Roman" w:hAnsi="Times New Roman" w:cs="Times New Roman"/>
          <w:sz w:val="24"/>
        </w:rPr>
        <w:t>IHC and imaging mass cytometry were performed on tonsil tissue.</w:t>
      </w:r>
    </w:p>
    <w:p w:rsidR="00793B16" w:rsidRPr="00793B16" w:rsidRDefault="00806A36" w:rsidP="00806A36">
      <w:pPr>
        <w:jc w:val="center"/>
        <w:rPr>
          <w:rFonts w:ascii="Times New Roman" w:hAnsi="Times New Roman" w:cs="Times New Roman"/>
          <w:color w:val="FF0000"/>
          <w:sz w:val="24"/>
        </w:rPr>
      </w:pPr>
      <w:r w:rsidRPr="00806A36">
        <w:rPr>
          <w:rFonts w:ascii="Times New Roman" w:hAnsi="Times New Roman" w:cs="Times New Roman"/>
          <w:noProof/>
          <w:color w:val="FF0000"/>
          <w:sz w:val="24"/>
        </w:rPr>
        <w:lastRenderedPageBreak/>
        <w:drawing>
          <wp:inline distT="0" distB="0" distL="0" distR="0">
            <wp:extent cx="6457950" cy="8001000"/>
            <wp:effectExtent l="0" t="0" r="0" b="0"/>
            <wp:docPr id="3" name="Picture 3" descr="P:\Pathologie\ImmunoGenetics\Marieke IJsselsteijn\Articles\4_IMC_tech_paper\Figures\Sup_fig2\Sup_fig_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athologie\ImmunoGenetics\Marieke IJsselsteijn\Articles\4_IMC_tech_paper\Figures\Sup_fig2\Sup_fig_2B.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57950" cy="8001000"/>
                    </a:xfrm>
                    <a:prstGeom prst="rect">
                      <a:avLst/>
                    </a:prstGeom>
                    <a:noFill/>
                    <a:ln>
                      <a:noFill/>
                    </a:ln>
                  </pic:spPr>
                </pic:pic>
              </a:graphicData>
            </a:graphic>
          </wp:inline>
        </w:drawing>
      </w:r>
    </w:p>
    <w:p w:rsidR="00806A36" w:rsidRDefault="00806A36" w:rsidP="00366667">
      <w:pPr>
        <w:spacing w:after="0"/>
        <w:jc w:val="both"/>
        <w:rPr>
          <w:rFonts w:ascii="Times New Roman" w:hAnsi="Times New Roman" w:cs="Times New Roman"/>
          <w:b/>
          <w:sz w:val="24"/>
        </w:rPr>
      </w:pPr>
      <w:r w:rsidRPr="00793B16">
        <w:rPr>
          <w:rFonts w:ascii="Times New Roman" w:hAnsi="Times New Roman" w:cs="Times New Roman"/>
          <w:b/>
          <w:sz w:val="24"/>
        </w:rPr>
        <w:t xml:space="preserve">Supplementary figure </w:t>
      </w:r>
      <w:r>
        <w:rPr>
          <w:rFonts w:ascii="Times New Roman" w:hAnsi="Times New Roman" w:cs="Times New Roman"/>
          <w:b/>
          <w:sz w:val="24"/>
        </w:rPr>
        <w:t xml:space="preserve">1b. </w:t>
      </w:r>
      <w:r w:rsidR="000D719F">
        <w:rPr>
          <w:rFonts w:ascii="Times New Roman" w:hAnsi="Times New Roman" w:cs="Times New Roman"/>
          <w:sz w:val="24"/>
        </w:rPr>
        <w:t>Comparison of immunodetection patterns between imaging mass cytometry (left panels) and IHC (adjacent right panels) of the 40 markers included in the described imaging mass cytometry panel. Incubation of each antibody for imaging mass cytometry was performed at the determined optimal conditions. Both IHC and imaging mass cytometry were performed on tonsil tissue.</w:t>
      </w:r>
    </w:p>
    <w:p w:rsidR="00806A36" w:rsidRDefault="00806A36" w:rsidP="00366667">
      <w:pPr>
        <w:jc w:val="center"/>
        <w:rPr>
          <w:rFonts w:ascii="Times New Roman" w:hAnsi="Times New Roman" w:cs="Times New Roman"/>
          <w:b/>
          <w:sz w:val="24"/>
        </w:rPr>
      </w:pPr>
      <w:r w:rsidRPr="00806A36">
        <w:rPr>
          <w:rFonts w:ascii="Times New Roman" w:hAnsi="Times New Roman" w:cs="Times New Roman"/>
          <w:b/>
          <w:noProof/>
          <w:sz w:val="24"/>
        </w:rPr>
        <w:lastRenderedPageBreak/>
        <w:drawing>
          <wp:inline distT="0" distB="0" distL="0" distR="0">
            <wp:extent cx="6448425" cy="7972425"/>
            <wp:effectExtent l="0" t="0" r="9525" b="9525"/>
            <wp:docPr id="8" name="Picture 8" descr="P:\Pathologie\ImmunoGenetics\Marieke IJsselsteijn\Articles\4_IMC_tech_paper\Figures\Sup_fig2\Sup_fig_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athologie\ImmunoGenetics\Marieke IJsselsteijn\Articles\4_IMC_tech_paper\Figures\Sup_fig2\Sup_fig_2C.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48425" cy="7972425"/>
                    </a:xfrm>
                    <a:prstGeom prst="rect">
                      <a:avLst/>
                    </a:prstGeom>
                    <a:noFill/>
                    <a:ln>
                      <a:noFill/>
                    </a:ln>
                  </pic:spPr>
                </pic:pic>
              </a:graphicData>
            </a:graphic>
          </wp:inline>
        </w:drawing>
      </w:r>
    </w:p>
    <w:p w:rsidR="00806A36" w:rsidRDefault="00806A36" w:rsidP="00366667">
      <w:pPr>
        <w:spacing w:after="0"/>
        <w:jc w:val="both"/>
        <w:rPr>
          <w:rFonts w:ascii="Times New Roman" w:hAnsi="Times New Roman" w:cs="Times New Roman"/>
          <w:b/>
          <w:sz w:val="24"/>
        </w:rPr>
      </w:pPr>
      <w:r w:rsidRPr="00793B16">
        <w:rPr>
          <w:rFonts w:ascii="Times New Roman" w:hAnsi="Times New Roman" w:cs="Times New Roman"/>
          <w:b/>
          <w:sz w:val="24"/>
        </w:rPr>
        <w:t xml:space="preserve">Supplementary figure </w:t>
      </w:r>
      <w:r>
        <w:rPr>
          <w:rFonts w:ascii="Times New Roman" w:hAnsi="Times New Roman" w:cs="Times New Roman"/>
          <w:b/>
          <w:sz w:val="24"/>
        </w:rPr>
        <w:t xml:space="preserve">1c. </w:t>
      </w:r>
      <w:r w:rsidR="000D719F">
        <w:rPr>
          <w:rFonts w:ascii="Times New Roman" w:hAnsi="Times New Roman" w:cs="Times New Roman"/>
          <w:sz w:val="24"/>
        </w:rPr>
        <w:t>Comparison of immunodetection patterns between imaging mass cytometry (left panels) and IHC (adjacent right panels) of the 40 markers included in the described imaging mass cytometry panel. Incubation of each antibody for imaging mass cytometry was performed at the determined optimal conditions. Both IHC and imaging mass cytometry were performed on tonsil tissue.</w:t>
      </w:r>
    </w:p>
    <w:p w:rsidR="00806A36" w:rsidRDefault="00806A36" w:rsidP="00793B16">
      <w:pPr>
        <w:spacing w:after="0"/>
        <w:rPr>
          <w:rFonts w:ascii="Times New Roman" w:hAnsi="Times New Roman" w:cs="Times New Roman"/>
          <w:b/>
          <w:sz w:val="24"/>
        </w:rPr>
      </w:pPr>
    </w:p>
    <w:p w:rsidR="00806A36" w:rsidRDefault="00806A36" w:rsidP="00366667">
      <w:pPr>
        <w:jc w:val="center"/>
        <w:rPr>
          <w:rFonts w:ascii="Times New Roman" w:hAnsi="Times New Roman" w:cs="Times New Roman"/>
          <w:b/>
          <w:sz w:val="24"/>
        </w:rPr>
      </w:pPr>
      <w:r w:rsidRPr="00806A36">
        <w:rPr>
          <w:rFonts w:ascii="Times New Roman" w:hAnsi="Times New Roman" w:cs="Times New Roman"/>
          <w:b/>
          <w:noProof/>
          <w:sz w:val="24"/>
        </w:rPr>
        <w:lastRenderedPageBreak/>
        <w:drawing>
          <wp:inline distT="0" distB="0" distL="0" distR="0">
            <wp:extent cx="6438900" cy="7962900"/>
            <wp:effectExtent l="0" t="0" r="0" b="0"/>
            <wp:docPr id="9" name="Picture 9" descr="P:\Pathologie\ImmunoGenetics\Marieke IJsselsteijn\Articles\4_IMC_tech_paper\Figures\Sup_fig2\Sup_fig_2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athologie\ImmunoGenetics\Marieke IJsselsteijn\Articles\4_IMC_tech_paper\Figures\Sup_fig2\Sup_fig_2D.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38900" cy="7962900"/>
                    </a:xfrm>
                    <a:prstGeom prst="rect">
                      <a:avLst/>
                    </a:prstGeom>
                    <a:noFill/>
                    <a:ln>
                      <a:noFill/>
                    </a:ln>
                  </pic:spPr>
                </pic:pic>
              </a:graphicData>
            </a:graphic>
          </wp:inline>
        </w:drawing>
      </w:r>
    </w:p>
    <w:p w:rsidR="00B73B9C" w:rsidRPr="00793B16" w:rsidRDefault="00793B16" w:rsidP="00366667">
      <w:pPr>
        <w:spacing w:after="0"/>
        <w:jc w:val="both"/>
        <w:rPr>
          <w:rFonts w:ascii="Times New Roman" w:hAnsi="Times New Roman" w:cs="Times New Roman"/>
          <w:color w:val="FF0000"/>
          <w:sz w:val="24"/>
        </w:rPr>
      </w:pPr>
      <w:r w:rsidRPr="00793B16">
        <w:rPr>
          <w:rFonts w:ascii="Times New Roman" w:hAnsi="Times New Roman" w:cs="Times New Roman"/>
          <w:b/>
          <w:sz w:val="24"/>
        </w:rPr>
        <w:t xml:space="preserve">Supplementary figure </w:t>
      </w:r>
      <w:r w:rsidR="00146D3B">
        <w:rPr>
          <w:rFonts w:ascii="Times New Roman" w:hAnsi="Times New Roman" w:cs="Times New Roman"/>
          <w:b/>
          <w:sz w:val="24"/>
        </w:rPr>
        <w:t>1</w:t>
      </w:r>
      <w:r w:rsidR="00806A36">
        <w:rPr>
          <w:rFonts w:ascii="Times New Roman" w:hAnsi="Times New Roman" w:cs="Times New Roman"/>
          <w:b/>
          <w:sz w:val="24"/>
        </w:rPr>
        <w:t>d</w:t>
      </w:r>
      <w:r w:rsidR="00146D3B">
        <w:rPr>
          <w:rFonts w:ascii="Times New Roman" w:hAnsi="Times New Roman" w:cs="Times New Roman"/>
          <w:b/>
          <w:sz w:val="24"/>
        </w:rPr>
        <w:t xml:space="preserve">. </w:t>
      </w:r>
      <w:r w:rsidR="000D719F">
        <w:rPr>
          <w:rFonts w:ascii="Times New Roman" w:hAnsi="Times New Roman" w:cs="Times New Roman"/>
          <w:sz w:val="24"/>
        </w:rPr>
        <w:t>Comparison of immunodetection patterns between imaging mass cytometry (left panels) and IHC (adjacent right panels) of the 40 markers included in the described imaging mass cytometry panel. Incubation of each antibody for imaging mass cytometry was performed at the determined optimal conditions. Both IHC and imaging mass cytometry were performed on tonsil tissue.</w:t>
      </w:r>
    </w:p>
    <w:p w:rsidR="00FC22FF" w:rsidRPr="00793B16" w:rsidRDefault="00FC22FF">
      <w:pPr>
        <w:rPr>
          <w:rFonts w:ascii="Times New Roman" w:hAnsi="Times New Roman" w:cs="Times New Roman"/>
          <w:color w:val="FF0000"/>
          <w:sz w:val="24"/>
        </w:rPr>
      </w:pPr>
    </w:p>
    <w:p w:rsidR="00806A36" w:rsidRDefault="00806A36">
      <w:pPr>
        <w:rPr>
          <w:rFonts w:ascii="Times New Roman" w:hAnsi="Times New Roman" w:cs="Times New Roman"/>
          <w:b/>
          <w:sz w:val="24"/>
        </w:rPr>
      </w:pPr>
    </w:p>
    <w:p w:rsidR="00FC22FF" w:rsidRPr="00793B16" w:rsidRDefault="00793B16" w:rsidP="00366667">
      <w:pPr>
        <w:jc w:val="both"/>
        <w:rPr>
          <w:rFonts w:ascii="Times New Roman" w:hAnsi="Times New Roman" w:cs="Times New Roman"/>
          <w:sz w:val="24"/>
        </w:rPr>
      </w:pPr>
      <w:bookmarkStart w:id="0" w:name="_GoBack"/>
      <w:r>
        <w:rPr>
          <w:rFonts w:ascii="Times New Roman" w:hAnsi="Times New Roman" w:cs="Times New Roman"/>
          <w:b/>
          <w:sz w:val="24"/>
        </w:rPr>
        <w:lastRenderedPageBreak/>
        <w:t>Supplementary table 1.</w:t>
      </w:r>
      <w:r w:rsidR="00FC22FF" w:rsidRPr="00793B16">
        <w:rPr>
          <w:rFonts w:ascii="Times New Roman" w:hAnsi="Times New Roman" w:cs="Times New Roman"/>
          <w:sz w:val="24"/>
        </w:rPr>
        <w:t xml:space="preserve"> Supplier and antigen retrieval</w:t>
      </w:r>
      <w:r w:rsidR="00B27BF9" w:rsidRPr="00793B16">
        <w:rPr>
          <w:rFonts w:ascii="Times New Roman" w:hAnsi="Times New Roman" w:cs="Times New Roman"/>
          <w:sz w:val="24"/>
        </w:rPr>
        <w:t xml:space="preserve"> (AR) </w:t>
      </w:r>
      <w:r w:rsidR="00FC22FF" w:rsidRPr="00793B16">
        <w:rPr>
          <w:rFonts w:ascii="Times New Roman" w:hAnsi="Times New Roman" w:cs="Times New Roman"/>
          <w:sz w:val="24"/>
        </w:rPr>
        <w:t xml:space="preserve"> information of 40-antibody imaging mass </w:t>
      </w:r>
      <w:bookmarkEnd w:id="0"/>
      <w:r w:rsidR="00FC22FF" w:rsidRPr="00793B16">
        <w:rPr>
          <w:rFonts w:ascii="Times New Roman" w:hAnsi="Times New Roman" w:cs="Times New Roman"/>
          <w:sz w:val="24"/>
        </w:rPr>
        <w:t>cytometry panel.</w:t>
      </w:r>
    </w:p>
    <w:p w:rsidR="00FC22FF" w:rsidRPr="00793B16" w:rsidRDefault="00EF18F8" w:rsidP="006437D9">
      <w:pPr>
        <w:jc w:val="center"/>
        <w:rPr>
          <w:rFonts w:ascii="Times New Roman" w:hAnsi="Times New Roman" w:cs="Times New Roman"/>
          <w:sz w:val="24"/>
        </w:rPr>
      </w:pPr>
      <w:r w:rsidRPr="00793B16">
        <w:rPr>
          <w:rFonts w:ascii="Times New Roman" w:hAnsi="Times New Roman" w:cs="Times New Roman"/>
          <w:noProof/>
          <w:sz w:val="24"/>
        </w:rPr>
        <w:drawing>
          <wp:inline distT="0" distB="0" distL="0" distR="0">
            <wp:extent cx="6264000" cy="7863509"/>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4000" cy="7863509"/>
                    </a:xfrm>
                    <a:prstGeom prst="rect">
                      <a:avLst/>
                    </a:prstGeom>
                    <a:noFill/>
                    <a:ln>
                      <a:noFill/>
                    </a:ln>
                  </pic:spPr>
                </pic:pic>
              </a:graphicData>
            </a:graphic>
          </wp:inline>
        </w:drawing>
      </w:r>
    </w:p>
    <w:p w:rsidR="00FC22FF" w:rsidRPr="00793B16" w:rsidRDefault="00FC22FF">
      <w:pPr>
        <w:rPr>
          <w:rFonts w:ascii="Times New Roman" w:hAnsi="Times New Roman" w:cs="Times New Roman"/>
          <w:sz w:val="24"/>
        </w:rPr>
      </w:pPr>
      <w:r w:rsidRPr="00793B16">
        <w:rPr>
          <w:rFonts w:ascii="Times New Roman" w:hAnsi="Times New Roman" w:cs="Times New Roman"/>
          <w:sz w:val="24"/>
        </w:rPr>
        <w:br w:type="page"/>
      </w:r>
    </w:p>
    <w:p w:rsidR="00C7531D" w:rsidRPr="00793B16" w:rsidRDefault="00C7531D">
      <w:pPr>
        <w:rPr>
          <w:rFonts w:ascii="Times New Roman" w:hAnsi="Times New Roman" w:cs="Times New Roman"/>
          <w:sz w:val="24"/>
        </w:rPr>
        <w:sectPr w:rsidR="00C7531D" w:rsidRPr="00793B16" w:rsidSect="00B73B9C">
          <w:type w:val="continuous"/>
          <w:pgSz w:w="11906" w:h="16838"/>
          <w:pgMar w:top="720" w:right="720" w:bottom="720" w:left="720" w:header="708" w:footer="708" w:gutter="0"/>
          <w:cols w:space="708"/>
          <w:docGrid w:linePitch="360"/>
        </w:sectPr>
      </w:pPr>
    </w:p>
    <w:p w:rsidR="00C7531D" w:rsidRPr="00793B16" w:rsidRDefault="006437D9" w:rsidP="006437D9">
      <w:pPr>
        <w:spacing w:after="0"/>
        <w:ind w:firstLine="720"/>
        <w:rPr>
          <w:rFonts w:ascii="Times New Roman" w:hAnsi="Times New Roman" w:cs="Times New Roman"/>
          <w:sz w:val="24"/>
        </w:rPr>
      </w:pPr>
      <w:r w:rsidRPr="00793B16">
        <w:rPr>
          <w:rFonts w:ascii="Times New Roman" w:hAnsi="Times New Roman" w:cs="Times New Roman"/>
          <w:b/>
          <w:sz w:val="24"/>
        </w:rPr>
        <w:lastRenderedPageBreak/>
        <w:t xml:space="preserve"> </w:t>
      </w:r>
      <w:r w:rsidR="00793B16">
        <w:rPr>
          <w:rFonts w:ascii="Times New Roman" w:hAnsi="Times New Roman" w:cs="Times New Roman"/>
          <w:b/>
          <w:sz w:val="24"/>
        </w:rPr>
        <w:t>Supplementary table 2.</w:t>
      </w:r>
      <w:r w:rsidR="00C7531D" w:rsidRPr="00793B16">
        <w:rPr>
          <w:rFonts w:ascii="Times New Roman" w:hAnsi="Times New Roman" w:cs="Times New Roman"/>
          <w:sz w:val="24"/>
        </w:rPr>
        <w:t xml:space="preserve"> </w:t>
      </w:r>
      <w:r w:rsidR="001176D3" w:rsidRPr="00793B16">
        <w:rPr>
          <w:rFonts w:ascii="Times New Roman" w:hAnsi="Times New Roman" w:cs="Times New Roman"/>
          <w:sz w:val="24"/>
        </w:rPr>
        <w:t>Antibodies unsuitable for inclusion in the 40-antibody imaging mass cytometry panel and reasons for exclusion</w:t>
      </w:r>
      <w:r w:rsidR="00C7531D" w:rsidRPr="00793B16">
        <w:rPr>
          <w:rFonts w:ascii="Times New Roman" w:hAnsi="Times New Roman" w:cs="Times New Roman"/>
          <w:sz w:val="24"/>
        </w:rPr>
        <w:t>.</w:t>
      </w:r>
    </w:p>
    <w:p w:rsidR="00FC22FF" w:rsidRPr="00793B16" w:rsidRDefault="00FC22FF" w:rsidP="006437D9">
      <w:pPr>
        <w:jc w:val="center"/>
        <w:rPr>
          <w:rFonts w:ascii="Times New Roman" w:hAnsi="Times New Roman" w:cs="Times New Roman"/>
          <w:sz w:val="24"/>
        </w:rPr>
      </w:pPr>
      <w:r w:rsidRPr="00793B16">
        <w:rPr>
          <w:rFonts w:ascii="Times New Roman" w:hAnsi="Times New Roman" w:cs="Times New Roman"/>
          <w:sz w:val="24"/>
        </w:rPr>
        <w:br/>
      </w:r>
      <w:r w:rsidR="000351F3" w:rsidRPr="00793B16">
        <w:rPr>
          <w:rFonts w:ascii="Times New Roman" w:hAnsi="Times New Roman" w:cs="Times New Roman"/>
          <w:noProof/>
          <w:sz w:val="24"/>
        </w:rPr>
        <w:drawing>
          <wp:inline distT="0" distB="0" distL="0" distR="0">
            <wp:extent cx="8801327" cy="43061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06936" cy="4308930"/>
                    </a:xfrm>
                    <a:prstGeom prst="rect">
                      <a:avLst/>
                    </a:prstGeom>
                    <a:noFill/>
                    <a:ln>
                      <a:noFill/>
                    </a:ln>
                  </pic:spPr>
                </pic:pic>
              </a:graphicData>
            </a:graphic>
          </wp:inline>
        </w:drawing>
      </w:r>
    </w:p>
    <w:sectPr w:rsidR="00FC22FF" w:rsidRPr="00793B16" w:rsidSect="00B73B9C">
      <w:type w:val="continuous"/>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2FF"/>
    <w:rsid w:val="000351F3"/>
    <w:rsid w:val="000D719F"/>
    <w:rsid w:val="001176D3"/>
    <w:rsid w:val="00146D3B"/>
    <w:rsid w:val="00195467"/>
    <w:rsid w:val="00265615"/>
    <w:rsid w:val="00332160"/>
    <w:rsid w:val="00366667"/>
    <w:rsid w:val="006437D9"/>
    <w:rsid w:val="00793B16"/>
    <w:rsid w:val="007C6DAD"/>
    <w:rsid w:val="00806A36"/>
    <w:rsid w:val="00821711"/>
    <w:rsid w:val="0098291D"/>
    <w:rsid w:val="00B27BF9"/>
    <w:rsid w:val="00B73B9C"/>
    <w:rsid w:val="00B95D16"/>
    <w:rsid w:val="00BF23FA"/>
    <w:rsid w:val="00C7531D"/>
    <w:rsid w:val="00D71509"/>
    <w:rsid w:val="00D86E7F"/>
    <w:rsid w:val="00DA36A9"/>
    <w:rsid w:val="00E16F3F"/>
    <w:rsid w:val="00E50BA0"/>
    <w:rsid w:val="00EF18F8"/>
    <w:rsid w:val="00FA0275"/>
    <w:rsid w:val="00FC22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7036CD-DC4B-42E3-B59C-77603C77A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074262">
      <w:bodyDiv w:val="1"/>
      <w:marLeft w:val="0"/>
      <w:marRight w:val="0"/>
      <w:marTop w:val="0"/>
      <w:marBottom w:val="0"/>
      <w:divBdr>
        <w:top w:val="none" w:sz="0" w:space="0" w:color="auto"/>
        <w:left w:val="none" w:sz="0" w:space="0" w:color="auto"/>
        <w:bottom w:val="none" w:sz="0" w:space="0" w:color="auto"/>
        <w:right w:val="none" w:sz="0" w:space="0" w:color="auto"/>
      </w:divBdr>
    </w:div>
    <w:div w:id="1055010001">
      <w:bodyDiv w:val="1"/>
      <w:marLeft w:val="0"/>
      <w:marRight w:val="0"/>
      <w:marTop w:val="0"/>
      <w:marBottom w:val="0"/>
      <w:divBdr>
        <w:top w:val="none" w:sz="0" w:space="0" w:color="auto"/>
        <w:left w:val="none" w:sz="0" w:space="0" w:color="auto"/>
        <w:bottom w:val="none" w:sz="0" w:space="0" w:color="auto"/>
        <w:right w:val="none" w:sz="0" w:space="0" w:color="auto"/>
      </w:divBdr>
    </w:div>
    <w:div w:id="1776904940">
      <w:bodyDiv w:val="1"/>
      <w:marLeft w:val="0"/>
      <w:marRight w:val="0"/>
      <w:marTop w:val="0"/>
      <w:marBottom w:val="0"/>
      <w:divBdr>
        <w:top w:val="none" w:sz="0" w:space="0" w:color="auto"/>
        <w:left w:val="none" w:sz="0" w:space="0" w:color="auto"/>
        <w:bottom w:val="none" w:sz="0" w:space="0" w:color="auto"/>
        <w:right w:val="none" w:sz="0" w:space="0" w:color="auto"/>
      </w:divBdr>
    </w:div>
    <w:div w:id="179687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5D99EA57</Template>
  <TotalTime>1</TotalTime>
  <Pages>6</Pages>
  <Words>277</Words>
  <Characters>1581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IJsselsteijn, M.E. (PATH)</dc:creator>
  <cp:keywords/>
  <dc:description/>
  <cp:lastModifiedBy>IJsselsteijn, M.E. (PATH)</cp:lastModifiedBy>
  <cp:revision>3</cp:revision>
  <dcterms:created xsi:type="dcterms:W3CDTF">2019-09-29T14:20:00Z</dcterms:created>
  <dcterms:modified xsi:type="dcterms:W3CDTF">2019-09-29T14:22:00Z</dcterms:modified>
</cp:coreProperties>
</file>