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05D7" w14:textId="77777777" w:rsidR="003314E7" w:rsidRPr="007A2058" w:rsidRDefault="003314E7" w:rsidP="007A2058">
      <w:pPr>
        <w:autoSpaceDE w:val="0"/>
        <w:autoSpaceDN w:val="0"/>
        <w:adjustRightInd w:val="0"/>
        <w:spacing w:before="100" w:after="100" w:line="480" w:lineRule="auto"/>
        <w:jc w:val="left"/>
        <w:rPr>
          <w:rFonts w:ascii="Calibri" w:eastAsia="SimSun" w:hAnsi="Calibri" w:cs="Calibri"/>
          <w:b/>
        </w:rPr>
      </w:pPr>
      <w:r w:rsidRPr="007A2058">
        <w:rPr>
          <w:rFonts w:ascii="Calibri" w:eastAsia="SimSun" w:hAnsi="Calibri" w:cs="Calibri" w:hint="eastAsia"/>
          <w:b/>
        </w:rPr>
        <w:t>S</w:t>
      </w:r>
      <w:r w:rsidRPr="007A2058">
        <w:rPr>
          <w:rFonts w:ascii="Calibri" w:eastAsia="SimSun" w:hAnsi="Calibri" w:cs="Calibri"/>
          <w:b/>
        </w:rPr>
        <w:t>upplementary table legends</w:t>
      </w:r>
    </w:p>
    <w:p w14:paraId="518DD78E" w14:textId="77777777" w:rsidR="003314E7" w:rsidRDefault="003314E7"/>
    <w:p w14:paraId="4993433E" w14:textId="77777777" w:rsidR="003314E7" w:rsidRPr="005142BE" w:rsidRDefault="003314E7" w:rsidP="003314E7">
      <w:pPr>
        <w:autoSpaceDE w:val="0"/>
        <w:autoSpaceDN w:val="0"/>
        <w:adjustRightInd w:val="0"/>
        <w:spacing w:before="100" w:after="100" w:line="480" w:lineRule="auto"/>
        <w:jc w:val="left"/>
        <w:rPr>
          <w:rFonts w:ascii="Calibri" w:eastAsia="SimSun" w:hAnsi="Calibri" w:cs="Calibri"/>
          <w:b/>
        </w:rPr>
      </w:pPr>
      <w:r w:rsidRPr="005142BE">
        <w:rPr>
          <w:rFonts w:ascii="Calibri" w:eastAsia="SimSun" w:hAnsi="Calibri" w:cs="Calibri" w:hint="eastAsia"/>
          <w:b/>
        </w:rPr>
        <w:t>S</w:t>
      </w:r>
      <w:r w:rsidRPr="005142BE">
        <w:rPr>
          <w:rFonts w:ascii="Calibri" w:eastAsia="SimSun" w:hAnsi="Calibri" w:cs="Calibri"/>
          <w:b/>
        </w:rPr>
        <w:t>upplementary table 1</w:t>
      </w:r>
    </w:p>
    <w:p w14:paraId="31878781" w14:textId="77777777" w:rsidR="003314E7" w:rsidRDefault="003314E7" w:rsidP="003314E7">
      <w:pPr>
        <w:autoSpaceDE w:val="0"/>
        <w:autoSpaceDN w:val="0"/>
        <w:adjustRightInd w:val="0"/>
        <w:spacing w:before="100" w:after="100" w:line="480" w:lineRule="auto"/>
        <w:jc w:val="left"/>
        <w:rPr>
          <w:rFonts w:ascii="Calibri" w:eastAsia="SimSun" w:hAnsi="Calibri" w:cs="Calibri"/>
        </w:rPr>
      </w:pPr>
      <w:r>
        <w:rPr>
          <w:rFonts w:ascii="Calibri" w:eastAsia="SimSun" w:hAnsi="Calibri" w:cs="Calibri" w:hint="eastAsia"/>
        </w:rPr>
        <w:t>P</w:t>
      </w:r>
      <w:r>
        <w:rPr>
          <w:rFonts w:ascii="Calibri" w:eastAsia="SimSun" w:hAnsi="Calibri" w:cs="Calibri"/>
        </w:rPr>
        <w:t>atients’ general characteristics including age, sex, and disease FAB-subtypes distribution of 113 patients with positive NGS result in our center</w:t>
      </w:r>
    </w:p>
    <w:p w14:paraId="37661B82" w14:textId="77777777" w:rsidR="003314E7" w:rsidRDefault="003314E7" w:rsidP="003314E7">
      <w:pPr>
        <w:autoSpaceDE w:val="0"/>
        <w:autoSpaceDN w:val="0"/>
        <w:adjustRightInd w:val="0"/>
        <w:spacing w:before="100" w:after="100" w:line="480" w:lineRule="auto"/>
        <w:jc w:val="left"/>
        <w:rPr>
          <w:rFonts w:ascii="Calibri" w:eastAsia="SimSun" w:hAnsi="Calibri" w:cs="Calibri"/>
        </w:rPr>
      </w:pPr>
    </w:p>
    <w:p w14:paraId="633A142E" w14:textId="77777777" w:rsidR="003314E7" w:rsidRPr="005142BE" w:rsidRDefault="003314E7" w:rsidP="003314E7">
      <w:pPr>
        <w:autoSpaceDE w:val="0"/>
        <w:autoSpaceDN w:val="0"/>
        <w:adjustRightInd w:val="0"/>
        <w:spacing w:before="100" w:after="100" w:line="480" w:lineRule="auto"/>
        <w:jc w:val="left"/>
        <w:rPr>
          <w:rFonts w:ascii="Calibri" w:eastAsia="SimSun" w:hAnsi="Calibri" w:cs="Calibri"/>
          <w:b/>
        </w:rPr>
      </w:pPr>
      <w:r w:rsidRPr="005142BE">
        <w:rPr>
          <w:rFonts w:ascii="Calibri" w:eastAsia="SimSun" w:hAnsi="Calibri" w:cs="Calibri" w:hint="eastAsia"/>
          <w:b/>
        </w:rPr>
        <w:t>S</w:t>
      </w:r>
      <w:r w:rsidRPr="005142BE">
        <w:rPr>
          <w:rFonts w:ascii="Calibri" w:eastAsia="SimSun" w:hAnsi="Calibri" w:cs="Calibri"/>
          <w:b/>
        </w:rPr>
        <w:t>upplementary table 2</w:t>
      </w:r>
    </w:p>
    <w:p w14:paraId="46250D44" w14:textId="77777777" w:rsidR="003314E7" w:rsidRPr="007A2058" w:rsidRDefault="003314E7" w:rsidP="003314E7">
      <w:pPr>
        <w:autoSpaceDE w:val="0"/>
        <w:autoSpaceDN w:val="0"/>
        <w:adjustRightInd w:val="0"/>
        <w:spacing w:before="100" w:after="100" w:line="480" w:lineRule="auto"/>
        <w:jc w:val="left"/>
        <w:rPr>
          <w:rFonts w:ascii="Calibri" w:eastAsia="SimSun" w:hAnsi="Calibri" w:cs="Calibri"/>
        </w:rPr>
      </w:pPr>
      <w:r w:rsidRPr="007A2058">
        <w:rPr>
          <w:rFonts w:ascii="Calibri" w:eastAsia="SimSun" w:hAnsi="Calibri" w:cs="Calibri" w:hint="eastAsia"/>
        </w:rPr>
        <w:t>D</w:t>
      </w:r>
      <w:r w:rsidRPr="007A2058">
        <w:rPr>
          <w:rFonts w:ascii="Calibri" w:eastAsia="SimSun" w:hAnsi="Calibri" w:cs="Calibri"/>
        </w:rPr>
        <w:t>etailed variant numbers and subtype distributions of the 17 genes included in the AML NGS panel.</w:t>
      </w:r>
    </w:p>
    <w:p w14:paraId="167ABA67" w14:textId="77777777" w:rsidR="003314E7" w:rsidRDefault="003314E7"/>
    <w:p w14:paraId="7D4DCCF1" w14:textId="77777777" w:rsidR="00DF22D5" w:rsidRDefault="00DF22D5"/>
    <w:p w14:paraId="2CBC3D5A" w14:textId="77777777" w:rsidR="00DF22D5" w:rsidRDefault="00DF22D5">
      <w:pPr>
        <w:rPr>
          <w:b/>
        </w:rPr>
      </w:pPr>
      <w:r w:rsidRPr="00DF22D5">
        <w:rPr>
          <w:rFonts w:hint="eastAsia"/>
          <w:b/>
        </w:rPr>
        <w:t>S</w:t>
      </w:r>
      <w:r w:rsidRPr="00DF22D5">
        <w:rPr>
          <w:b/>
        </w:rPr>
        <w:t>upplementary Figure Legend</w:t>
      </w:r>
    </w:p>
    <w:p w14:paraId="4C8A6CA7" w14:textId="77777777" w:rsidR="00DF22D5" w:rsidRPr="00DF22D5" w:rsidRDefault="00DF22D5">
      <w:pPr>
        <w:rPr>
          <w:b/>
        </w:rPr>
      </w:pPr>
    </w:p>
    <w:p w14:paraId="75771D07" w14:textId="77777777" w:rsidR="00DF22D5" w:rsidRPr="00DF22D5" w:rsidRDefault="00DF22D5">
      <w:pPr>
        <w:rPr>
          <w:rFonts w:ascii="Calibri" w:eastAsia="SimSun" w:hAnsi="Calibri" w:cs="Calibri"/>
          <w:b/>
        </w:rPr>
      </w:pPr>
      <w:r w:rsidRPr="00DF22D5">
        <w:rPr>
          <w:rFonts w:ascii="Calibri" w:eastAsia="SimSun" w:hAnsi="Calibri" w:cs="Calibri"/>
          <w:b/>
        </w:rPr>
        <w:t xml:space="preserve">Supplementary Figure </w:t>
      </w:r>
      <w:r w:rsidR="0027604F">
        <w:rPr>
          <w:rFonts w:ascii="Calibri" w:eastAsia="SimSun" w:hAnsi="Calibri" w:cs="Calibri"/>
          <w:b/>
        </w:rPr>
        <w:t>1</w:t>
      </w:r>
    </w:p>
    <w:p w14:paraId="75A197FD" w14:textId="77777777" w:rsidR="00DF22D5" w:rsidRPr="00DF22D5" w:rsidRDefault="00DF22D5">
      <w:pPr>
        <w:rPr>
          <w:rFonts w:ascii="Calibri" w:eastAsia="SimSun" w:hAnsi="Calibri" w:cs="Calibri"/>
        </w:rPr>
      </w:pPr>
    </w:p>
    <w:p w14:paraId="5350CE41" w14:textId="77777777" w:rsidR="00DF22D5" w:rsidRPr="00DF22D5" w:rsidRDefault="00DF22D5" w:rsidP="00DF22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ind w:firstLineChars="0"/>
        <w:jc w:val="left"/>
        <w:rPr>
          <w:rFonts w:ascii="Calibri" w:eastAsia="SimSun" w:hAnsi="Calibri" w:cs="Calibri"/>
          <w:szCs w:val="24"/>
        </w:rPr>
      </w:pPr>
      <w:r w:rsidRPr="00DF22D5">
        <w:rPr>
          <w:rFonts w:ascii="Calibri" w:eastAsia="SimSun" w:hAnsi="Calibri" w:cs="Calibri"/>
        </w:rPr>
        <w:t xml:space="preserve">Overall survival comparison of AML patients carrying DNMT3A R882 and DNMT3A frameshift mutations from the cohort at our center. Survival analysis was performed with the Kaplan-Meier method and was statistically compared with the </w:t>
      </w:r>
      <w:proofErr w:type="spellStart"/>
      <w:r w:rsidRPr="00DF22D5">
        <w:rPr>
          <w:rFonts w:ascii="Calibri" w:eastAsia="SimSun" w:hAnsi="Calibri" w:cs="Calibri"/>
        </w:rPr>
        <w:t>Gehan</w:t>
      </w:r>
      <w:proofErr w:type="spellEnd"/>
      <w:r w:rsidRPr="00DF22D5">
        <w:rPr>
          <w:rFonts w:ascii="Calibri" w:eastAsia="SimSun" w:hAnsi="Calibri" w:cs="Calibri"/>
        </w:rPr>
        <w:t>-Breslow-Wilcoxon test.</w:t>
      </w:r>
    </w:p>
    <w:p w14:paraId="5E056B81" w14:textId="77777777" w:rsidR="00DF22D5" w:rsidRDefault="00DF22D5" w:rsidP="00DF22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ind w:firstLineChars="0"/>
        <w:jc w:val="left"/>
        <w:rPr>
          <w:rFonts w:ascii="Calibri" w:eastAsia="SimSun" w:hAnsi="Calibri" w:cs="Calibri"/>
          <w:szCs w:val="24"/>
        </w:rPr>
      </w:pPr>
      <w:r w:rsidRPr="00DF22D5">
        <w:rPr>
          <w:rFonts w:ascii="Calibri" w:eastAsia="SimSun" w:hAnsi="Calibri" w:cs="Calibri"/>
          <w:szCs w:val="24"/>
        </w:rPr>
        <w:t xml:space="preserve">Overall survival comparison of AML patients carrying DNMT3A R882 and DNMT3A frameshift mutations from the cohort from TCGA database. Survival analysis was performed with the Kaplan-Meier method and was statistically compared with the </w:t>
      </w:r>
      <w:proofErr w:type="spellStart"/>
      <w:r w:rsidRPr="00DF22D5">
        <w:rPr>
          <w:rFonts w:ascii="Calibri" w:eastAsia="SimSun" w:hAnsi="Calibri" w:cs="Calibri"/>
          <w:szCs w:val="24"/>
        </w:rPr>
        <w:t>Gehan</w:t>
      </w:r>
      <w:proofErr w:type="spellEnd"/>
      <w:r w:rsidRPr="00DF22D5">
        <w:rPr>
          <w:rFonts w:ascii="Calibri" w:eastAsia="SimSun" w:hAnsi="Calibri" w:cs="Calibri"/>
          <w:szCs w:val="24"/>
        </w:rPr>
        <w:t>-Breslow-Wilcoxon test</w:t>
      </w:r>
      <w:r>
        <w:rPr>
          <w:rFonts w:ascii="Calibri" w:eastAsia="SimSun" w:hAnsi="Calibri" w:cs="Calibri"/>
          <w:szCs w:val="24"/>
        </w:rPr>
        <w:t>.</w:t>
      </w:r>
    </w:p>
    <w:p w14:paraId="10FA102E" w14:textId="77777777" w:rsidR="00DF22D5" w:rsidRDefault="00DF22D5" w:rsidP="00DF22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ind w:firstLineChars="0"/>
        <w:jc w:val="left"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 xml:space="preserve">-  </w:t>
      </w:r>
      <w:r w:rsidRPr="00DF22D5">
        <w:rPr>
          <w:rFonts w:ascii="Calibri" w:eastAsia="SimSun" w:hAnsi="Calibri" w:cs="Calibri"/>
        </w:rPr>
        <w:t>D)</w:t>
      </w:r>
      <w:r>
        <w:rPr>
          <w:rFonts w:ascii="Calibri" w:eastAsia="SimSun" w:hAnsi="Calibri" w:cs="Calibri"/>
        </w:rPr>
        <w:t xml:space="preserve"> </w:t>
      </w:r>
    </w:p>
    <w:p w14:paraId="644B5FCB" w14:textId="4CD45D0A" w:rsidR="00DF22D5" w:rsidRPr="00DF22D5" w:rsidRDefault="00DF22D5" w:rsidP="00DF22D5">
      <w:pPr>
        <w:pStyle w:val="ListParagraph"/>
        <w:autoSpaceDE w:val="0"/>
        <w:autoSpaceDN w:val="0"/>
        <w:adjustRightInd w:val="0"/>
        <w:spacing w:before="100" w:after="100"/>
        <w:ind w:left="360" w:firstLineChars="0" w:firstLine="0"/>
        <w:jc w:val="left"/>
        <w:rPr>
          <w:rFonts w:ascii="Calibri" w:eastAsia="SimSun" w:hAnsi="Calibri" w:cs="Calibri"/>
        </w:rPr>
      </w:pPr>
      <w:r w:rsidRPr="00DF22D5">
        <w:rPr>
          <w:rFonts w:ascii="Calibri" w:eastAsia="SimSun" w:hAnsi="Calibri" w:cs="Calibri"/>
        </w:rPr>
        <w:t xml:space="preserve">Overall survival comparison of 2 groups of AML patients carrying DNMT3A mutations (R882s and non-R882s) from </w:t>
      </w:r>
      <w:bookmarkStart w:id="0" w:name="_GoBack"/>
      <w:bookmarkEnd w:id="0"/>
      <w:r w:rsidRPr="00DF22D5">
        <w:rPr>
          <w:rFonts w:ascii="Calibri" w:eastAsia="SimSun" w:hAnsi="Calibri" w:cs="Calibri"/>
        </w:rPr>
        <w:t>the TCGA database. Patients were separated into high/low group by the expression value ranking of miR-10b</w:t>
      </w:r>
      <w:r>
        <w:rPr>
          <w:rFonts w:ascii="Calibri" w:eastAsia="SimSun" w:hAnsi="Calibri" w:cs="Calibri"/>
        </w:rPr>
        <w:t xml:space="preserve"> and miR-30</w:t>
      </w:r>
      <w:proofErr w:type="gramStart"/>
      <w:r>
        <w:rPr>
          <w:rFonts w:ascii="Calibri" w:eastAsia="SimSun" w:hAnsi="Calibri" w:cs="Calibri"/>
        </w:rPr>
        <w:t>a</w:t>
      </w:r>
      <w:r w:rsidRPr="00DF22D5">
        <w:rPr>
          <w:rFonts w:ascii="Calibri" w:eastAsia="SimSun" w:hAnsi="Calibri" w:cs="Calibri"/>
        </w:rPr>
        <w:t xml:space="preserve"> .</w:t>
      </w:r>
      <w:proofErr w:type="gramEnd"/>
      <w:r w:rsidRPr="00DF22D5">
        <w:rPr>
          <w:rFonts w:ascii="Calibri" w:eastAsia="SimSun" w:hAnsi="Calibri" w:cs="Calibri"/>
        </w:rPr>
        <w:t xml:space="preserve"> Each group contained patients whose expression value ranked </w:t>
      </w:r>
      <w:r w:rsidRPr="00DF22D5">
        <w:rPr>
          <w:rFonts w:ascii="Calibri" w:eastAsia="SimSun" w:hAnsi="Calibri" w:cs="Calibri" w:hint="eastAsia"/>
        </w:rPr>
        <w:t>top</w:t>
      </w:r>
      <w:r w:rsidRPr="00DF22D5">
        <w:rPr>
          <w:rFonts w:ascii="Calibri" w:eastAsia="SimSun" w:hAnsi="Calibri" w:cs="Calibri"/>
        </w:rPr>
        <w:t xml:space="preserve"> or bottom 45%. Survival analysis was performed with the Kaplan-Meier method and was statistically compared with the </w:t>
      </w:r>
      <w:proofErr w:type="spellStart"/>
      <w:r w:rsidRPr="00DF22D5">
        <w:rPr>
          <w:rFonts w:ascii="Calibri" w:eastAsia="SimSun" w:hAnsi="Calibri" w:cs="Calibri"/>
        </w:rPr>
        <w:t>Gehan</w:t>
      </w:r>
      <w:proofErr w:type="spellEnd"/>
      <w:r w:rsidRPr="00DF22D5">
        <w:rPr>
          <w:rFonts w:ascii="Calibri" w:eastAsia="SimSun" w:hAnsi="Calibri" w:cs="Calibri"/>
        </w:rPr>
        <w:t>-Breslow-Wilcoxon test.</w:t>
      </w:r>
    </w:p>
    <w:p w14:paraId="3AA6D998" w14:textId="77777777" w:rsidR="00DF22D5" w:rsidRPr="00DF22D5" w:rsidRDefault="00DF22D5" w:rsidP="00DF22D5">
      <w:pPr>
        <w:pStyle w:val="ListParagraph"/>
        <w:autoSpaceDE w:val="0"/>
        <w:autoSpaceDN w:val="0"/>
        <w:adjustRightInd w:val="0"/>
        <w:spacing w:before="100" w:after="100"/>
        <w:ind w:left="360" w:firstLineChars="0" w:firstLine="0"/>
        <w:jc w:val="left"/>
        <w:rPr>
          <w:rFonts w:ascii="Calibri" w:eastAsia="SimSun" w:hAnsi="Calibri" w:cs="Calibri"/>
          <w:szCs w:val="24"/>
        </w:rPr>
      </w:pPr>
    </w:p>
    <w:p w14:paraId="2DF676CF" w14:textId="77777777" w:rsidR="00DF22D5" w:rsidRPr="00DF22D5" w:rsidRDefault="00DF22D5"/>
    <w:sectPr w:rsidR="00DF22D5" w:rsidRPr="00DF22D5" w:rsidSect="009E438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65A"/>
    <w:multiLevelType w:val="hybridMultilevel"/>
    <w:tmpl w:val="01A0B872"/>
    <w:lvl w:ilvl="0" w:tplc="AF1C7C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972C56"/>
    <w:multiLevelType w:val="hybridMultilevel"/>
    <w:tmpl w:val="EB0A929C"/>
    <w:lvl w:ilvl="0" w:tplc="ECD8BD2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E7"/>
    <w:rsid w:val="0027604F"/>
    <w:rsid w:val="003314E7"/>
    <w:rsid w:val="005873F4"/>
    <w:rsid w:val="007A2058"/>
    <w:rsid w:val="009E438E"/>
    <w:rsid w:val="00D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7490"/>
  <w15:chartTrackingRefBased/>
  <w15:docId w15:val="{37113BD0-6E1B-334C-A67C-925B2A6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D5"/>
    <w:pPr>
      <w:ind w:firstLineChars="200" w:firstLine="420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2D5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D5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Marlena Radomska</cp:lastModifiedBy>
  <cp:revision>5</cp:revision>
  <dcterms:created xsi:type="dcterms:W3CDTF">2019-05-07T03:27:00Z</dcterms:created>
  <dcterms:modified xsi:type="dcterms:W3CDTF">2019-10-10T09:11:00Z</dcterms:modified>
</cp:coreProperties>
</file>