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6" w:rsidRPr="005D5FFD" w:rsidRDefault="00FE1BA6" w:rsidP="00FE1BA6">
      <w:pPr>
        <w:spacing w:line="240" w:lineRule="auto"/>
        <w:rPr>
          <w:b/>
          <w:lang w:val="en-US"/>
        </w:rPr>
      </w:pPr>
      <w:r w:rsidRPr="005D5FFD">
        <w:rPr>
          <w:b/>
          <w:lang w:val="en-US"/>
        </w:rPr>
        <w:t>Supplementary Table and Figure Legends</w:t>
      </w:r>
    </w:p>
    <w:p w:rsidR="00FE1BA6" w:rsidRPr="00AA17B9" w:rsidRDefault="00FE1BA6" w:rsidP="00FE1BA6">
      <w:pPr>
        <w:spacing w:line="240" w:lineRule="auto"/>
        <w:rPr>
          <w:color w:val="000000"/>
          <w:shd w:val="clear" w:color="auto" w:fill="FFFFFF"/>
          <w:lang w:val="en-US"/>
        </w:rPr>
      </w:pPr>
      <w:proofErr w:type="gramStart"/>
      <w:r w:rsidRPr="00FE1BA6">
        <w:rPr>
          <w:b/>
          <w:color w:val="000000"/>
          <w:shd w:val="clear" w:color="auto" w:fill="FFFFFF"/>
          <w:lang w:val="en-US"/>
        </w:rPr>
        <w:t>Supplementary Table 1.</w:t>
      </w:r>
      <w:proofErr w:type="gramEnd"/>
      <w:r w:rsidRPr="00AA17B9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Pr="00AA17B9">
        <w:rPr>
          <w:color w:val="000000"/>
          <w:shd w:val="clear" w:color="auto" w:fill="FFFFFF"/>
          <w:lang w:val="en-US"/>
        </w:rPr>
        <w:t>Disease matching in the IUIS, OMIM and ORPHANET databases.</w:t>
      </w:r>
      <w:proofErr w:type="gramEnd"/>
      <w:r w:rsidRPr="00AA17B9">
        <w:rPr>
          <w:color w:val="000000"/>
          <w:shd w:val="clear" w:color="auto" w:fill="FFFFFF"/>
          <w:lang w:val="en-US"/>
        </w:rPr>
        <w:t xml:space="preserve"> </w:t>
      </w:r>
    </w:p>
    <w:p w:rsidR="00FE1BA6" w:rsidRPr="00AA17B9" w:rsidRDefault="00FE1BA6" w:rsidP="00FE1BA6">
      <w:pPr>
        <w:spacing w:line="240" w:lineRule="auto"/>
        <w:rPr>
          <w:lang w:val="en-US"/>
        </w:rPr>
      </w:pPr>
      <w:proofErr w:type="gramStart"/>
      <w:r w:rsidRPr="00FE1BA6">
        <w:rPr>
          <w:b/>
          <w:color w:val="000000"/>
          <w:shd w:val="clear" w:color="auto" w:fill="FFFFFF"/>
          <w:lang w:val="en-US"/>
        </w:rPr>
        <w:t>Supplementary Table 4.</w:t>
      </w:r>
      <w:proofErr w:type="gramEnd"/>
      <w:r w:rsidRPr="00AA17B9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Pr="00AA17B9">
        <w:rPr>
          <w:color w:val="000000"/>
          <w:shd w:val="clear" w:color="auto" w:fill="FFFFFF"/>
          <w:lang w:val="en-US"/>
        </w:rPr>
        <w:t xml:space="preserve">The results of the </w:t>
      </w:r>
      <w:r w:rsidRPr="00AA17B9">
        <w:rPr>
          <w:shd w:val="clear" w:color="auto" w:fill="FFFFFF"/>
          <w:lang w:val="en-US"/>
        </w:rPr>
        <w:t xml:space="preserve">GWAS Catalog 2019 </w:t>
      </w:r>
      <w:r w:rsidRPr="00AA17B9">
        <w:rPr>
          <w:lang w:val="en-US"/>
        </w:rPr>
        <w:t>gene-set enrichment analysis.</w:t>
      </w:r>
      <w:proofErr w:type="gramEnd"/>
    </w:p>
    <w:p w:rsidR="00FE1BA6" w:rsidRPr="00AA17B9" w:rsidRDefault="00FE1BA6" w:rsidP="00FE1BA6">
      <w:pPr>
        <w:spacing w:line="240" w:lineRule="auto"/>
        <w:rPr>
          <w:lang w:val="en-US"/>
        </w:rPr>
      </w:pPr>
      <w:r w:rsidRPr="00AA17B9">
        <w:rPr>
          <w:lang w:val="en-US"/>
        </w:rPr>
        <w:t xml:space="preserve"> </w:t>
      </w:r>
      <w:proofErr w:type="gramStart"/>
      <w:r w:rsidRPr="00FE1BA6">
        <w:rPr>
          <w:b/>
          <w:color w:val="000000"/>
          <w:shd w:val="clear" w:color="auto" w:fill="FFFFFF"/>
          <w:lang w:val="en-US"/>
        </w:rPr>
        <w:t>Supplementary Figure 1.</w:t>
      </w:r>
      <w:proofErr w:type="gramEnd"/>
      <w:r w:rsidRPr="00AA17B9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 d</w:t>
      </w:r>
      <w:r w:rsidRPr="00AA17B9">
        <w:rPr>
          <w:color w:val="000000"/>
          <w:shd w:val="clear" w:color="auto" w:fill="FFFFFF"/>
          <w:lang w:val="en-US"/>
        </w:rPr>
        <w:t xml:space="preserve">istribution of top ten HPO terms </w:t>
      </w:r>
      <w:r w:rsidRPr="00AA17B9">
        <w:rPr>
          <w:lang w:val="en-US"/>
        </w:rPr>
        <w:t xml:space="preserve">mapped to the top-level HPO categories: </w:t>
      </w:r>
      <w:r w:rsidRPr="00793554">
        <w:rPr>
          <w:b/>
          <w:lang w:val="en-US"/>
        </w:rPr>
        <w:t>(A)</w:t>
      </w:r>
      <w:r w:rsidRPr="00AA17B9">
        <w:rPr>
          <w:lang w:val="en-US"/>
        </w:rPr>
        <w:t xml:space="preserve"> Blood and blood-forming tissues, </w:t>
      </w:r>
      <w:r w:rsidRPr="00793554">
        <w:rPr>
          <w:b/>
          <w:lang w:val="en-US"/>
        </w:rPr>
        <w:t>(B)</w:t>
      </w:r>
      <w:r w:rsidRPr="00AA17B9">
        <w:rPr>
          <w:lang w:val="en-US"/>
        </w:rPr>
        <w:t xml:space="preserve"> Digestive System, </w:t>
      </w:r>
      <w:r w:rsidRPr="00793554">
        <w:rPr>
          <w:b/>
          <w:lang w:val="en-US"/>
        </w:rPr>
        <w:t>(C)</w:t>
      </w:r>
      <w:r w:rsidRPr="00AA17B9">
        <w:rPr>
          <w:lang w:val="en-US"/>
        </w:rPr>
        <w:t xml:space="preserve"> Immunology, </w:t>
      </w:r>
      <w:r w:rsidRPr="00793554">
        <w:rPr>
          <w:b/>
          <w:lang w:val="en-US"/>
        </w:rPr>
        <w:t>(D)</w:t>
      </w:r>
      <w:r w:rsidRPr="00AA17B9">
        <w:rPr>
          <w:lang w:val="en-US"/>
        </w:rPr>
        <w:t xml:space="preserve"> Nervous System, </w:t>
      </w:r>
      <w:r w:rsidRPr="00793554">
        <w:rPr>
          <w:b/>
          <w:lang w:val="en-US"/>
        </w:rPr>
        <w:t>(E)</w:t>
      </w:r>
      <w:r w:rsidRPr="00AA17B9">
        <w:rPr>
          <w:lang w:val="en-US"/>
        </w:rPr>
        <w:t xml:space="preserve"> Cardiovascular, </w:t>
      </w:r>
      <w:r w:rsidRPr="00793554">
        <w:rPr>
          <w:b/>
          <w:lang w:val="en-US"/>
        </w:rPr>
        <w:t>(F)</w:t>
      </w:r>
      <w:r w:rsidRPr="00AA17B9">
        <w:rPr>
          <w:lang w:val="en-US"/>
        </w:rPr>
        <w:t xml:space="preserve"> Skeletal system, </w:t>
      </w:r>
      <w:r w:rsidRPr="00793554">
        <w:rPr>
          <w:b/>
          <w:lang w:val="en-US"/>
        </w:rPr>
        <w:t>(G)</w:t>
      </w:r>
      <w:r w:rsidRPr="00AA17B9">
        <w:rPr>
          <w:lang w:val="en-US"/>
        </w:rPr>
        <w:t xml:space="preserve"> Skin, Hair, and Nails, </w:t>
      </w:r>
      <w:r w:rsidRPr="00793554">
        <w:rPr>
          <w:b/>
          <w:lang w:val="en-US"/>
        </w:rPr>
        <w:t xml:space="preserve">(H) </w:t>
      </w:r>
      <w:r w:rsidRPr="00AA17B9">
        <w:rPr>
          <w:lang w:val="en-US"/>
        </w:rPr>
        <w:t xml:space="preserve">Eye, </w:t>
      </w:r>
      <w:r w:rsidRPr="00793554">
        <w:rPr>
          <w:b/>
          <w:lang w:val="en-US"/>
        </w:rPr>
        <w:t>(I)</w:t>
      </w:r>
      <w:r w:rsidRPr="00AA17B9">
        <w:rPr>
          <w:lang w:val="en-US"/>
        </w:rPr>
        <w:t xml:space="preserve"> Genitourinary System, </w:t>
      </w:r>
      <w:r w:rsidRPr="00793554">
        <w:rPr>
          <w:b/>
          <w:lang w:val="en-US"/>
        </w:rPr>
        <w:t>(J)</w:t>
      </w:r>
      <w:r w:rsidRPr="00AA17B9">
        <w:rPr>
          <w:lang w:val="en-US"/>
        </w:rPr>
        <w:t xml:space="preserve"> Head and neck</w:t>
      </w:r>
      <w:r w:rsidR="00793554">
        <w:rPr>
          <w:lang w:val="en-US"/>
        </w:rPr>
        <w:t>.</w:t>
      </w:r>
    </w:p>
    <w:p w:rsidR="00FE1BA6" w:rsidRPr="007B1B39" w:rsidRDefault="00FE1BA6" w:rsidP="00FE1BA6">
      <w:pPr>
        <w:spacing w:line="240" w:lineRule="auto"/>
        <w:rPr>
          <w:rFonts w:eastAsia="Times New Roman"/>
          <w:b/>
          <w:bCs/>
          <w:kern w:val="0"/>
          <w:lang w:val="en-US" w:eastAsia="ru-RU"/>
        </w:rPr>
      </w:pPr>
      <w:proofErr w:type="gramStart"/>
      <w:r w:rsidRPr="00FE1BA6">
        <w:rPr>
          <w:b/>
          <w:lang w:val="en-US"/>
        </w:rPr>
        <w:t>Supplementary Figure 2.</w:t>
      </w:r>
      <w:proofErr w:type="gramEnd"/>
      <w:r w:rsidRPr="00AA17B9">
        <w:rPr>
          <w:lang w:val="en-US"/>
        </w:rPr>
        <w:t xml:space="preserve"> </w:t>
      </w:r>
      <w:proofErr w:type="spellStart"/>
      <w:r w:rsidRPr="00AA17B9">
        <w:rPr>
          <w:lang w:val="en-US"/>
        </w:rPr>
        <w:t>DisGeNET</w:t>
      </w:r>
      <w:proofErr w:type="spellEnd"/>
      <w:r w:rsidRPr="00AA17B9">
        <w:rPr>
          <w:lang w:val="en-US"/>
        </w:rPr>
        <w:t xml:space="preserve"> variant-disease associations found for the genes of inborn errors of immunity. </w:t>
      </w:r>
      <w:r w:rsidRPr="00793554">
        <w:rPr>
          <w:b/>
          <w:lang w:val="en-US"/>
        </w:rPr>
        <w:t>(A)</w:t>
      </w:r>
      <w:r w:rsidRPr="00AA17B9">
        <w:rPr>
          <w:lang w:val="en-US"/>
        </w:rPr>
        <w:t xml:space="preserve"> </w:t>
      </w:r>
      <w:r>
        <w:rPr>
          <w:lang w:val="en-US"/>
        </w:rPr>
        <w:t>The d</w:t>
      </w:r>
      <w:r w:rsidRPr="00AA17B9">
        <w:rPr>
          <w:lang w:val="en-US"/>
        </w:rPr>
        <w:t xml:space="preserve">istribution of genome alternative variant allele frequency (AF_GENOME). </w:t>
      </w:r>
      <w:r w:rsidRPr="00793554">
        <w:rPr>
          <w:b/>
          <w:lang w:val="en-US"/>
        </w:rPr>
        <w:t>(B)</w:t>
      </w:r>
      <w:r w:rsidRPr="00AA17B9">
        <w:rPr>
          <w:lang w:val="en-US"/>
        </w:rPr>
        <w:t xml:space="preserve"> </w:t>
      </w:r>
      <w:r>
        <w:rPr>
          <w:lang w:val="en-US"/>
        </w:rPr>
        <w:t>The d</w:t>
      </w:r>
      <w:r w:rsidRPr="00AA17B9">
        <w:rPr>
          <w:lang w:val="en-US"/>
        </w:rPr>
        <w:t>istribution of variant-disease association score (</w:t>
      </w:r>
      <w:proofErr w:type="spellStart"/>
      <w:r w:rsidRPr="00AA17B9">
        <w:rPr>
          <w:lang w:val="en-US"/>
        </w:rPr>
        <w:t>vda</w:t>
      </w:r>
      <w:proofErr w:type="spellEnd"/>
      <w:r w:rsidRPr="00AA17B9">
        <w:rPr>
          <w:lang w:val="en-US"/>
        </w:rPr>
        <w:t xml:space="preserve">). </w:t>
      </w:r>
      <w:r w:rsidRPr="00793554">
        <w:rPr>
          <w:b/>
          <w:lang w:val="en-US"/>
        </w:rPr>
        <w:t>(C)</w:t>
      </w:r>
      <w:r w:rsidRPr="00AA17B9">
        <w:rPr>
          <w:lang w:val="en-US"/>
        </w:rPr>
        <w:t xml:space="preserve"> </w:t>
      </w:r>
      <w:proofErr w:type="spellStart"/>
      <w:r w:rsidRPr="00AA17B9">
        <w:rPr>
          <w:lang w:val="en-US"/>
        </w:rPr>
        <w:t>Scatterplot</w:t>
      </w:r>
      <w:proofErr w:type="spellEnd"/>
      <w:r w:rsidRPr="00AA17B9">
        <w:rPr>
          <w:lang w:val="en-US"/>
        </w:rPr>
        <w:t xml:space="preserve"> </w:t>
      </w:r>
      <w:r w:rsidRPr="00AA17B9">
        <w:rPr>
          <w:color w:val="000000"/>
          <w:shd w:val="clear" w:color="auto" w:fill="FFFFFF"/>
          <w:lang w:val="en-US"/>
        </w:rPr>
        <w:t xml:space="preserve">of </w:t>
      </w:r>
      <w:r w:rsidRPr="00AA17B9">
        <w:rPr>
          <w:lang w:val="en-US"/>
        </w:rPr>
        <w:t>genome alternative variant allele frequency and variant-disease association score.</w:t>
      </w:r>
    </w:p>
    <w:p w:rsidR="00FE1BA6" w:rsidRPr="007B1B39" w:rsidRDefault="00FE1BA6" w:rsidP="00FE1BA6">
      <w:pPr>
        <w:spacing w:line="240" w:lineRule="auto"/>
        <w:rPr>
          <w:lang w:val="en-US"/>
        </w:rPr>
      </w:pPr>
    </w:p>
    <w:p w:rsidR="00FE1BA6" w:rsidRPr="007B1B39" w:rsidRDefault="00FE1BA6" w:rsidP="00FE1BA6">
      <w:pPr>
        <w:spacing w:line="240" w:lineRule="auto"/>
        <w:rPr>
          <w:lang w:val="en-US"/>
        </w:rPr>
      </w:pPr>
    </w:p>
    <w:p w:rsidR="00FE1BA6" w:rsidRPr="007B1B39" w:rsidRDefault="00FE1BA6" w:rsidP="00FE1BA6">
      <w:pPr>
        <w:spacing w:line="240" w:lineRule="auto"/>
        <w:rPr>
          <w:color w:val="000000"/>
          <w:shd w:val="clear" w:color="auto" w:fill="FFFFFF"/>
          <w:lang w:val="en-US"/>
        </w:rPr>
      </w:pPr>
    </w:p>
    <w:p w:rsidR="00FE1BA6" w:rsidRPr="007B1B39" w:rsidRDefault="00FE1BA6" w:rsidP="00FE1BA6">
      <w:pPr>
        <w:spacing w:line="240" w:lineRule="auto"/>
        <w:rPr>
          <w:rFonts w:eastAsia="Times New Roman"/>
          <w:color w:val="000000"/>
          <w:kern w:val="0"/>
          <w:lang w:val="en-US" w:eastAsia="ru-RU"/>
        </w:rPr>
      </w:pPr>
    </w:p>
    <w:p w:rsidR="00FE1BA6" w:rsidRPr="007B1B39" w:rsidRDefault="00FE1BA6" w:rsidP="00FE1BA6">
      <w:pPr>
        <w:spacing w:line="240" w:lineRule="auto"/>
        <w:rPr>
          <w:lang w:val="en-US"/>
        </w:rPr>
      </w:pPr>
    </w:p>
    <w:p w:rsidR="00FE1BA6" w:rsidRPr="007B1B39" w:rsidRDefault="00FE1BA6" w:rsidP="00FE1BA6">
      <w:pPr>
        <w:spacing w:line="240" w:lineRule="auto"/>
        <w:rPr>
          <w:lang w:val="en-US"/>
        </w:rPr>
      </w:pPr>
    </w:p>
    <w:p w:rsidR="006D5066" w:rsidRPr="00FE1BA6" w:rsidRDefault="006D5066">
      <w:pPr>
        <w:rPr>
          <w:lang w:val="en-US"/>
        </w:rPr>
      </w:pPr>
    </w:p>
    <w:sectPr w:rsidR="006D5066" w:rsidRPr="00FE1BA6" w:rsidSect="006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A6"/>
    <w:rsid w:val="006D5066"/>
    <w:rsid w:val="00793554"/>
    <w:rsid w:val="00861597"/>
    <w:rsid w:val="00FC4906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6"/>
    <w:pPr>
      <w:spacing w:after="160" w:line="259" w:lineRule="auto"/>
    </w:pPr>
    <w:rPr>
      <w:rFonts w:ascii="Times New Roman" w:hAnsi="Times New Roman" w:cs="Times New Roman"/>
      <w:kern w:val="2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767</Characters>
  <Application>Microsoft Office Word</Application>
  <DocSecurity>0</DocSecurity>
  <Lines>10</Lines>
  <Paragraphs>1</Paragraphs>
  <ScaleCrop>false</ScaleCrop>
  <Company>Институт Общей генетики РАН им. Вавилова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2019-07-30T09:47:00Z</dcterms:created>
  <dcterms:modified xsi:type="dcterms:W3CDTF">2019-07-30T10:08:00Z</dcterms:modified>
</cp:coreProperties>
</file>