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ADDA6B" w14:textId="77777777" w:rsidR="00580D99" w:rsidRPr="00601727" w:rsidRDefault="00580D99" w:rsidP="00580D99">
      <w:pPr>
        <w:pStyle w:val="PaperArial"/>
        <w:rPr>
          <w:rFonts w:eastAsiaTheme="minorEastAsia"/>
          <w:color w:val="auto"/>
        </w:rPr>
      </w:pPr>
      <w:r w:rsidRPr="00601727">
        <w:rPr>
          <w:rFonts w:eastAsiaTheme="minorEastAsia"/>
          <w:color w:val="auto"/>
        </w:rPr>
        <w:t>Supporting information</w:t>
      </w:r>
    </w:p>
    <w:p w14:paraId="5BA10B6B" w14:textId="77777777" w:rsidR="00580D99" w:rsidRDefault="00580D99" w:rsidP="00580D99">
      <w:pPr>
        <w:spacing w:line="480" w:lineRule="auto"/>
        <w:jc w:val="both"/>
        <w:rPr>
          <w:rFonts w:ascii="Arial" w:eastAsiaTheme="minorEastAsia" w:hAnsi="Arial" w:cs="Arial"/>
          <w:sz w:val="24"/>
          <w:szCs w:val="24"/>
          <w:lang w:val="en-GB"/>
        </w:rPr>
      </w:pPr>
    </w:p>
    <w:p w14:paraId="4C3FEBD3" w14:textId="77777777" w:rsidR="00580D99" w:rsidRDefault="00580D99" w:rsidP="00580D99">
      <w:pPr>
        <w:spacing w:line="480" w:lineRule="auto"/>
        <w:jc w:val="both"/>
        <w:rPr>
          <w:rFonts w:ascii="Arial" w:eastAsiaTheme="minorEastAsia" w:hAnsi="Arial" w:cs="Arial"/>
          <w:sz w:val="24"/>
          <w:szCs w:val="24"/>
          <w:lang w:val="en-GB"/>
        </w:rPr>
      </w:pPr>
      <w:r>
        <w:rPr>
          <w:noProof/>
          <w:lang w:val="en-US"/>
        </w:rPr>
        <w:drawing>
          <wp:inline distT="0" distB="0" distL="0" distR="0" wp14:anchorId="3212445B" wp14:editId="01D53818">
            <wp:extent cx="5048250" cy="360997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0" cy="3609975"/>
                    </a:xfrm>
                    <a:prstGeom prst="rect">
                      <a:avLst/>
                    </a:prstGeom>
                    <a:noFill/>
                    <a:ln>
                      <a:noFill/>
                    </a:ln>
                  </pic:spPr>
                </pic:pic>
              </a:graphicData>
            </a:graphic>
          </wp:inline>
        </w:drawing>
      </w:r>
      <w:bookmarkStart w:id="0" w:name="_GoBack"/>
      <w:bookmarkEnd w:id="0"/>
    </w:p>
    <w:p w14:paraId="4B46E354" w14:textId="77777777" w:rsidR="00580D99" w:rsidRDefault="00580D99" w:rsidP="00580D99">
      <w:pPr>
        <w:spacing w:line="480" w:lineRule="auto"/>
        <w:jc w:val="both"/>
        <w:rPr>
          <w:rFonts w:ascii="Arial" w:eastAsiaTheme="minorEastAsia" w:hAnsi="Arial" w:cs="Arial"/>
          <w:sz w:val="24"/>
          <w:szCs w:val="24"/>
          <w:lang w:val="en-GB"/>
        </w:rPr>
      </w:pPr>
      <w:r w:rsidRPr="00B53E0D">
        <w:rPr>
          <w:rFonts w:ascii="Arial" w:eastAsiaTheme="minorEastAsia" w:hAnsi="Arial" w:cs="Arial"/>
          <w:b/>
          <w:sz w:val="24"/>
          <w:szCs w:val="24"/>
          <w:lang w:val="en-GB"/>
        </w:rPr>
        <w:t>S1 Figure</w:t>
      </w:r>
      <w:r>
        <w:rPr>
          <w:rFonts w:ascii="Arial" w:eastAsiaTheme="minorEastAsia" w:hAnsi="Arial" w:cs="Arial"/>
          <w:sz w:val="24"/>
          <w:szCs w:val="24"/>
          <w:lang w:val="en-GB"/>
        </w:rPr>
        <w:t xml:space="preserve">: </w:t>
      </w:r>
      <w:r w:rsidRPr="00C919AB">
        <w:rPr>
          <w:rFonts w:ascii="Arial" w:eastAsiaTheme="minorEastAsia" w:hAnsi="Arial" w:cs="Arial"/>
          <w:b/>
          <w:bCs/>
          <w:sz w:val="24"/>
          <w:szCs w:val="24"/>
          <w:lang w:val="en-GB"/>
        </w:rPr>
        <w:t>Dynamics of viral subpopulations</w:t>
      </w:r>
      <w:r w:rsidRPr="00C919AB">
        <w:rPr>
          <w:rFonts w:ascii="Arial" w:hAnsi="Arial"/>
          <w:b/>
          <w:bCs/>
          <w:sz w:val="24"/>
          <w:szCs w:val="24"/>
          <w:lang w:val="en-US"/>
        </w:rPr>
        <w:t xml:space="preserve"> </w:t>
      </w:r>
      <w:r>
        <w:rPr>
          <w:rFonts w:ascii="Arial" w:hAnsi="Arial"/>
          <w:b/>
          <w:bCs/>
          <w:sz w:val="24"/>
          <w:szCs w:val="24"/>
          <w:lang w:val="en-US"/>
        </w:rPr>
        <w:t xml:space="preserve">of </w:t>
      </w:r>
      <w:r w:rsidRPr="00C919AB">
        <w:rPr>
          <w:rFonts w:ascii="Arial" w:hAnsi="Arial"/>
          <w:b/>
          <w:bCs/>
          <w:sz w:val="24"/>
          <w:szCs w:val="24"/>
          <w:lang w:val="en-US"/>
        </w:rPr>
        <w:t>A/PR/8/34-delS1(1)</w:t>
      </w:r>
      <w:r w:rsidRPr="00C919AB">
        <w:rPr>
          <w:rFonts w:ascii="Arial" w:eastAsiaTheme="minorEastAsia" w:hAnsi="Arial" w:cs="Arial"/>
          <w:b/>
          <w:bCs/>
          <w:sz w:val="24"/>
          <w:szCs w:val="24"/>
          <w:lang w:val="en-GB"/>
        </w:rPr>
        <w:t xml:space="preserve">, produced by MDCK.SUS2 cells </w:t>
      </w:r>
      <w:r w:rsidRPr="00C919AB">
        <w:rPr>
          <w:rFonts w:ascii="Arial" w:hAnsi="Arial"/>
          <w:b/>
          <w:bCs/>
          <w:sz w:val="24"/>
          <w:szCs w:val="24"/>
          <w:lang w:val="en-US"/>
        </w:rPr>
        <w:t xml:space="preserve">in a </w:t>
      </w:r>
      <w:r>
        <w:rPr>
          <w:rFonts w:ascii="Arial" w:hAnsi="Arial"/>
          <w:b/>
          <w:bCs/>
          <w:sz w:val="24"/>
          <w:szCs w:val="24"/>
          <w:lang w:val="en-US"/>
        </w:rPr>
        <w:t>parallel continuous</w:t>
      </w:r>
      <w:r w:rsidRPr="00C919AB">
        <w:rPr>
          <w:rFonts w:ascii="Arial" w:hAnsi="Arial"/>
          <w:b/>
          <w:bCs/>
          <w:sz w:val="24"/>
          <w:szCs w:val="24"/>
          <w:lang w:val="en-US"/>
        </w:rPr>
        <w:t xml:space="preserve"> bioreactor system</w:t>
      </w:r>
      <w:r w:rsidRPr="00C919AB">
        <w:rPr>
          <w:rFonts w:ascii="Arial" w:eastAsiaTheme="minorEastAsia" w:hAnsi="Arial" w:cs="Arial"/>
          <w:b/>
          <w:bCs/>
          <w:sz w:val="24"/>
          <w:szCs w:val="24"/>
          <w:lang w:val="en-GB"/>
        </w:rPr>
        <w:t xml:space="preserve"> at residence times of 22 h and 36 h over 90 days.</w:t>
      </w:r>
      <w:r>
        <w:rPr>
          <w:rFonts w:ascii="Arial" w:eastAsiaTheme="minorEastAsia" w:hAnsi="Arial" w:cs="Arial"/>
          <w:sz w:val="24"/>
          <w:szCs w:val="24"/>
          <w:lang w:val="en-GB"/>
        </w:rPr>
        <w:t xml:space="preserve"> Time courses of infectious STVs (A), FL S1-containing virions (B), sum of all viral subpopulations in log HA units (C), and DI S1-containing virions (D) are shown for residence times of 22 h (solid lines) and 36 h (dashed lines).</w:t>
      </w:r>
    </w:p>
    <w:p w14:paraId="798BFA02" w14:textId="77777777" w:rsidR="00580D99" w:rsidRDefault="00580D99" w:rsidP="00580D99">
      <w:pPr>
        <w:spacing w:line="480" w:lineRule="auto"/>
        <w:jc w:val="both"/>
        <w:rPr>
          <w:rFonts w:ascii="Arial" w:eastAsiaTheme="minorEastAsia" w:hAnsi="Arial" w:cs="Arial"/>
          <w:sz w:val="24"/>
          <w:szCs w:val="24"/>
          <w:lang w:val="en-GB"/>
        </w:rPr>
      </w:pPr>
    </w:p>
    <w:p w14:paraId="0A031F88" w14:textId="77777777" w:rsidR="00580D99" w:rsidRDefault="00580D99" w:rsidP="00580D99">
      <w:pPr>
        <w:pStyle w:val="PaperArial2"/>
      </w:pPr>
      <w:r>
        <w:t>Supporting discussion: Model predictions</w:t>
      </w:r>
    </w:p>
    <w:p w14:paraId="34DD612D" w14:textId="77777777" w:rsidR="00580D99" w:rsidRDefault="00580D99" w:rsidP="00580D99">
      <w:pPr>
        <w:spacing w:line="480" w:lineRule="auto"/>
        <w:jc w:val="both"/>
        <w:rPr>
          <w:rFonts w:ascii="Arial" w:hAnsi="Arial"/>
          <w:sz w:val="24"/>
          <w:szCs w:val="24"/>
          <w:lang w:val="en-US"/>
        </w:rPr>
      </w:pPr>
      <w:r>
        <w:rPr>
          <w:rFonts w:ascii="Arial" w:hAnsi="Arial"/>
          <w:sz w:val="24"/>
          <w:szCs w:val="24"/>
          <w:lang w:val="en-US"/>
        </w:rPr>
        <w:t xml:space="preserve">So far, we performed parameter fits to RT 22 h and RT 36 h, resulting in two parameter sets for the same experimental setup. It would be reasonable to expect </w:t>
      </w:r>
      <w:r>
        <w:rPr>
          <w:rFonts w:ascii="Arial" w:hAnsi="Arial"/>
          <w:sz w:val="24"/>
          <w:szCs w:val="24"/>
          <w:lang w:val="en-US"/>
        </w:rPr>
        <w:lastRenderedPageBreak/>
        <w:t xml:space="preserve">that the model established can reproduce viral dynamics for multiple RTs. Therefore, we tested whether the full model (Model 1) for one RT could be used to predict the viral dynamics for the other RT by adjusting only the dilution rate. First, we used Model 1 calibrated to the data set of RT 22 h to predict the viral dynamics of the continuous cultivation running at RT 36 h. For this, we applied the corresponding modified RT by setting the parameter </w:t>
      </w:r>
      <m:oMath>
        <m:r>
          <w:rPr>
            <w:rFonts w:ascii="Cambria Math" w:eastAsia="BatangChe" w:hAnsi="Cambria Math" w:cs="Arial"/>
            <w:sz w:val="24"/>
            <w:szCs w:val="24"/>
            <w:lang w:val="en-US"/>
          </w:rPr>
          <m:t>μ</m:t>
        </m:r>
      </m:oMath>
      <w:r w:rsidRPr="00C2221E">
        <w:rPr>
          <w:rFonts w:ascii="Arial" w:eastAsiaTheme="minorEastAsia" w:hAnsi="Arial" w:cs="Arial"/>
          <w:sz w:val="24"/>
          <w:szCs w:val="24"/>
          <w:lang w:val="en-US"/>
        </w:rPr>
        <w:t xml:space="preserve"> </w:t>
      </w:r>
      <w:r>
        <w:rPr>
          <w:rFonts w:ascii="Arial" w:hAnsi="Arial"/>
          <w:sz w:val="24"/>
          <w:szCs w:val="24"/>
          <w:lang w:val="en-US"/>
        </w:rPr>
        <w:t xml:space="preserve">= D = 0.027 1/h, simulated the model and compared it to the data (S2 </w:t>
      </w:r>
      <w:r w:rsidRPr="00C8660F">
        <w:rPr>
          <w:rFonts w:ascii="Arial" w:hAnsi="Arial"/>
          <w:sz w:val="24"/>
          <w:szCs w:val="24"/>
          <w:lang w:val="en-US"/>
        </w:rPr>
        <w:t>Figure). The model simulation still showed oscillations in the viral dynamics. The maxima and minima were predicted in reasonable agreement to the measurements for the TCID</w:t>
      </w:r>
      <w:r w:rsidRPr="00C8660F">
        <w:rPr>
          <w:rFonts w:ascii="Arial" w:hAnsi="Arial"/>
          <w:sz w:val="24"/>
          <w:szCs w:val="24"/>
          <w:vertAlign w:val="subscript"/>
          <w:lang w:val="en-US"/>
        </w:rPr>
        <w:t>50</w:t>
      </w:r>
      <w:r w:rsidRPr="00C8660F">
        <w:rPr>
          <w:rFonts w:ascii="Arial" w:hAnsi="Arial"/>
          <w:sz w:val="24"/>
          <w:szCs w:val="24"/>
          <w:lang w:val="en-US"/>
        </w:rPr>
        <w:t xml:space="preserve"> titer (S2 Figure A), total number of virions (S2 Figure C) and number of DI S1 containing particles (S2 Figure D). However, the number of cycles was not in agreement to the experimental data. Second, we also predicted viral dynamics for the cultivation running at RT 22 h using Model 1 calibrated against the data set obtained for RT 36 h. Upon setting </w:t>
      </w:r>
      <m:oMath>
        <m:r>
          <w:rPr>
            <w:rFonts w:ascii="Cambria Math" w:eastAsia="BatangChe" w:hAnsi="Cambria Math" w:cs="Arial"/>
            <w:sz w:val="24"/>
            <w:szCs w:val="24"/>
            <w:lang w:val="en-US"/>
          </w:rPr>
          <m:t>μ</m:t>
        </m:r>
      </m:oMath>
      <w:r w:rsidRPr="00C8660F">
        <w:rPr>
          <w:rFonts w:ascii="Arial" w:hAnsi="Arial"/>
          <w:sz w:val="24"/>
          <w:szCs w:val="24"/>
          <w:lang w:val="en-US"/>
        </w:rPr>
        <w:t xml:space="preserve"> = D = 0.045 1/h, the model simulation did not show any oscillations (S3 Figure). Taken together</w:t>
      </w:r>
      <w:r>
        <w:rPr>
          <w:rFonts w:ascii="Arial" w:hAnsi="Arial"/>
          <w:sz w:val="24"/>
          <w:szCs w:val="24"/>
          <w:lang w:val="en-US"/>
        </w:rPr>
        <w:t>, Model 1 neither trained with the data set of RT 22 h nor with that of RT 36 h can make reasonable predictions for other residence times. We hypothesize that this is related to some underlying mechanisms that are characteristic to either short or long residence times, for instance, differences in the impact of virion inactivation and degradation on viral dynamics (see Section on Model reduction). Attempts to fit the model to both data sets simultaneously also failed. Based on a more comprehensive set of experiments and an extension of the model, it might be possible to train a “master model” with various data sets simultaneously and find a joint set of parameters that allows predictions for a wider range of residence times.</w:t>
      </w:r>
    </w:p>
    <w:p w14:paraId="2BE5BABD" w14:textId="77777777" w:rsidR="00580D99" w:rsidRPr="008E7A68" w:rsidRDefault="00580D99" w:rsidP="00580D99">
      <w:pPr>
        <w:spacing w:line="480" w:lineRule="auto"/>
        <w:jc w:val="both"/>
        <w:rPr>
          <w:rFonts w:ascii="Arial" w:hAnsi="Arial"/>
          <w:sz w:val="24"/>
          <w:szCs w:val="24"/>
          <w:lang w:val="en-US"/>
        </w:rPr>
      </w:pPr>
      <w:r>
        <w:rPr>
          <w:rFonts w:ascii="Arial" w:hAnsi="Arial"/>
          <w:sz w:val="24"/>
          <w:szCs w:val="24"/>
          <w:lang w:val="en-US"/>
        </w:rPr>
        <w:t xml:space="preserve">In addition, our model might not be detailed enough to capture all aspects of virus growth relevant for different residence times. In particular, we imagine that the </w:t>
      </w:r>
      <w:r>
        <w:rPr>
          <w:rFonts w:ascii="Arial" w:hAnsi="Arial"/>
          <w:sz w:val="24"/>
          <w:szCs w:val="24"/>
          <w:lang w:val="en-US"/>
        </w:rPr>
        <w:lastRenderedPageBreak/>
        <w:t xml:space="preserve">eclipse phase, i.e., the time delay between virus infection and onset of viral progeny release, needs to be taken into account. In a scenario where low concentrations of infecting viruses are reached, i.e., minima of the cycles, and target cells are infected at a low MOI, the eclipse phase may have a strong impact on the onset of the following cycle. In addition, we made the simplifying assumption that DI S1 particles are the only DIPs interfering in the cultivations. However, it may well be that other DI RNAs, which arise </w:t>
      </w:r>
      <w:r w:rsidRPr="00FC1D08">
        <w:rPr>
          <w:rFonts w:ascii="Arial" w:hAnsi="Arial"/>
          <w:i/>
          <w:sz w:val="24"/>
          <w:szCs w:val="24"/>
          <w:lang w:val="en-US"/>
        </w:rPr>
        <w:t>de novo</w:t>
      </w:r>
      <w:r>
        <w:rPr>
          <w:rFonts w:ascii="Arial" w:hAnsi="Arial"/>
          <w:sz w:val="24"/>
          <w:szCs w:val="24"/>
          <w:lang w:val="en-US"/>
        </w:rPr>
        <w:t xml:space="preserve"> influence viral dynamics through additional interference (see Supporting discussion: Segment-specific reverse </w:t>
      </w:r>
      <w:r w:rsidRPr="00C8660F">
        <w:rPr>
          <w:rFonts w:ascii="Arial" w:hAnsi="Arial"/>
          <w:sz w:val="24"/>
          <w:szCs w:val="24"/>
          <w:lang w:val="en-US"/>
        </w:rPr>
        <w:t>transcription-PCR, S4 Figure). Since</w:t>
      </w:r>
      <w:r>
        <w:rPr>
          <w:rFonts w:ascii="Arial" w:hAnsi="Arial"/>
          <w:sz w:val="24"/>
          <w:szCs w:val="24"/>
          <w:lang w:val="en-US"/>
        </w:rPr>
        <w:t xml:space="preserve"> we cannot yet identify and quantify such DIPs, we excluded corresponding kinetics from the model as we expected difficulties in identification of kinetic parameters related to their replication. </w:t>
      </w:r>
    </w:p>
    <w:p w14:paraId="2739B1C3" w14:textId="77777777" w:rsidR="00580D99" w:rsidRDefault="00580D99" w:rsidP="00580D99">
      <w:pPr>
        <w:spacing w:line="480" w:lineRule="auto"/>
        <w:jc w:val="both"/>
        <w:rPr>
          <w:rFonts w:ascii="Arial" w:hAnsi="Arial"/>
          <w:sz w:val="24"/>
          <w:szCs w:val="24"/>
          <w:lang w:val="en-US"/>
        </w:rPr>
      </w:pPr>
    </w:p>
    <w:p w14:paraId="6B655C28" w14:textId="77777777" w:rsidR="00580D99" w:rsidRDefault="00580D99" w:rsidP="00580D99">
      <w:pPr>
        <w:spacing w:line="480" w:lineRule="auto"/>
        <w:jc w:val="both"/>
        <w:rPr>
          <w:rFonts w:ascii="Arial" w:hAnsi="Arial"/>
          <w:sz w:val="24"/>
          <w:szCs w:val="24"/>
          <w:lang w:val="en-US"/>
        </w:rPr>
      </w:pPr>
    </w:p>
    <w:p w14:paraId="2A8D4DF6" w14:textId="77777777" w:rsidR="00580D99" w:rsidRDefault="00580D99" w:rsidP="00580D99">
      <w:pPr>
        <w:spacing w:line="480" w:lineRule="auto"/>
        <w:jc w:val="both"/>
        <w:rPr>
          <w:rFonts w:ascii="Arial" w:hAnsi="Arial"/>
          <w:sz w:val="24"/>
          <w:szCs w:val="24"/>
          <w:lang w:val="en-US"/>
        </w:rPr>
      </w:pPr>
      <w:r>
        <w:rPr>
          <w:noProof/>
          <w:lang w:val="en-US"/>
        </w:rPr>
        <w:drawing>
          <wp:inline distT="0" distB="0" distL="0" distR="0" wp14:anchorId="6BD5ACCF" wp14:editId="7F5374F6">
            <wp:extent cx="5048250" cy="3609975"/>
            <wp:effectExtent l="0" t="0" r="0"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8250" cy="3609975"/>
                    </a:xfrm>
                    <a:prstGeom prst="rect">
                      <a:avLst/>
                    </a:prstGeom>
                    <a:noFill/>
                    <a:ln>
                      <a:noFill/>
                    </a:ln>
                  </pic:spPr>
                </pic:pic>
              </a:graphicData>
            </a:graphic>
          </wp:inline>
        </w:drawing>
      </w:r>
    </w:p>
    <w:p w14:paraId="09F4B1B5" w14:textId="77777777" w:rsidR="00580D99" w:rsidRPr="00FC1D08" w:rsidRDefault="00580D99" w:rsidP="00580D99">
      <w:pPr>
        <w:spacing w:line="480" w:lineRule="auto"/>
        <w:jc w:val="both"/>
        <w:rPr>
          <w:rFonts w:ascii="Arial" w:hAnsi="Arial"/>
          <w:sz w:val="24"/>
          <w:szCs w:val="24"/>
          <w:lang w:val="en-US"/>
        </w:rPr>
      </w:pPr>
      <w:r>
        <w:rPr>
          <w:rFonts w:ascii="Arial" w:hAnsi="Arial"/>
          <w:b/>
          <w:sz w:val="24"/>
          <w:szCs w:val="24"/>
          <w:lang w:val="en-US"/>
        </w:rPr>
        <w:lastRenderedPageBreak/>
        <w:t xml:space="preserve">S2 </w:t>
      </w:r>
      <w:r w:rsidRPr="00FC1D08">
        <w:rPr>
          <w:rFonts w:ascii="Arial" w:hAnsi="Arial"/>
          <w:b/>
          <w:sz w:val="24"/>
          <w:szCs w:val="24"/>
          <w:lang w:val="en-US"/>
        </w:rPr>
        <w:t>Figure:</w:t>
      </w:r>
      <w:r>
        <w:rPr>
          <w:rFonts w:ascii="Arial" w:hAnsi="Arial"/>
          <w:sz w:val="24"/>
          <w:szCs w:val="24"/>
          <w:lang w:val="en-US"/>
        </w:rPr>
        <w:t xml:space="preserve"> </w:t>
      </w:r>
      <w:r w:rsidRPr="00186309">
        <w:rPr>
          <w:rFonts w:ascii="Arial" w:hAnsi="Arial"/>
          <w:b/>
          <w:bCs/>
          <w:sz w:val="24"/>
          <w:szCs w:val="24"/>
          <w:lang w:val="en-US"/>
        </w:rPr>
        <w:t xml:space="preserve">Prediction for the dynamics </w:t>
      </w:r>
      <w:r w:rsidRPr="00186309">
        <w:rPr>
          <w:rFonts w:ascii="Arial" w:eastAsiaTheme="minorEastAsia" w:hAnsi="Arial" w:cs="Arial"/>
          <w:b/>
          <w:bCs/>
          <w:sz w:val="24"/>
          <w:szCs w:val="24"/>
          <w:lang w:val="en-GB"/>
        </w:rPr>
        <w:t xml:space="preserve">of viral subpopulations of </w:t>
      </w:r>
      <w:r w:rsidRPr="00186309">
        <w:rPr>
          <w:rFonts w:ascii="Arial" w:hAnsi="Arial"/>
          <w:b/>
          <w:bCs/>
          <w:sz w:val="24"/>
          <w:szCs w:val="24"/>
          <w:lang w:val="en-US"/>
        </w:rPr>
        <w:t>A/PR/8/34-delS1(1)</w:t>
      </w:r>
      <w:r w:rsidRPr="00186309">
        <w:rPr>
          <w:rFonts w:ascii="Arial" w:eastAsiaTheme="minorEastAsia" w:hAnsi="Arial" w:cs="Arial"/>
          <w:b/>
          <w:bCs/>
          <w:sz w:val="24"/>
          <w:szCs w:val="24"/>
          <w:lang w:val="en-GB"/>
        </w:rPr>
        <w:t>, produced by MDCK.SUS2 cel</w:t>
      </w:r>
      <w:r w:rsidRPr="0055760E">
        <w:rPr>
          <w:rFonts w:ascii="Arial" w:eastAsiaTheme="minorEastAsia" w:hAnsi="Arial" w:cs="Arial"/>
          <w:b/>
          <w:bCs/>
          <w:sz w:val="24"/>
          <w:szCs w:val="24"/>
          <w:lang w:val="en-GB"/>
        </w:rPr>
        <w:t xml:space="preserve">ls </w:t>
      </w:r>
      <w:r w:rsidRPr="00186309">
        <w:rPr>
          <w:rFonts w:ascii="Arial" w:hAnsi="Arial"/>
          <w:b/>
          <w:bCs/>
          <w:sz w:val="24"/>
          <w:szCs w:val="24"/>
          <w:lang w:val="en-US"/>
        </w:rPr>
        <w:t>in a</w:t>
      </w:r>
      <w:r>
        <w:rPr>
          <w:rFonts w:ascii="Arial" w:hAnsi="Arial"/>
          <w:b/>
          <w:bCs/>
          <w:sz w:val="24"/>
          <w:szCs w:val="24"/>
          <w:lang w:val="en-US"/>
        </w:rPr>
        <w:t xml:space="preserve"> parallel</w:t>
      </w:r>
      <w:r w:rsidRPr="00186309">
        <w:rPr>
          <w:rFonts w:ascii="Arial" w:hAnsi="Arial"/>
          <w:b/>
          <w:bCs/>
          <w:sz w:val="24"/>
          <w:szCs w:val="24"/>
          <w:lang w:val="en-US"/>
        </w:rPr>
        <w:t xml:space="preserve"> </w:t>
      </w:r>
      <w:r>
        <w:rPr>
          <w:rFonts w:ascii="Arial" w:hAnsi="Arial"/>
          <w:b/>
          <w:bCs/>
          <w:sz w:val="24"/>
          <w:szCs w:val="24"/>
          <w:lang w:val="en-US"/>
        </w:rPr>
        <w:t>continuous</w:t>
      </w:r>
      <w:r w:rsidRPr="00186309">
        <w:rPr>
          <w:rFonts w:ascii="Arial" w:hAnsi="Arial"/>
          <w:b/>
          <w:bCs/>
          <w:sz w:val="24"/>
          <w:szCs w:val="24"/>
          <w:lang w:val="en-US"/>
        </w:rPr>
        <w:t xml:space="preserve"> bioreactor system</w:t>
      </w:r>
      <w:r w:rsidRPr="00186309">
        <w:rPr>
          <w:rFonts w:ascii="Arial" w:eastAsiaTheme="minorEastAsia" w:hAnsi="Arial" w:cs="Arial"/>
          <w:b/>
          <w:bCs/>
          <w:sz w:val="24"/>
          <w:szCs w:val="24"/>
          <w:lang w:val="en-GB"/>
        </w:rPr>
        <w:t xml:space="preserve"> at a residence time (RT) of 36 h</w:t>
      </w:r>
      <w:r>
        <w:rPr>
          <w:rFonts w:ascii="Arial" w:eastAsiaTheme="minorEastAsia" w:hAnsi="Arial" w:cs="Arial"/>
          <w:sz w:val="24"/>
          <w:szCs w:val="24"/>
          <w:lang w:val="en-GB"/>
        </w:rPr>
        <w:t xml:space="preserve">. Experimental data (open circles) of RT 36 h and predictions (lines) using the model previously fitted to data of RT 22 h with a change to </w:t>
      </w:r>
      <m:oMath>
        <m:r>
          <w:rPr>
            <w:rFonts w:ascii="Cambria Math" w:eastAsia="BatangChe" w:hAnsi="Cambria Math" w:cs="Arial"/>
            <w:sz w:val="24"/>
            <w:szCs w:val="24"/>
            <w:lang w:val="en-US"/>
          </w:rPr>
          <m:t>μ</m:t>
        </m:r>
      </m:oMath>
      <w:r w:rsidRPr="00C2221E">
        <w:rPr>
          <w:rFonts w:ascii="Arial" w:eastAsiaTheme="minorEastAsia" w:hAnsi="Arial" w:cs="Arial"/>
          <w:sz w:val="24"/>
          <w:szCs w:val="24"/>
          <w:lang w:val="en-US"/>
        </w:rPr>
        <w:t xml:space="preserve"> </w:t>
      </w:r>
      <w:r>
        <w:rPr>
          <w:rFonts w:ascii="Arial" w:eastAsiaTheme="minorEastAsia" w:hAnsi="Arial" w:cs="Arial"/>
          <w:sz w:val="24"/>
          <w:szCs w:val="24"/>
          <w:lang w:val="en-GB"/>
        </w:rPr>
        <w:t>= D = 0.027 1/h</w:t>
      </w:r>
      <w:r w:rsidRPr="00DE0313">
        <w:rPr>
          <w:rFonts w:ascii="Arial" w:eastAsiaTheme="minorEastAsia" w:hAnsi="Arial" w:cs="Arial"/>
          <w:sz w:val="24"/>
          <w:szCs w:val="24"/>
          <w:lang w:val="en-GB"/>
        </w:rPr>
        <w:t>.</w:t>
      </w:r>
      <w:r>
        <w:rPr>
          <w:rFonts w:ascii="Arial" w:eastAsiaTheme="minorEastAsia" w:hAnsi="Arial" w:cs="Arial"/>
          <w:sz w:val="24"/>
          <w:szCs w:val="24"/>
          <w:lang w:val="en-GB"/>
        </w:rPr>
        <w:t xml:space="preserve"> Shown</w:t>
      </w:r>
      <w:r w:rsidRPr="00DE0313">
        <w:rPr>
          <w:rFonts w:ascii="Arial" w:eastAsiaTheme="minorEastAsia" w:hAnsi="Arial" w:cs="Arial"/>
          <w:sz w:val="24"/>
          <w:szCs w:val="24"/>
          <w:lang w:val="en-GB"/>
        </w:rPr>
        <w:t xml:space="preserve"> </w:t>
      </w:r>
      <w:r>
        <w:rPr>
          <w:rFonts w:ascii="Arial" w:eastAsiaTheme="minorEastAsia" w:hAnsi="Arial" w:cs="Arial"/>
          <w:sz w:val="24"/>
          <w:szCs w:val="24"/>
          <w:lang w:val="en-GB"/>
        </w:rPr>
        <w:t>are (A) TCID50 titer representing the infectious virions of (B) the FL S1-containing virions as well as</w:t>
      </w:r>
      <w:r w:rsidRPr="00DE0313">
        <w:rPr>
          <w:rFonts w:ascii="Arial" w:eastAsiaTheme="minorEastAsia" w:hAnsi="Arial" w:cs="Arial"/>
          <w:sz w:val="24"/>
          <w:szCs w:val="24"/>
          <w:lang w:val="en-GB"/>
        </w:rPr>
        <w:t xml:space="preserve"> </w:t>
      </w:r>
      <w:r>
        <w:rPr>
          <w:rFonts w:ascii="Arial" w:eastAsiaTheme="minorEastAsia" w:hAnsi="Arial" w:cs="Arial"/>
          <w:sz w:val="24"/>
          <w:szCs w:val="24"/>
          <w:lang w:val="en-GB"/>
        </w:rPr>
        <w:t xml:space="preserve">the </w:t>
      </w:r>
      <w:r w:rsidRPr="00DE0313">
        <w:rPr>
          <w:rFonts w:ascii="Arial" w:eastAsiaTheme="minorEastAsia" w:hAnsi="Arial" w:cs="Arial"/>
          <w:sz w:val="24"/>
          <w:szCs w:val="24"/>
          <w:lang w:val="en-GB"/>
        </w:rPr>
        <w:t>sum of all viral subpopulations as log HA units (C) and DI S1</w:t>
      </w:r>
      <w:r>
        <w:rPr>
          <w:rFonts w:ascii="Arial" w:eastAsiaTheme="minorEastAsia" w:hAnsi="Arial" w:cs="Arial"/>
          <w:sz w:val="24"/>
          <w:szCs w:val="24"/>
          <w:lang w:val="en-GB"/>
        </w:rPr>
        <w:t>-</w:t>
      </w:r>
      <w:r w:rsidRPr="00DE0313">
        <w:rPr>
          <w:rFonts w:ascii="Arial" w:eastAsiaTheme="minorEastAsia" w:hAnsi="Arial" w:cs="Arial"/>
          <w:sz w:val="24"/>
          <w:szCs w:val="24"/>
          <w:lang w:val="en-GB"/>
        </w:rPr>
        <w:t>containing virions (D)</w:t>
      </w:r>
      <w:r>
        <w:rPr>
          <w:rFonts w:ascii="Arial" w:eastAsiaTheme="minorEastAsia" w:hAnsi="Arial" w:cs="Arial"/>
          <w:sz w:val="24"/>
          <w:szCs w:val="24"/>
          <w:lang w:val="en-GB"/>
        </w:rPr>
        <w:t>.</w:t>
      </w:r>
      <w:r w:rsidRPr="00FC1D08">
        <w:rPr>
          <w:rFonts w:ascii="Arial" w:hAnsi="Arial"/>
          <w:bCs/>
          <w:sz w:val="24"/>
          <w:szCs w:val="24"/>
          <w:lang w:val="en-US"/>
        </w:rPr>
        <w:t xml:space="preserve"> </w:t>
      </w:r>
      <w:r>
        <w:rPr>
          <w:rFonts w:ascii="Arial" w:hAnsi="Arial"/>
          <w:bCs/>
          <w:sz w:val="24"/>
          <w:szCs w:val="24"/>
          <w:lang w:val="en-US"/>
        </w:rPr>
        <w:t>For both, experiment and model simulations, the</w:t>
      </w:r>
      <w:r w:rsidRPr="003B5344">
        <w:rPr>
          <w:rFonts w:ascii="Arial" w:hAnsi="Arial"/>
          <w:bCs/>
          <w:sz w:val="24"/>
          <w:szCs w:val="24"/>
          <w:lang w:val="en-US"/>
        </w:rPr>
        <w:t xml:space="preserve"> continuous culture</w:t>
      </w:r>
      <w:r>
        <w:rPr>
          <w:rFonts w:ascii="Arial" w:hAnsi="Arial"/>
          <w:bCs/>
          <w:sz w:val="24"/>
          <w:szCs w:val="24"/>
          <w:lang w:val="en-US"/>
        </w:rPr>
        <w:t xml:space="preserve"> was started 23.4 h p.i</w:t>
      </w:r>
      <w:r w:rsidRPr="003B5344">
        <w:rPr>
          <w:rFonts w:ascii="Arial" w:hAnsi="Arial"/>
          <w:bCs/>
          <w:sz w:val="24"/>
          <w:szCs w:val="24"/>
          <w:lang w:val="en-US"/>
        </w:rPr>
        <w:t>.</w:t>
      </w:r>
    </w:p>
    <w:p w14:paraId="0B523058" w14:textId="77777777" w:rsidR="00580D99" w:rsidRDefault="00580D99" w:rsidP="00580D99">
      <w:pPr>
        <w:spacing w:line="480" w:lineRule="auto"/>
        <w:jc w:val="both"/>
        <w:rPr>
          <w:rFonts w:ascii="Arial" w:hAnsi="Arial"/>
          <w:sz w:val="24"/>
          <w:szCs w:val="24"/>
          <w:lang w:val="en-US"/>
        </w:rPr>
      </w:pPr>
    </w:p>
    <w:p w14:paraId="6B154D4C" w14:textId="77777777" w:rsidR="00580D99" w:rsidRDefault="00580D99" w:rsidP="00580D99">
      <w:pPr>
        <w:spacing w:line="480" w:lineRule="auto"/>
        <w:jc w:val="both"/>
        <w:rPr>
          <w:rFonts w:ascii="Arial" w:hAnsi="Arial"/>
          <w:sz w:val="24"/>
          <w:szCs w:val="24"/>
          <w:lang w:val="en-US"/>
        </w:rPr>
      </w:pPr>
      <w:r>
        <w:rPr>
          <w:noProof/>
          <w:lang w:val="en-US"/>
        </w:rPr>
        <w:drawing>
          <wp:inline distT="0" distB="0" distL="0" distR="0" wp14:anchorId="3FBB0A90" wp14:editId="05910045">
            <wp:extent cx="5048250" cy="360997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8250" cy="3609975"/>
                    </a:xfrm>
                    <a:prstGeom prst="rect">
                      <a:avLst/>
                    </a:prstGeom>
                    <a:noFill/>
                    <a:ln>
                      <a:noFill/>
                    </a:ln>
                  </pic:spPr>
                </pic:pic>
              </a:graphicData>
            </a:graphic>
          </wp:inline>
        </w:drawing>
      </w:r>
    </w:p>
    <w:p w14:paraId="2B4358B1" w14:textId="77777777" w:rsidR="00580D99" w:rsidRDefault="00580D99" w:rsidP="00580D99">
      <w:pPr>
        <w:spacing w:line="480" w:lineRule="auto"/>
        <w:jc w:val="both"/>
        <w:rPr>
          <w:rFonts w:ascii="Arial" w:eastAsiaTheme="minorEastAsia" w:hAnsi="Arial" w:cs="Arial"/>
          <w:sz w:val="24"/>
          <w:szCs w:val="24"/>
          <w:lang w:val="en-GB"/>
        </w:rPr>
      </w:pPr>
      <w:r w:rsidRPr="00B53E0D">
        <w:rPr>
          <w:rFonts w:ascii="Arial" w:hAnsi="Arial"/>
          <w:b/>
          <w:sz w:val="24"/>
          <w:szCs w:val="24"/>
          <w:lang w:val="en-US"/>
        </w:rPr>
        <w:t>S</w:t>
      </w:r>
      <w:r>
        <w:rPr>
          <w:rFonts w:ascii="Arial" w:hAnsi="Arial"/>
          <w:b/>
          <w:sz w:val="24"/>
          <w:szCs w:val="24"/>
          <w:lang w:val="en-US"/>
        </w:rPr>
        <w:t>3</w:t>
      </w:r>
      <w:r w:rsidRPr="00B53E0D">
        <w:rPr>
          <w:rFonts w:ascii="Arial" w:hAnsi="Arial"/>
          <w:b/>
          <w:sz w:val="24"/>
          <w:szCs w:val="24"/>
          <w:lang w:val="en-US"/>
        </w:rPr>
        <w:t xml:space="preserve"> Figure</w:t>
      </w:r>
      <w:r>
        <w:rPr>
          <w:rFonts w:ascii="Arial" w:hAnsi="Arial"/>
          <w:sz w:val="24"/>
          <w:szCs w:val="24"/>
          <w:lang w:val="en-US"/>
        </w:rPr>
        <w:t xml:space="preserve">: </w:t>
      </w:r>
      <w:r w:rsidRPr="00186309">
        <w:rPr>
          <w:rFonts w:ascii="Arial" w:hAnsi="Arial"/>
          <w:b/>
          <w:bCs/>
          <w:sz w:val="24"/>
          <w:szCs w:val="24"/>
          <w:lang w:val="en-US"/>
        </w:rPr>
        <w:t>Prediction for the d</w:t>
      </w:r>
      <w:r w:rsidRPr="00186309">
        <w:rPr>
          <w:rFonts w:ascii="Arial" w:eastAsiaTheme="minorEastAsia" w:hAnsi="Arial" w:cs="Arial"/>
          <w:b/>
          <w:bCs/>
          <w:sz w:val="24"/>
          <w:szCs w:val="24"/>
          <w:lang w:val="en-GB"/>
        </w:rPr>
        <w:t xml:space="preserve">ynamics of viral subpopulations of </w:t>
      </w:r>
      <w:r w:rsidRPr="00186309">
        <w:rPr>
          <w:rFonts w:ascii="Arial" w:hAnsi="Arial"/>
          <w:b/>
          <w:bCs/>
          <w:sz w:val="24"/>
          <w:szCs w:val="24"/>
          <w:lang w:val="en-US"/>
        </w:rPr>
        <w:t>A/PR/8/34-delS1(1)</w:t>
      </w:r>
      <w:r w:rsidRPr="00186309">
        <w:rPr>
          <w:rFonts w:ascii="Arial" w:eastAsiaTheme="minorEastAsia" w:hAnsi="Arial" w:cs="Arial"/>
          <w:b/>
          <w:bCs/>
          <w:sz w:val="24"/>
          <w:szCs w:val="24"/>
          <w:lang w:val="en-GB"/>
        </w:rPr>
        <w:t>, produc</w:t>
      </w:r>
      <w:r w:rsidRPr="0055760E">
        <w:rPr>
          <w:rFonts w:ascii="Arial" w:eastAsiaTheme="minorEastAsia" w:hAnsi="Arial" w:cs="Arial"/>
          <w:b/>
          <w:bCs/>
          <w:sz w:val="24"/>
          <w:szCs w:val="24"/>
          <w:lang w:val="en-GB"/>
        </w:rPr>
        <w:t xml:space="preserve">ed </w:t>
      </w:r>
      <w:r w:rsidRPr="00186309">
        <w:rPr>
          <w:rFonts w:ascii="Arial" w:eastAsiaTheme="minorEastAsia" w:hAnsi="Arial" w:cs="Arial"/>
          <w:b/>
          <w:bCs/>
          <w:sz w:val="24"/>
          <w:szCs w:val="24"/>
          <w:lang w:val="en-GB"/>
        </w:rPr>
        <w:t xml:space="preserve">by MDCK.SUS2 cells </w:t>
      </w:r>
      <w:r w:rsidRPr="00186309">
        <w:rPr>
          <w:rFonts w:ascii="Arial" w:hAnsi="Arial"/>
          <w:b/>
          <w:bCs/>
          <w:sz w:val="24"/>
          <w:szCs w:val="24"/>
          <w:lang w:val="en-US"/>
        </w:rPr>
        <w:t xml:space="preserve">in a </w:t>
      </w:r>
      <w:r>
        <w:rPr>
          <w:rFonts w:ascii="Arial" w:hAnsi="Arial"/>
          <w:b/>
          <w:bCs/>
          <w:sz w:val="24"/>
          <w:szCs w:val="24"/>
          <w:lang w:val="en-US"/>
        </w:rPr>
        <w:t>parallel continuous</w:t>
      </w:r>
      <w:r w:rsidRPr="00186309">
        <w:rPr>
          <w:rFonts w:ascii="Arial" w:hAnsi="Arial"/>
          <w:b/>
          <w:bCs/>
          <w:sz w:val="24"/>
          <w:szCs w:val="24"/>
          <w:lang w:val="en-US"/>
        </w:rPr>
        <w:t xml:space="preserve"> bioreactor system</w:t>
      </w:r>
      <w:r w:rsidRPr="00186309">
        <w:rPr>
          <w:rFonts w:ascii="Arial" w:eastAsiaTheme="minorEastAsia" w:hAnsi="Arial" w:cs="Arial"/>
          <w:b/>
          <w:bCs/>
          <w:sz w:val="24"/>
          <w:szCs w:val="24"/>
          <w:lang w:val="en-GB"/>
        </w:rPr>
        <w:t xml:space="preserve"> at  a residence time (RT) of 22 h</w:t>
      </w:r>
      <w:r>
        <w:rPr>
          <w:rFonts w:ascii="Arial" w:eastAsiaTheme="minorEastAsia" w:hAnsi="Arial" w:cs="Arial"/>
          <w:sz w:val="24"/>
          <w:szCs w:val="24"/>
          <w:lang w:val="en-GB"/>
        </w:rPr>
        <w:t xml:space="preserve">. Experimental data (open circles) for a RT of 22 h and predictions (lines) using the model fitted to data of RT 36 h with a change to </w:t>
      </w:r>
      <m:oMath>
        <m:r>
          <w:rPr>
            <w:rFonts w:ascii="Cambria Math" w:eastAsia="BatangChe" w:hAnsi="Cambria Math" w:cs="Arial"/>
            <w:sz w:val="24"/>
            <w:szCs w:val="24"/>
            <w:lang w:val="en-US"/>
          </w:rPr>
          <m:t>μ</m:t>
        </m:r>
      </m:oMath>
      <w:r>
        <w:rPr>
          <w:rFonts w:ascii="Arial" w:eastAsiaTheme="minorEastAsia" w:hAnsi="Arial" w:cs="Arial"/>
          <w:sz w:val="24"/>
          <w:szCs w:val="24"/>
          <w:lang w:val="en-GB"/>
        </w:rPr>
        <w:t xml:space="preserve"> = D = 0.045 1/h</w:t>
      </w:r>
      <w:r w:rsidRPr="00DE0313">
        <w:rPr>
          <w:rFonts w:ascii="Arial" w:eastAsiaTheme="minorEastAsia" w:hAnsi="Arial" w:cs="Arial"/>
          <w:sz w:val="24"/>
          <w:szCs w:val="24"/>
          <w:lang w:val="en-GB"/>
        </w:rPr>
        <w:t>.</w:t>
      </w:r>
      <w:r>
        <w:rPr>
          <w:rFonts w:ascii="Arial" w:eastAsiaTheme="minorEastAsia" w:hAnsi="Arial" w:cs="Arial"/>
          <w:sz w:val="24"/>
          <w:szCs w:val="24"/>
          <w:lang w:val="en-GB"/>
        </w:rPr>
        <w:t xml:space="preserve"> Shown</w:t>
      </w:r>
      <w:r w:rsidRPr="00DE0313">
        <w:rPr>
          <w:rFonts w:ascii="Arial" w:eastAsiaTheme="minorEastAsia" w:hAnsi="Arial" w:cs="Arial"/>
          <w:sz w:val="24"/>
          <w:szCs w:val="24"/>
          <w:lang w:val="en-GB"/>
        </w:rPr>
        <w:t xml:space="preserve"> </w:t>
      </w:r>
      <w:r>
        <w:rPr>
          <w:rFonts w:ascii="Arial" w:eastAsiaTheme="minorEastAsia" w:hAnsi="Arial" w:cs="Arial"/>
          <w:sz w:val="24"/>
          <w:szCs w:val="24"/>
          <w:lang w:val="en-GB"/>
        </w:rPr>
        <w:t>are (A) TCID</w:t>
      </w:r>
      <w:r w:rsidRPr="00475013">
        <w:rPr>
          <w:rFonts w:ascii="Arial" w:eastAsiaTheme="minorEastAsia" w:hAnsi="Arial" w:cs="Arial"/>
          <w:sz w:val="24"/>
          <w:szCs w:val="24"/>
          <w:vertAlign w:val="subscript"/>
          <w:lang w:val="en-GB"/>
        </w:rPr>
        <w:t>50</w:t>
      </w:r>
      <w:r>
        <w:rPr>
          <w:rFonts w:ascii="Arial" w:eastAsiaTheme="minorEastAsia" w:hAnsi="Arial" w:cs="Arial"/>
          <w:sz w:val="24"/>
          <w:szCs w:val="24"/>
          <w:lang w:val="en-GB"/>
        </w:rPr>
        <w:t xml:space="preserve"> titer representing the infectious virions of </w:t>
      </w:r>
      <w:r>
        <w:rPr>
          <w:rFonts w:ascii="Arial" w:eastAsiaTheme="minorEastAsia" w:hAnsi="Arial" w:cs="Arial"/>
          <w:sz w:val="24"/>
          <w:szCs w:val="24"/>
          <w:lang w:val="en-GB"/>
        </w:rPr>
        <w:lastRenderedPageBreak/>
        <w:t>(B) the FL S1-containing virions as well as</w:t>
      </w:r>
      <w:r w:rsidRPr="00DE0313">
        <w:rPr>
          <w:rFonts w:ascii="Arial" w:eastAsiaTheme="minorEastAsia" w:hAnsi="Arial" w:cs="Arial"/>
          <w:sz w:val="24"/>
          <w:szCs w:val="24"/>
          <w:lang w:val="en-GB"/>
        </w:rPr>
        <w:t xml:space="preserve"> </w:t>
      </w:r>
      <w:r>
        <w:rPr>
          <w:rFonts w:ascii="Arial" w:eastAsiaTheme="minorEastAsia" w:hAnsi="Arial" w:cs="Arial"/>
          <w:sz w:val="24"/>
          <w:szCs w:val="24"/>
          <w:lang w:val="en-GB"/>
        </w:rPr>
        <w:t xml:space="preserve">the </w:t>
      </w:r>
      <w:r w:rsidRPr="00DE0313">
        <w:rPr>
          <w:rFonts w:ascii="Arial" w:eastAsiaTheme="minorEastAsia" w:hAnsi="Arial" w:cs="Arial"/>
          <w:sz w:val="24"/>
          <w:szCs w:val="24"/>
          <w:lang w:val="en-GB"/>
        </w:rPr>
        <w:t xml:space="preserve">sum of all viral subpopulations </w:t>
      </w:r>
      <w:r>
        <w:rPr>
          <w:rFonts w:ascii="Arial" w:eastAsiaTheme="minorEastAsia" w:hAnsi="Arial" w:cs="Arial"/>
          <w:sz w:val="24"/>
          <w:szCs w:val="24"/>
          <w:lang w:val="en-GB"/>
        </w:rPr>
        <w:t>in</w:t>
      </w:r>
      <w:r w:rsidRPr="00DE0313">
        <w:rPr>
          <w:rFonts w:ascii="Arial" w:eastAsiaTheme="minorEastAsia" w:hAnsi="Arial" w:cs="Arial"/>
          <w:sz w:val="24"/>
          <w:szCs w:val="24"/>
          <w:lang w:val="en-GB"/>
        </w:rPr>
        <w:t xml:space="preserve"> log HA units (C) and DI S1</w:t>
      </w:r>
      <w:r>
        <w:rPr>
          <w:rFonts w:ascii="Arial" w:eastAsiaTheme="minorEastAsia" w:hAnsi="Arial" w:cs="Arial"/>
          <w:sz w:val="24"/>
          <w:szCs w:val="24"/>
          <w:lang w:val="en-GB"/>
        </w:rPr>
        <w:t>-</w:t>
      </w:r>
      <w:r w:rsidRPr="00DE0313">
        <w:rPr>
          <w:rFonts w:ascii="Arial" w:eastAsiaTheme="minorEastAsia" w:hAnsi="Arial" w:cs="Arial"/>
          <w:sz w:val="24"/>
          <w:szCs w:val="24"/>
          <w:lang w:val="en-GB"/>
        </w:rPr>
        <w:t>containing virions (D)</w:t>
      </w:r>
      <w:r>
        <w:rPr>
          <w:rFonts w:ascii="Arial" w:eastAsiaTheme="minorEastAsia" w:hAnsi="Arial" w:cs="Arial"/>
          <w:sz w:val="24"/>
          <w:szCs w:val="24"/>
          <w:lang w:val="en-GB"/>
        </w:rPr>
        <w:t>.</w:t>
      </w:r>
    </w:p>
    <w:p w14:paraId="51AE5059" w14:textId="77777777" w:rsidR="00580D99" w:rsidRDefault="00580D99" w:rsidP="00580D99">
      <w:pPr>
        <w:spacing w:line="480" w:lineRule="auto"/>
        <w:jc w:val="both"/>
        <w:rPr>
          <w:rFonts w:ascii="Arial" w:hAnsi="Arial"/>
          <w:sz w:val="24"/>
          <w:szCs w:val="24"/>
          <w:lang w:val="en-US"/>
        </w:rPr>
      </w:pPr>
    </w:p>
    <w:p w14:paraId="274D3C34" w14:textId="77777777" w:rsidR="00580D99" w:rsidRPr="007F0489" w:rsidRDefault="00580D99" w:rsidP="00580D99">
      <w:pPr>
        <w:pStyle w:val="PaperArial2"/>
      </w:pPr>
      <w:r>
        <w:t xml:space="preserve">Supporting discussion: </w:t>
      </w:r>
      <w:r w:rsidRPr="007F0489">
        <w:t>Segment-specific reverse transcription</w:t>
      </w:r>
      <w:r>
        <w:t>-</w:t>
      </w:r>
      <w:r w:rsidRPr="007F0489">
        <w:t>PCR</w:t>
      </w:r>
    </w:p>
    <w:p w14:paraId="590B5082" w14:textId="77777777" w:rsidR="00580D99" w:rsidRPr="007F0489" w:rsidRDefault="00580D99" w:rsidP="00580D99">
      <w:pPr>
        <w:spacing w:line="480" w:lineRule="auto"/>
        <w:jc w:val="both"/>
        <w:rPr>
          <w:rFonts w:ascii="Arial" w:hAnsi="Arial" w:cs="Arial"/>
          <w:sz w:val="24"/>
          <w:szCs w:val="24"/>
          <w:lang w:val="en-US"/>
        </w:rPr>
      </w:pPr>
      <w:r>
        <w:rPr>
          <w:rFonts w:ascii="Arial" w:hAnsi="Arial" w:cs="Arial"/>
          <w:sz w:val="24"/>
          <w:szCs w:val="24"/>
          <w:lang w:val="en-US"/>
        </w:rPr>
        <w:t>A</w:t>
      </w:r>
      <w:r w:rsidRPr="007F0489">
        <w:rPr>
          <w:rFonts w:ascii="Arial" w:hAnsi="Arial" w:cs="Arial"/>
          <w:sz w:val="24"/>
          <w:szCs w:val="24"/>
          <w:lang w:val="en-US"/>
        </w:rPr>
        <w:t>ccumulation</w:t>
      </w:r>
      <w:r>
        <w:rPr>
          <w:rFonts w:ascii="Arial" w:hAnsi="Arial" w:cs="Arial"/>
          <w:sz w:val="24"/>
          <w:szCs w:val="24"/>
          <w:lang w:val="en-US"/>
        </w:rPr>
        <w:t xml:space="preserve"> of defective segments (DS), including DI segments and non-interfering deleted segments,</w:t>
      </w:r>
      <w:r w:rsidRPr="007F0489">
        <w:rPr>
          <w:rFonts w:ascii="Arial" w:hAnsi="Arial" w:cs="Arial"/>
          <w:sz w:val="24"/>
          <w:szCs w:val="24"/>
          <w:lang w:val="en-US"/>
        </w:rPr>
        <w:t xml:space="preserve"> in </w:t>
      </w:r>
      <w:r>
        <w:rPr>
          <w:rFonts w:ascii="Arial" w:hAnsi="Arial" w:cs="Arial"/>
          <w:sz w:val="24"/>
          <w:szCs w:val="24"/>
          <w:lang w:val="en-US"/>
        </w:rPr>
        <w:t>IAV</w:t>
      </w:r>
      <w:r w:rsidRPr="007F0489">
        <w:rPr>
          <w:rFonts w:ascii="Arial" w:hAnsi="Arial" w:cs="Arial"/>
          <w:sz w:val="24"/>
          <w:szCs w:val="24"/>
          <w:lang w:val="en-US"/>
        </w:rPr>
        <w:t xml:space="preserve"> was evaluated from bioreactor samples using a segment-specific PCR. Influenza virus segments 1-3</w:t>
      </w:r>
      <w:r>
        <w:rPr>
          <w:rFonts w:ascii="Arial" w:hAnsi="Arial" w:cs="Arial"/>
          <w:sz w:val="24"/>
          <w:szCs w:val="24"/>
          <w:lang w:val="en-US"/>
        </w:rPr>
        <w:t>,</w:t>
      </w:r>
      <w:r w:rsidRPr="007F0489">
        <w:rPr>
          <w:rFonts w:ascii="Arial" w:hAnsi="Arial" w:cs="Arial"/>
          <w:sz w:val="24"/>
          <w:szCs w:val="24"/>
          <w:lang w:val="en-US"/>
        </w:rPr>
        <w:t xml:space="preserve"> encoding PB2, PB1 and PA</w:t>
      </w:r>
      <w:r>
        <w:rPr>
          <w:rFonts w:ascii="Arial" w:hAnsi="Arial" w:cs="Arial"/>
          <w:sz w:val="24"/>
          <w:szCs w:val="24"/>
          <w:lang w:val="en-US"/>
        </w:rPr>
        <w:t>,</w:t>
      </w:r>
      <w:r w:rsidRPr="007F0489">
        <w:rPr>
          <w:rFonts w:ascii="Arial" w:hAnsi="Arial" w:cs="Arial"/>
          <w:sz w:val="24"/>
          <w:szCs w:val="24"/>
          <w:lang w:val="en-US"/>
        </w:rPr>
        <w:t xml:space="preserve"> are known to accumulate more </w:t>
      </w:r>
      <w:r>
        <w:rPr>
          <w:rFonts w:ascii="Arial" w:hAnsi="Arial" w:cs="Arial"/>
          <w:sz w:val="24"/>
          <w:szCs w:val="24"/>
          <w:lang w:val="en-US"/>
        </w:rPr>
        <w:t>DS</w:t>
      </w:r>
      <w:r w:rsidRPr="007F0489">
        <w:rPr>
          <w:rFonts w:ascii="Arial" w:hAnsi="Arial" w:cs="Arial"/>
          <w:sz w:val="24"/>
          <w:szCs w:val="24"/>
          <w:lang w:val="en-US"/>
        </w:rPr>
        <w:t xml:space="preserve"> than other segments in continuous passaging</w:t>
      </w:r>
      <w:r>
        <w:rPr>
          <w:rFonts w:ascii="Arial" w:hAnsi="Arial" w:cs="Arial"/>
          <w:sz w:val="24"/>
          <w:szCs w:val="24"/>
          <w:lang w:val="en-US"/>
        </w:rPr>
        <w:t xml:space="preserve"> </w:t>
      </w:r>
      <w:r>
        <w:rPr>
          <w:rFonts w:ascii="Arial" w:hAnsi="Arial" w:cs="Arial"/>
          <w:sz w:val="24"/>
          <w:szCs w:val="24"/>
          <w:lang w:val="en-US"/>
        </w:rPr>
        <w:fldChar w:fldCharType="begin" w:fldLock="1"/>
      </w:r>
      <w:r>
        <w:rPr>
          <w:rFonts w:ascii="Arial" w:hAnsi="Arial" w:cs="Arial"/>
          <w:sz w:val="24"/>
          <w:szCs w:val="24"/>
          <w:lang w:val="en-US"/>
        </w:rPr>
        <w:instrText>ADDIN CSL_CITATION {"citationItems":[{"id":"ITEM-1","itemData":{"DOI":"10.1371/journal.pone.0072288","ISSN":"19326203","abstract":"Influenza viruses are a major public health burden during seasonal epidemics and a continuous threat due to their potential to cause pandemics. Annual vaccination provides the best protection against the contagious respiratory illness caused by influenza viruses. However, the current production capacities for influenza vaccines are insufficient to meet the increasing demands. We explored the possibility to establish a continuous production process for influenza viruses using the duck- derived suspension cell line AGE1.CR. A two-stage bioreactor setup was designed in which cells were cultivated in a first stirred tank reactor where an almost constant cell concentration was maintained. Cells were then constantly fed to a second bioreactor where virus infection and replication took place. Using this two-stage reactor system, it was possible to continuously produce influenza viruses. Surprisingly, virus titers showed a periodic increase and decrease during the run- time of 17 days. These titer fluctuations were caused by the presence of defective interfering particles (DIPs), which we detected by PCR. Mathematical modeling confirmed this observation showing that constant virus titers can only emerge in the absence of DIPs. Even with very low amounts of DIPs in the seed virus and very low rates for de novo DIP generation, defective viruses rapidly accumulate and, therefore, represent a serious challenge for continuous vaccine production. Yet, the continuous replication of influenza virus using a two-stage bioreactor setup is a novel tool to study aspects of viral evolution and the impact of DIPs.","author":[{"dropping-particle":"","family":"Frensing","given":"Timo","non-dropping-particle":"","parse-names":false,"suffix":""},{"dropping-particle":"","family":"Heldt","given":"Frank Stefan","non-dropping-particle":"","parse-names":false,"suffix":""},{"dropping-particle":"","family":"Pflugmacher","given":"Antje","non-dropping-particle":"","parse-names":false,"suffix":""},{"dropping-particle":"","family":"Behrendt","given":"Ilona","non-dropping-particle":"","parse-names":false,"suffix":""},{"dropping-particle":"","family":"Jordan","given":"Ingo","non-dropping-particle":"","parse-names":false,"suffix":""},{"dropping-particle":"","family":"Flockerzi","given":"Dietrich","non-dropping-particle":"","parse-names":false,"suffix":""},{"dropping-particle":"","family":"Genzel","given":"Yvonne","non-dropping-particle":"","parse-names":false,"suffix":""},{"dropping-particle":"","family":"Reichl","given":"Udo","non-dropping-particle":"","parse-names":false,"suffix":""}],"container-title":"PLoS ONE","id":"ITEM-1","issued":{"date-parts":[["2013"]]},"title":"Continuous Influenza Virus Production in Cell Culture Shows a Periodic Accumulation of Defective Interfering Particles","type":"article-journal"},"uris":["http://www.mendeley.com/documents/?uuid=a4d4de90-9104-4c2a-b3dc-8aee2dbdcf20"]}],"mendeley":{"formattedCitation":"(Frensing et al., 2013)","plainTextFormattedCitation":"(Frensing et al., 2013)","previouslyFormattedCitation":"(Frensing et al., 2013)"},"properties":{"noteIndex":0},"schema":"https://github.com/citation-style-language/schema/raw/master/csl-citation.json"}</w:instrText>
      </w:r>
      <w:r>
        <w:rPr>
          <w:rFonts w:ascii="Arial" w:hAnsi="Arial" w:cs="Arial"/>
          <w:sz w:val="24"/>
          <w:szCs w:val="24"/>
          <w:lang w:val="en-US"/>
        </w:rPr>
        <w:fldChar w:fldCharType="separate"/>
      </w:r>
      <w:r w:rsidRPr="00C8660F">
        <w:rPr>
          <w:rFonts w:ascii="Arial" w:hAnsi="Arial" w:cs="Arial"/>
          <w:noProof/>
          <w:sz w:val="24"/>
          <w:szCs w:val="24"/>
          <w:lang w:val="en-US"/>
        </w:rPr>
        <w:t>(Frensing et al., 2013)</w:t>
      </w:r>
      <w:r>
        <w:rPr>
          <w:rFonts w:ascii="Arial" w:hAnsi="Arial" w:cs="Arial"/>
          <w:sz w:val="24"/>
          <w:szCs w:val="24"/>
          <w:lang w:val="en-US"/>
        </w:rPr>
        <w:fldChar w:fldCharType="end"/>
      </w:r>
      <w:r w:rsidRPr="007F0489">
        <w:rPr>
          <w:rFonts w:ascii="Arial" w:hAnsi="Arial" w:cs="Arial"/>
          <w:sz w:val="24"/>
          <w:szCs w:val="24"/>
          <w:lang w:val="en-US"/>
        </w:rPr>
        <w:t xml:space="preserve">. Hence, differences in </w:t>
      </w:r>
      <w:r>
        <w:rPr>
          <w:rFonts w:ascii="Arial" w:hAnsi="Arial" w:cs="Arial"/>
          <w:sz w:val="24"/>
          <w:szCs w:val="24"/>
          <w:lang w:val="en-US"/>
        </w:rPr>
        <w:t>DS</w:t>
      </w:r>
      <w:r w:rsidRPr="007F0489">
        <w:rPr>
          <w:rFonts w:ascii="Arial" w:hAnsi="Arial" w:cs="Arial"/>
          <w:sz w:val="24"/>
          <w:szCs w:val="24"/>
          <w:lang w:val="en-US"/>
        </w:rPr>
        <w:t xml:space="preserve"> accumulation in segments 1-3 at two RTs w</w:t>
      </w:r>
      <w:r>
        <w:rPr>
          <w:rFonts w:ascii="Arial" w:hAnsi="Arial" w:cs="Arial"/>
          <w:sz w:val="24"/>
          <w:szCs w:val="24"/>
          <w:lang w:val="en-US"/>
        </w:rPr>
        <w:t>ere</w:t>
      </w:r>
      <w:r w:rsidRPr="007F0489">
        <w:rPr>
          <w:rFonts w:ascii="Arial" w:hAnsi="Arial" w:cs="Arial"/>
          <w:sz w:val="24"/>
          <w:szCs w:val="24"/>
          <w:lang w:val="en-US"/>
        </w:rPr>
        <w:t xml:space="preserve"> evaluated. In both cultivation</w:t>
      </w:r>
      <w:r>
        <w:rPr>
          <w:rFonts w:ascii="Arial" w:hAnsi="Arial" w:cs="Arial"/>
          <w:sz w:val="24"/>
          <w:szCs w:val="24"/>
          <w:lang w:val="en-US"/>
        </w:rPr>
        <w:t>s,</w:t>
      </w:r>
      <w:r w:rsidRPr="007F0489">
        <w:rPr>
          <w:rFonts w:ascii="Arial" w:hAnsi="Arial" w:cs="Arial"/>
          <w:sz w:val="24"/>
          <w:szCs w:val="24"/>
          <w:lang w:val="en-US"/>
        </w:rPr>
        <w:t xml:space="preserve"> the presence of </w:t>
      </w:r>
      <w:r>
        <w:rPr>
          <w:rFonts w:ascii="Arial" w:hAnsi="Arial" w:cs="Arial"/>
          <w:sz w:val="24"/>
          <w:szCs w:val="24"/>
          <w:lang w:val="en-US"/>
        </w:rPr>
        <w:t>A/PR/8/34-</w:t>
      </w:r>
      <w:r w:rsidRPr="007F0489">
        <w:rPr>
          <w:rFonts w:ascii="Arial" w:hAnsi="Arial" w:cs="Arial"/>
          <w:sz w:val="24"/>
          <w:szCs w:val="24"/>
          <w:lang w:val="en-US"/>
        </w:rPr>
        <w:t xml:space="preserve">delS1(1) virus </w:t>
      </w:r>
      <w:r>
        <w:rPr>
          <w:rFonts w:ascii="Arial" w:hAnsi="Arial" w:cs="Arial"/>
          <w:sz w:val="24"/>
          <w:szCs w:val="24"/>
          <w:lang w:val="en-US"/>
        </w:rPr>
        <w:t xml:space="preserve">with about 500 base pairs (bp) </w:t>
      </w:r>
      <w:r w:rsidRPr="007F0489">
        <w:rPr>
          <w:rFonts w:ascii="Arial" w:hAnsi="Arial" w:cs="Arial"/>
          <w:sz w:val="24"/>
          <w:szCs w:val="24"/>
          <w:lang w:val="en-US"/>
        </w:rPr>
        <w:t xml:space="preserve">was detected as expected (left and right, </w:t>
      </w:r>
      <w:r>
        <w:rPr>
          <w:rFonts w:ascii="Arial" w:hAnsi="Arial" w:cs="Arial"/>
          <w:sz w:val="24"/>
          <w:szCs w:val="24"/>
          <w:lang w:val="en-US"/>
        </w:rPr>
        <w:t xml:space="preserve">S4 </w:t>
      </w:r>
      <w:r w:rsidRPr="007F0489">
        <w:rPr>
          <w:rFonts w:ascii="Arial" w:hAnsi="Arial" w:cs="Arial"/>
          <w:sz w:val="24"/>
          <w:szCs w:val="24"/>
          <w:lang w:val="en-US"/>
        </w:rPr>
        <w:t xml:space="preserve">Figure). In general, </w:t>
      </w:r>
      <w:r>
        <w:rPr>
          <w:rFonts w:ascii="Arial" w:hAnsi="Arial" w:cs="Arial"/>
          <w:sz w:val="24"/>
          <w:szCs w:val="24"/>
          <w:lang w:val="en-US"/>
        </w:rPr>
        <w:t>DS</w:t>
      </w:r>
      <w:r w:rsidRPr="007F0489">
        <w:rPr>
          <w:rFonts w:ascii="Arial" w:hAnsi="Arial" w:cs="Arial"/>
          <w:sz w:val="24"/>
          <w:szCs w:val="24"/>
          <w:lang w:val="en-US"/>
        </w:rPr>
        <w:t xml:space="preserve"> in the range of 500</w:t>
      </w:r>
      <w:r>
        <w:rPr>
          <w:rFonts w:ascii="Arial" w:hAnsi="Arial" w:cs="Arial"/>
          <w:sz w:val="24"/>
          <w:szCs w:val="24"/>
          <w:lang w:val="en-US"/>
        </w:rPr>
        <w:t>-</w:t>
      </w:r>
      <w:r w:rsidRPr="007F0489">
        <w:rPr>
          <w:rFonts w:ascii="Arial" w:hAnsi="Arial" w:cs="Arial"/>
          <w:sz w:val="24"/>
          <w:szCs w:val="24"/>
          <w:lang w:val="en-US"/>
        </w:rPr>
        <w:t>1000 b</w:t>
      </w:r>
      <w:r>
        <w:rPr>
          <w:rFonts w:ascii="Arial" w:hAnsi="Arial" w:cs="Arial"/>
          <w:sz w:val="24"/>
          <w:szCs w:val="24"/>
          <w:lang w:val="en-US"/>
        </w:rPr>
        <w:t xml:space="preserve">p </w:t>
      </w:r>
      <w:r w:rsidRPr="007F0489">
        <w:rPr>
          <w:rFonts w:ascii="Arial" w:hAnsi="Arial" w:cs="Arial"/>
          <w:sz w:val="24"/>
          <w:szCs w:val="24"/>
          <w:lang w:val="en-US"/>
        </w:rPr>
        <w:t xml:space="preserve">were detected in all three segments and for both </w:t>
      </w:r>
      <w:r w:rsidRPr="00873B45">
        <w:rPr>
          <w:rFonts w:ascii="Arial" w:hAnsi="Arial" w:cs="Arial"/>
          <w:sz w:val="24"/>
          <w:szCs w:val="24"/>
          <w:lang w:val="en-US"/>
        </w:rPr>
        <w:t xml:space="preserve">RTs. </w:t>
      </w:r>
      <w:r>
        <w:rPr>
          <w:rFonts w:ascii="Arial" w:hAnsi="Arial" w:cs="Arial"/>
          <w:sz w:val="24"/>
          <w:szCs w:val="24"/>
          <w:lang w:val="en-US"/>
        </w:rPr>
        <w:t>Oscillations</w:t>
      </w:r>
      <w:r w:rsidRPr="00873B45">
        <w:rPr>
          <w:rFonts w:ascii="Arial" w:hAnsi="Arial" w:cs="Arial"/>
          <w:sz w:val="24"/>
          <w:szCs w:val="24"/>
          <w:lang w:val="en-US"/>
        </w:rPr>
        <w:t xml:space="preserve"> of </w:t>
      </w:r>
      <w:r>
        <w:rPr>
          <w:rFonts w:ascii="Arial" w:hAnsi="Arial" w:cs="Arial"/>
          <w:sz w:val="24"/>
          <w:szCs w:val="24"/>
          <w:lang w:val="en-US"/>
        </w:rPr>
        <w:t>DS</w:t>
      </w:r>
      <w:r w:rsidRPr="00873B45">
        <w:rPr>
          <w:rFonts w:ascii="Arial" w:hAnsi="Arial" w:cs="Arial"/>
          <w:sz w:val="24"/>
          <w:szCs w:val="24"/>
          <w:lang w:val="en-US"/>
        </w:rPr>
        <w:t xml:space="preserve"> </w:t>
      </w:r>
      <w:r>
        <w:rPr>
          <w:rFonts w:ascii="Arial" w:hAnsi="Arial" w:cs="Arial"/>
          <w:sz w:val="24"/>
          <w:szCs w:val="24"/>
          <w:lang w:val="en-US"/>
        </w:rPr>
        <w:t>were</w:t>
      </w:r>
      <w:r w:rsidRPr="00873B45">
        <w:rPr>
          <w:rFonts w:ascii="Arial" w:hAnsi="Arial" w:cs="Arial"/>
          <w:sz w:val="24"/>
          <w:szCs w:val="24"/>
          <w:lang w:val="en-US"/>
        </w:rPr>
        <w:t xml:space="preserve"> observed in both RT experiments </w:t>
      </w:r>
      <w:r>
        <w:rPr>
          <w:rFonts w:ascii="Arial" w:hAnsi="Arial" w:cs="Arial"/>
          <w:sz w:val="24"/>
          <w:szCs w:val="24"/>
          <w:lang w:val="en-US"/>
        </w:rPr>
        <w:t>as noticeable</w:t>
      </w:r>
      <w:r w:rsidRPr="00873B45">
        <w:rPr>
          <w:rFonts w:ascii="Arial" w:hAnsi="Arial" w:cs="Arial"/>
          <w:sz w:val="24"/>
          <w:szCs w:val="24"/>
          <w:lang w:val="en-US"/>
        </w:rPr>
        <w:t xml:space="preserve"> by changes in the brightness of the bands over cultivation time. For example, in the 22 h RT experiment, a group of sharp and bright bands was followed by faint bands </w:t>
      </w:r>
      <w:r>
        <w:rPr>
          <w:rFonts w:ascii="Arial" w:hAnsi="Arial" w:cs="Arial"/>
          <w:sz w:val="24"/>
          <w:szCs w:val="24"/>
          <w:lang w:val="en-US"/>
        </w:rPr>
        <w:t>at about</w:t>
      </w:r>
      <w:r w:rsidRPr="00873B45">
        <w:rPr>
          <w:rFonts w:ascii="Arial" w:hAnsi="Arial" w:cs="Arial"/>
          <w:sz w:val="24"/>
          <w:szCs w:val="24"/>
          <w:lang w:val="en-US"/>
        </w:rPr>
        <w:t xml:space="preserve"> 8 and 16 days p.i.</w:t>
      </w:r>
      <w:r>
        <w:rPr>
          <w:rFonts w:ascii="Arial" w:hAnsi="Arial" w:cs="Arial"/>
          <w:sz w:val="24"/>
          <w:szCs w:val="24"/>
          <w:lang w:val="en-US"/>
        </w:rPr>
        <w:t>,</w:t>
      </w:r>
      <w:r w:rsidRPr="00873B45">
        <w:rPr>
          <w:rFonts w:ascii="Arial" w:hAnsi="Arial" w:cs="Arial"/>
          <w:sz w:val="24"/>
          <w:szCs w:val="24"/>
          <w:lang w:val="en-US"/>
        </w:rPr>
        <w:t xml:space="preserve"> </w:t>
      </w:r>
      <w:r>
        <w:rPr>
          <w:rFonts w:ascii="Arial" w:hAnsi="Arial" w:cs="Arial"/>
          <w:sz w:val="24"/>
          <w:szCs w:val="24"/>
          <w:lang w:val="en-US"/>
        </w:rPr>
        <w:t>which</w:t>
      </w:r>
      <w:r w:rsidRPr="00873B45">
        <w:rPr>
          <w:rFonts w:ascii="Arial" w:hAnsi="Arial" w:cs="Arial"/>
          <w:sz w:val="24"/>
          <w:szCs w:val="24"/>
          <w:lang w:val="en-US"/>
        </w:rPr>
        <w:t xml:space="preserve"> coincide with the lowest TCID</w:t>
      </w:r>
      <w:r w:rsidRPr="00873B45">
        <w:rPr>
          <w:rFonts w:ascii="Arial" w:hAnsi="Arial" w:cs="Arial"/>
          <w:sz w:val="24"/>
          <w:szCs w:val="24"/>
          <w:vertAlign w:val="subscript"/>
          <w:lang w:val="en-US"/>
        </w:rPr>
        <w:t>50</w:t>
      </w:r>
      <w:r w:rsidRPr="00873B45">
        <w:rPr>
          <w:rFonts w:ascii="Arial" w:hAnsi="Arial" w:cs="Arial"/>
          <w:sz w:val="24"/>
          <w:szCs w:val="24"/>
          <w:lang w:val="en-US"/>
        </w:rPr>
        <w:t xml:space="preserve"> titers in both vessels. This periodicity </w:t>
      </w:r>
      <w:r>
        <w:rPr>
          <w:rFonts w:ascii="Arial" w:hAnsi="Arial" w:cs="Arial"/>
          <w:sz w:val="24"/>
          <w:szCs w:val="24"/>
          <w:lang w:val="en-US"/>
        </w:rPr>
        <w:t>can be</w:t>
      </w:r>
      <w:r w:rsidRPr="00873B45">
        <w:rPr>
          <w:rFonts w:ascii="Arial" w:hAnsi="Arial" w:cs="Arial"/>
          <w:sz w:val="24"/>
          <w:szCs w:val="24"/>
          <w:lang w:val="en-US"/>
        </w:rPr>
        <w:t xml:space="preserve"> observe</w:t>
      </w:r>
      <w:r>
        <w:rPr>
          <w:rFonts w:ascii="Arial" w:hAnsi="Arial" w:cs="Arial"/>
          <w:sz w:val="24"/>
          <w:szCs w:val="24"/>
          <w:lang w:val="en-US"/>
        </w:rPr>
        <w:t>d more easily</w:t>
      </w:r>
      <w:r w:rsidRPr="00873B45">
        <w:rPr>
          <w:rFonts w:ascii="Arial" w:hAnsi="Arial" w:cs="Arial"/>
          <w:sz w:val="24"/>
          <w:szCs w:val="24"/>
          <w:lang w:val="en-US"/>
        </w:rPr>
        <w:t xml:space="preserve"> in the 22 h RT culture due to the low HA and TCID</w:t>
      </w:r>
      <w:r w:rsidRPr="00873B45">
        <w:rPr>
          <w:rFonts w:ascii="Arial" w:hAnsi="Arial" w:cs="Arial"/>
          <w:sz w:val="24"/>
          <w:szCs w:val="24"/>
          <w:vertAlign w:val="subscript"/>
          <w:lang w:val="en-US"/>
        </w:rPr>
        <w:t>50</w:t>
      </w:r>
      <w:r w:rsidRPr="00873B45">
        <w:rPr>
          <w:rFonts w:ascii="Arial" w:hAnsi="Arial" w:cs="Arial"/>
          <w:sz w:val="24"/>
          <w:szCs w:val="24"/>
          <w:lang w:val="en-US"/>
        </w:rPr>
        <w:t xml:space="preserve"> titers obtained at the end of each oscillation as a consequence of a higher dilution rate. Interestingly, in all three segments</w:t>
      </w:r>
      <w:r w:rsidRPr="00CB7D80">
        <w:rPr>
          <w:rFonts w:ascii="Arial" w:hAnsi="Arial" w:cs="Arial"/>
          <w:sz w:val="24"/>
          <w:szCs w:val="24"/>
          <w:lang w:val="en-US"/>
        </w:rPr>
        <w:t>, a</w:t>
      </w:r>
      <w:r w:rsidRPr="009F0E9C">
        <w:rPr>
          <w:rFonts w:ascii="Arial" w:hAnsi="Arial" w:cs="Arial"/>
          <w:sz w:val="24"/>
          <w:szCs w:val="24"/>
          <w:lang w:val="en-US"/>
        </w:rPr>
        <w:t xml:space="preserve"> tendency towards generation of more </w:t>
      </w:r>
      <w:r>
        <w:rPr>
          <w:rFonts w:ascii="Arial" w:hAnsi="Arial" w:cs="Arial"/>
          <w:sz w:val="24"/>
          <w:szCs w:val="24"/>
          <w:lang w:val="en-US"/>
        </w:rPr>
        <w:t>DS</w:t>
      </w:r>
      <w:r w:rsidRPr="009F0E9C">
        <w:rPr>
          <w:rFonts w:ascii="Arial" w:hAnsi="Arial" w:cs="Arial"/>
          <w:sz w:val="24"/>
          <w:szCs w:val="24"/>
          <w:lang w:val="en-US"/>
        </w:rPr>
        <w:t xml:space="preserve"> in the range 500-1000 bp was observed in the 22 h RT culture compared to the 36 h RT. </w:t>
      </w:r>
      <w:r w:rsidRPr="007F0489">
        <w:rPr>
          <w:rFonts w:ascii="Arial" w:hAnsi="Arial" w:cs="Arial"/>
          <w:sz w:val="24"/>
          <w:szCs w:val="24"/>
          <w:lang w:val="en-US"/>
        </w:rPr>
        <w:t xml:space="preserve">In particular, segment 3 showed a different pattern among RTs in the range of 500-1000 bp between 12 and 18 days p.i. </w:t>
      </w:r>
      <w:r>
        <w:rPr>
          <w:rFonts w:ascii="Arial" w:hAnsi="Arial" w:cs="Arial"/>
          <w:sz w:val="24"/>
          <w:szCs w:val="24"/>
          <w:lang w:val="en-US"/>
        </w:rPr>
        <w:t>Here</w:t>
      </w:r>
      <w:r w:rsidRPr="00873B45">
        <w:rPr>
          <w:rFonts w:ascii="Arial" w:hAnsi="Arial" w:cs="Arial"/>
          <w:sz w:val="24"/>
          <w:szCs w:val="24"/>
          <w:lang w:val="en-US"/>
        </w:rPr>
        <w:t xml:space="preserve">, a double band of </w:t>
      </w:r>
      <w:r>
        <w:rPr>
          <w:rFonts w:ascii="Arial" w:hAnsi="Arial" w:cs="Arial"/>
          <w:sz w:val="24"/>
          <w:szCs w:val="24"/>
          <w:lang w:val="en-US"/>
        </w:rPr>
        <w:t>DS</w:t>
      </w:r>
      <w:r w:rsidRPr="00873B45">
        <w:rPr>
          <w:rFonts w:ascii="Arial" w:hAnsi="Arial" w:cs="Arial"/>
          <w:sz w:val="24"/>
          <w:szCs w:val="24"/>
          <w:lang w:val="en-US"/>
        </w:rPr>
        <w:t xml:space="preserve"> was observed in the 22 h RT</w:t>
      </w:r>
      <w:r>
        <w:rPr>
          <w:rFonts w:ascii="Arial" w:hAnsi="Arial" w:cs="Arial"/>
          <w:sz w:val="24"/>
          <w:szCs w:val="24"/>
          <w:lang w:val="en-US"/>
        </w:rPr>
        <w:t>,</w:t>
      </w:r>
      <w:r w:rsidRPr="00873B45">
        <w:rPr>
          <w:rFonts w:ascii="Arial" w:hAnsi="Arial" w:cs="Arial"/>
          <w:sz w:val="24"/>
          <w:szCs w:val="24"/>
          <w:lang w:val="en-US"/>
        </w:rPr>
        <w:t xml:space="preserve"> but not in the 36 h RT experiment. Finally, this result suggests that different RTs in long-term continuous cultures </w:t>
      </w:r>
      <w:r w:rsidRPr="00CB7D80">
        <w:rPr>
          <w:rFonts w:ascii="Arial" w:hAnsi="Arial" w:cs="Arial"/>
          <w:sz w:val="24"/>
          <w:szCs w:val="24"/>
          <w:lang w:val="en-US"/>
        </w:rPr>
        <w:t xml:space="preserve">may lead to </w:t>
      </w:r>
      <w:r w:rsidRPr="009F0E9C">
        <w:rPr>
          <w:rFonts w:ascii="Arial" w:hAnsi="Arial" w:cs="Arial"/>
          <w:sz w:val="24"/>
          <w:szCs w:val="24"/>
          <w:lang w:val="en-US"/>
        </w:rPr>
        <w:lastRenderedPageBreak/>
        <w:t>the gener</w:t>
      </w:r>
      <w:r w:rsidRPr="007F0489">
        <w:rPr>
          <w:rFonts w:ascii="Arial" w:hAnsi="Arial" w:cs="Arial"/>
          <w:sz w:val="24"/>
          <w:szCs w:val="24"/>
          <w:lang w:val="en-US"/>
        </w:rPr>
        <w:t xml:space="preserve">ation of different DIP subpopulations and </w:t>
      </w:r>
      <w:r>
        <w:rPr>
          <w:rFonts w:ascii="Arial" w:hAnsi="Arial" w:cs="Arial"/>
          <w:sz w:val="24"/>
          <w:szCs w:val="24"/>
          <w:lang w:val="en-US"/>
        </w:rPr>
        <w:t>that continuous cultivations performed over a wider range of RT could be</w:t>
      </w:r>
      <w:r w:rsidRPr="00873B45">
        <w:rPr>
          <w:rFonts w:ascii="Arial" w:hAnsi="Arial" w:cs="Arial"/>
          <w:sz w:val="24"/>
          <w:szCs w:val="24"/>
          <w:lang w:val="en-US"/>
        </w:rPr>
        <w:t xml:space="preserve"> useful for virus evolution studies</w:t>
      </w:r>
      <w:r>
        <w:rPr>
          <w:rFonts w:ascii="Arial" w:hAnsi="Arial" w:cs="Arial"/>
          <w:sz w:val="24"/>
          <w:szCs w:val="24"/>
          <w:lang w:val="en-US"/>
        </w:rPr>
        <w:t xml:space="preserve"> </w:t>
      </w:r>
      <w:r>
        <w:rPr>
          <w:rFonts w:ascii="Arial" w:hAnsi="Arial" w:cs="Arial"/>
          <w:sz w:val="24"/>
          <w:szCs w:val="24"/>
          <w:lang w:val="en-US"/>
        </w:rPr>
        <w:fldChar w:fldCharType="begin" w:fldLock="1"/>
      </w:r>
      <w:r>
        <w:rPr>
          <w:rFonts w:ascii="Arial" w:hAnsi="Arial" w:cs="Arial"/>
          <w:sz w:val="24"/>
          <w:szCs w:val="24"/>
          <w:lang w:val="en-US"/>
        </w:rPr>
        <w:instrText>ADDIN CSL_CITATION {"citationItems":[{"id":"ITEM-1","itemData":{"DOI":"10.1007/s00249-018-1282-6","ISSN":"1432-1017","abstract":"Quasispecies theory has been instrumental in the understanding of RNA virus population dynamics because it considered for the first time mutation as an integral part of the replication process. The key influences of quasispecies theory on experimental virology have been: (1) to disclose the mutant spectrum nature of viral populations and to evaluate its consequences; (2) to unveil collective properties of genome ensembles that can render a mutant spectrum a unit of selection; and (3) to identify new vulnerability points of pathogenic RNA viruses on three fronts: the need to apply multiple selective constraints (in the form of drug combinations) to minimize selection of treatment-escape variants, to translate the error threshold concept into antiviral designs, and to construct attenuated vaccine viruses through alterations of viral polymerase copying fidelity or through displacements of viral genomes towards unfavorable regions of sequence space. These three major influences on the understanding of viral pathogens preceded extensions of quasispecies to non-viral systems such as bacterial and tumor cell collectivities and prions. These developments are summarized here.","author":[{"dropping-particle":"","family":"Domingo","given":"Esteban","non-dropping-particle":"","parse-names":false,"suffix":""},{"dropping-particle":"","family":"Perales","given":"Celia","non-dropping-particle":"","parse-names":false,"suffix":""}],"container-title":"European Biophysics Journal","id":"ITEM-1","issue":"4","issued":{"date-parts":[["2018"]]},"page":"443-457","title":"Quasispecies and virus","type":"article-journal","volume":"47"},"uris":["http://www.mendeley.com/documents/?uuid=22f0e6ab-6e83-42c1-aa95-5653e7844dfd"]},{"id":"ITEM-2","itemData":{"DOI":"https://doi.org/10.1016/j.virol.2016.03.017","ISSN":"0042-6822","abstract":"Mutant spectrum dynamics (changes in the related mutants that compose viral populations) has a decisive impact on virus behavior. The several platforms of next generation sequencing (NGS) to study viral quasispecies offer a magnifying glass to study viral quasispecies complexity. Several parameters are available to quantify the complexity of mutant spectra, but they have limitations. Here we critically evaluate the information provided by several population diversity indices, and we propose the introduction of some new ones used in ecology. In particular we make a distinction between incidence, abundance and function measures of viral quasispecies composition. We suggest a multidimensional approach (complementary information contributed by adequately chosen indices), propose some guidelines, and illustrate the use of indices with a simple example. We apply the indices to three clinical samples of hepatitis C virus that display different population heterogeneity. Areas of virus biology in which population complexity plays a role are discussed.","author":[{"dropping-particle":"","family":"Gregori","given":"Josep","non-dropping-particle":"","parse-names":false,"suffix":""},{"dropping-particle":"","family":"Perales","given":"Celia","non-dropping-particle":"","parse-names":false,"suffix":""},{"dropping-particle":"","family":"Rodriguez-Frias","given":"Francisco","non-dropping-particle":"","parse-names":false,"suffix":""},{"dropping-particle":"","family":"Esteban","given":"Juan I","non-dropping-particle":"","parse-names":false,"suffix":""},{"dropping-particle":"","family":"Quer","given":"Josep","non-dropping-particle":"","parse-names":false,"suffix":""},{"dropping-particle":"","family":"Domingo","given":"Esteban","non-dropping-particle":"","parse-names":false,"suffix":""}],"container-title":"Virology","id":"ITEM-2","issued":{"date-parts":[["2016"]]},"page":"227-237","title":"Viral quasispecies complexity measures","type":"article-journal","volume":"493"},"uris":["http://www.mendeley.com/documents/?uuid=ed19c7e3-0687-4cc7-8eed-9624eb039518"]}],"mendeley":{"formattedCitation":"(Domingo and Perales, 2018; Gregori et al., 2016)","plainTextFormattedCitation":"(Domingo and Perales, 2018; Gregori et al., 2016)","previouslyFormattedCitation":"(Domingo and Perales, 2018; Gregori et al., 2016)"},"properties":{"noteIndex":0},"schema":"https://github.com/citation-style-language/schema/raw/master/csl-citation.json"}</w:instrText>
      </w:r>
      <w:r>
        <w:rPr>
          <w:rFonts w:ascii="Arial" w:hAnsi="Arial" w:cs="Arial"/>
          <w:sz w:val="24"/>
          <w:szCs w:val="24"/>
          <w:lang w:val="en-US"/>
        </w:rPr>
        <w:fldChar w:fldCharType="separate"/>
      </w:r>
      <w:r w:rsidRPr="00C8660F">
        <w:rPr>
          <w:rFonts w:ascii="Arial" w:hAnsi="Arial" w:cs="Arial"/>
          <w:noProof/>
          <w:sz w:val="24"/>
          <w:szCs w:val="24"/>
          <w:lang w:val="en-US"/>
        </w:rPr>
        <w:t>(Domingo and Perales, 2018; Gregori et al., 2016)</w:t>
      </w:r>
      <w:r>
        <w:rPr>
          <w:rFonts w:ascii="Arial" w:hAnsi="Arial" w:cs="Arial"/>
          <w:sz w:val="24"/>
          <w:szCs w:val="24"/>
          <w:lang w:val="en-US"/>
        </w:rPr>
        <w:fldChar w:fldCharType="end"/>
      </w:r>
      <w:r w:rsidRPr="00C8660F">
        <w:rPr>
          <w:rFonts w:ascii="Arial" w:hAnsi="Arial" w:cs="Arial"/>
          <w:sz w:val="24"/>
          <w:szCs w:val="24"/>
          <w:lang w:val="en-US"/>
        </w:rPr>
        <w:t>.</w:t>
      </w:r>
    </w:p>
    <w:p w14:paraId="221C7F38" w14:textId="77777777" w:rsidR="00580D99" w:rsidRDefault="00580D99" w:rsidP="00580D99">
      <w:pPr>
        <w:rPr>
          <w:rFonts w:ascii="Arial" w:hAnsi="Arial"/>
          <w:sz w:val="24"/>
          <w:szCs w:val="24"/>
          <w:lang w:val="en-US"/>
        </w:rPr>
        <w:sectPr w:rsidR="00580D99" w:rsidSect="00AE0E90">
          <w:footerReference w:type="default" r:id="rId10"/>
          <w:pgSz w:w="11906" w:h="16838"/>
          <w:pgMar w:top="1417" w:right="1417" w:bottom="1134" w:left="1417" w:header="708" w:footer="708" w:gutter="0"/>
          <w:cols w:space="708"/>
          <w:docGrid w:linePitch="360"/>
        </w:sectPr>
      </w:pPr>
    </w:p>
    <w:p w14:paraId="3A4941B7" w14:textId="63CD2862" w:rsidR="00A37F6D" w:rsidRDefault="00E878AE" w:rsidP="00580D99">
      <w:pPr>
        <w:rPr>
          <w:rFonts w:ascii="Arial" w:hAnsi="Arial"/>
          <w:sz w:val="24"/>
          <w:szCs w:val="24"/>
          <w:lang w:val="en-US"/>
        </w:rPr>
      </w:pPr>
      <w:r>
        <w:rPr>
          <w:rFonts w:ascii="Arial" w:hAnsi="Arial"/>
          <w:noProof/>
          <w:sz w:val="24"/>
          <w:szCs w:val="24"/>
          <w:lang w:val="en-US"/>
        </w:rPr>
        <w:drawing>
          <wp:inline distT="0" distB="0" distL="0" distR="0" wp14:anchorId="383BC9CC" wp14:editId="510F1B56">
            <wp:extent cx="9280073" cy="349811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00047" cy="3505641"/>
                    </a:xfrm>
                    <a:prstGeom prst="rect">
                      <a:avLst/>
                    </a:prstGeom>
                    <a:noFill/>
                  </pic:spPr>
                </pic:pic>
              </a:graphicData>
            </a:graphic>
          </wp:inline>
        </w:drawing>
      </w:r>
    </w:p>
    <w:p w14:paraId="276AD011" w14:textId="534773D7" w:rsidR="00580D99" w:rsidRPr="00580D99" w:rsidRDefault="00580D99" w:rsidP="00580D99">
      <w:pPr>
        <w:pStyle w:val="EquationsNumberingPublication"/>
        <w:jc w:val="both"/>
        <w:rPr>
          <w:bCs/>
          <w:i/>
          <w:lang w:val="en-US"/>
        </w:rPr>
        <w:sectPr w:rsidR="00580D99" w:rsidRPr="00580D99" w:rsidSect="00AE0E90">
          <w:pgSz w:w="16838" w:h="11906" w:orient="landscape"/>
          <w:pgMar w:top="1417" w:right="1417" w:bottom="1417" w:left="1134" w:header="708" w:footer="708" w:gutter="0"/>
          <w:cols w:space="708"/>
          <w:docGrid w:linePitch="360"/>
        </w:sectPr>
      </w:pPr>
      <w:r>
        <w:rPr>
          <w:rFonts w:ascii="Arial" w:hAnsi="Arial" w:cs="Arial"/>
          <w:b/>
          <w:lang w:val="en-US"/>
        </w:rPr>
        <w:t xml:space="preserve">S4 </w:t>
      </w:r>
      <w:r w:rsidRPr="00873B45">
        <w:rPr>
          <w:rFonts w:ascii="Arial" w:hAnsi="Arial" w:cs="Arial"/>
          <w:b/>
          <w:lang w:val="en-US"/>
        </w:rPr>
        <w:t xml:space="preserve">Figure. Segment-specific </w:t>
      </w:r>
      <w:r>
        <w:rPr>
          <w:rFonts w:ascii="Arial" w:hAnsi="Arial" w:cs="Arial"/>
          <w:b/>
          <w:lang w:val="en-US"/>
        </w:rPr>
        <w:t>reverse transcription</w:t>
      </w:r>
      <w:r w:rsidRPr="00873B45">
        <w:rPr>
          <w:rFonts w:ascii="Arial" w:hAnsi="Arial" w:cs="Arial"/>
          <w:b/>
          <w:lang w:val="en-US"/>
        </w:rPr>
        <w:t>-PCR for detection of influenza A defective genomes propagated in</w:t>
      </w:r>
      <w:r>
        <w:rPr>
          <w:rFonts w:ascii="Arial" w:hAnsi="Arial" w:cs="Arial"/>
          <w:b/>
          <w:lang w:val="en-US"/>
        </w:rPr>
        <w:t xml:space="preserve"> a parallel continuous bioreactor system at two residence times (RT)</w:t>
      </w:r>
      <w:r w:rsidRPr="00873B45">
        <w:rPr>
          <w:rFonts w:ascii="Arial" w:hAnsi="Arial" w:cs="Arial"/>
          <w:b/>
          <w:lang w:val="en-US"/>
        </w:rPr>
        <w:t>.</w:t>
      </w:r>
      <w:r>
        <w:rPr>
          <w:rFonts w:ascii="Arial" w:hAnsi="Arial" w:cs="Arial"/>
          <w:b/>
          <w:lang w:val="en-US"/>
        </w:rPr>
        <w:t xml:space="preserve"> </w:t>
      </w:r>
      <w:r w:rsidRPr="00873B45">
        <w:rPr>
          <w:rFonts w:ascii="Arial" w:hAnsi="Arial" w:cs="Arial"/>
          <w:lang w:val="en-US"/>
        </w:rPr>
        <w:t>Full</w:t>
      </w:r>
      <w:r>
        <w:rPr>
          <w:rFonts w:ascii="Arial" w:hAnsi="Arial" w:cs="Arial"/>
          <w:lang w:val="en-US"/>
        </w:rPr>
        <w:t>-</w:t>
      </w:r>
      <w:r w:rsidRPr="00873B45">
        <w:rPr>
          <w:rFonts w:ascii="Arial" w:hAnsi="Arial" w:cs="Arial"/>
          <w:lang w:val="en-US"/>
        </w:rPr>
        <w:t xml:space="preserve">length (FL) </w:t>
      </w:r>
      <w:r>
        <w:rPr>
          <w:rFonts w:ascii="Arial" w:hAnsi="Arial" w:cs="Arial"/>
          <w:lang w:val="en-US"/>
        </w:rPr>
        <w:t xml:space="preserve">of </w:t>
      </w:r>
      <w:r w:rsidR="00A37F6D">
        <w:rPr>
          <w:rFonts w:ascii="Arial" w:hAnsi="Arial" w:cs="Arial"/>
          <w:lang w:val="en-US"/>
        </w:rPr>
        <w:t xml:space="preserve">about </w:t>
      </w:r>
      <w:r>
        <w:rPr>
          <w:rFonts w:ascii="Arial" w:hAnsi="Arial" w:cs="Arial"/>
          <w:lang w:val="en-US"/>
        </w:rPr>
        <w:t xml:space="preserve">2000 </w:t>
      </w:r>
      <w:r w:rsidR="00A37F6D">
        <w:rPr>
          <w:rFonts w:ascii="Arial" w:hAnsi="Arial" w:cs="Arial"/>
          <w:lang w:val="en-US"/>
        </w:rPr>
        <w:t>base pairs (</w:t>
      </w:r>
      <w:r>
        <w:rPr>
          <w:rFonts w:ascii="Arial" w:hAnsi="Arial" w:cs="Arial"/>
          <w:lang w:val="en-US"/>
        </w:rPr>
        <w:t>bp</w:t>
      </w:r>
      <w:r w:rsidR="00A37F6D">
        <w:rPr>
          <w:rFonts w:ascii="Arial" w:hAnsi="Arial" w:cs="Arial"/>
          <w:lang w:val="en-US"/>
        </w:rPr>
        <w:t>)</w:t>
      </w:r>
      <w:r>
        <w:rPr>
          <w:rFonts w:ascii="Arial" w:hAnsi="Arial" w:cs="Arial"/>
          <w:lang w:val="en-US"/>
        </w:rPr>
        <w:t xml:space="preserve"> </w:t>
      </w:r>
      <w:r w:rsidRPr="00873B45">
        <w:rPr>
          <w:rFonts w:ascii="Arial" w:hAnsi="Arial" w:cs="Arial"/>
          <w:lang w:val="en-US"/>
        </w:rPr>
        <w:t>and defective segments (DS)</w:t>
      </w:r>
      <w:r>
        <w:rPr>
          <w:rFonts w:ascii="Arial" w:hAnsi="Arial" w:cs="Arial"/>
          <w:lang w:val="en-US"/>
        </w:rPr>
        <w:t xml:space="preserve"> of 500-700 bp were amplified </w:t>
      </w:r>
      <w:r>
        <w:rPr>
          <w:rFonts w:ascii="Arial" w:hAnsi="Arial" w:cs="Arial"/>
          <w:lang w:val="en-US"/>
        </w:rPr>
        <w:fldChar w:fldCharType="begin" w:fldLock="1"/>
      </w:r>
      <w:r>
        <w:rPr>
          <w:rFonts w:ascii="Arial" w:hAnsi="Arial" w:cs="Arial"/>
          <w:lang w:val="en-US"/>
        </w:rPr>
        <w:instrText>ADDIN CSL_CITATION {"citationItems":[{"id":"ITEM-1","itemData":{"DOI":"10.1007/s00253-014-5933-y","ISSN":"14320614","abstract":"During the replication of influenza viruses, defective interfering particles (DIPs) can be generated. These are noninfectious deletion mutants that require coinfection with a wild-type virus but interfere with its helper virus replication. Consequently, coinfected cells mainly produce DIPs. Little is known about how such noninfectious virus particles affect the virus yield of cell culture-based influenza vaccine production. We compared infections of Madin-Darby canine kidney cells with two seed virus preparations of the influenza virus strain A/Puerto Rico/8/34 that contain different amounts of DIPs. A combination of conventional RT-PCR, RT-qPCR, and flow cytometry revealed that DI genomes indeed strongly accumulate in coinfected cells and impede the viral RNA synthesis. Additionally, cells infected at the higher DIP concentration showed a stronger antiviral response characterized by increased interferon-beta expression and apoptosis induction. Furthermore, in the presence of DIPs, a significant fraction of cells did not show any productive accumulation of viral proteins at all. Together, these effects of DIPs significantly reduce the virus yield. Therefore, the accumulation of DIPs should be avoided during influenza vaccine production which can be achieved by quality controls of working seed viruses based on conventional RT-PCR. The strategy for the depletion of DIPs presented here can help to make cell culture-based vaccine production more reliable and robust.","author":[{"dropping-particle":"","family":"Frensing","given":"Timo","non-dropping-particle":"","parse-names":false,"suffix":""},{"dropping-particle":"","family":"Pflugmacher","given":"Antje","non-dropping-particle":"","parse-names":false,"suffix":""},{"dropping-particle":"","family":"Bachmann","given":"Mandy","non-dropping-particle":"","parse-names":false,"suffix":""},{"dropping-particle":"","family":"Peschel","given":"Britta","non-dropping-particle":"","parse-names":false,"suffix":""},{"dropping-particle":"","family":"Reichl","given":"Udo","non-dropping-particle":"","parse-names":false,"suffix":""}],"container-title":"Applied Microbiology and Biotechnology","id":"ITEM-1","issued":{"date-parts":[["2014"]]},"title":"Impact of defective interfering particles on virus replication and antiviral host response in cell culture-based influenza vaccine production","type":"article-journal"},"uris":["http://www.mendeley.com/documents/?uuid=c9624666-8b2a-42b6-ab5e-b132e2845500"]}],"mendeley":{"formattedCitation":"(Frensing et al., 2014)","plainTextFormattedCitation":"(Frensing et al., 2014)"},"properties":{"noteIndex":0},"schema":"https://github.com/citation-style-language/schema/raw/master/csl-citation.json"}</w:instrText>
      </w:r>
      <w:r>
        <w:rPr>
          <w:rFonts w:ascii="Arial" w:hAnsi="Arial" w:cs="Arial"/>
          <w:lang w:val="en-US"/>
        </w:rPr>
        <w:fldChar w:fldCharType="separate"/>
      </w:r>
      <w:r w:rsidRPr="00C8660F">
        <w:rPr>
          <w:rFonts w:ascii="Arial" w:hAnsi="Arial" w:cs="Arial"/>
          <w:noProof/>
          <w:lang w:val="en-US"/>
        </w:rPr>
        <w:t>(Frensing et al., 2014)</w:t>
      </w:r>
      <w:r>
        <w:rPr>
          <w:rFonts w:ascii="Arial" w:hAnsi="Arial" w:cs="Arial"/>
          <w:lang w:val="en-US"/>
        </w:rPr>
        <w:fldChar w:fldCharType="end"/>
      </w:r>
      <w:r w:rsidR="00A37F6D">
        <w:rPr>
          <w:rFonts w:ascii="Arial" w:hAnsi="Arial" w:cs="Arial"/>
          <w:lang w:val="en-US"/>
        </w:rPr>
        <w:t xml:space="preserve"> and identified by marker bands (M) at 2000, 1000 and 500 bp</w:t>
      </w:r>
      <w:r>
        <w:rPr>
          <w:rFonts w:ascii="Arial" w:hAnsi="Arial" w:cs="Arial"/>
          <w:lang w:val="en-US"/>
        </w:rPr>
        <w:t>. Left: reverse transcription-PCR of segments 1, 2 and 3 of influenza A virus in virus bioreactor 1 with 22 h RT. Right: reverse transcription-PCR of segments 1, 2 and 3 of influenza A virus in virus bioreactor 2 with 36 h RT. The control sample using influenza A/PR/8/34 is included in the virus bioreactor 1 gel</w:t>
      </w:r>
    </w:p>
    <w:p w14:paraId="47BCD3B3" w14:textId="77777777" w:rsidR="00580D99" w:rsidRPr="00580D99" w:rsidRDefault="00580D99" w:rsidP="00580D99">
      <w:pPr>
        <w:rPr>
          <w:lang w:val="en-US"/>
        </w:rPr>
      </w:pPr>
    </w:p>
    <w:sectPr w:rsidR="00580D99" w:rsidRPr="00580D99" w:rsidSect="00AE0E9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F32D58" w14:textId="77777777" w:rsidR="00E630AF" w:rsidRDefault="00E630AF">
      <w:pPr>
        <w:spacing w:after="0" w:line="240" w:lineRule="auto"/>
      </w:pPr>
      <w:r>
        <w:separator/>
      </w:r>
    </w:p>
  </w:endnote>
  <w:endnote w:type="continuationSeparator" w:id="0">
    <w:p w14:paraId="5C71CD1F" w14:textId="77777777" w:rsidR="00E630AF" w:rsidRDefault="00E63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altName w:val="Times New Roman PS"/>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1658099"/>
      <w:docPartObj>
        <w:docPartGallery w:val="Page Numbers (Bottom of Page)"/>
        <w:docPartUnique/>
      </w:docPartObj>
    </w:sdtPr>
    <w:sdtEndPr/>
    <w:sdtContent>
      <w:p w14:paraId="64E7FDF7" w14:textId="77777777" w:rsidR="00116AF0" w:rsidRDefault="00A51327">
        <w:pPr>
          <w:pStyle w:val="Footer"/>
          <w:jc w:val="center"/>
        </w:pPr>
        <w:r>
          <w:fldChar w:fldCharType="begin"/>
        </w:r>
        <w:r>
          <w:instrText>PAGE   \* MERGEFORMAT</w:instrText>
        </w:r>
        <w:r>
          <w:fldChar w:fldCharType="separate"/>
        </w:r>
        <w:r w:rsidR="00AE0E90">
          <w:rPr>
            <w:noProof/>
          </w:rPr>
          <w:t>1</w:t>
        </w:r>
        <w:r>
          <w:fldChar w:fldCharType="end"/>
        </w:r>
      </w:p>
    </w:sdtContent>
  </w:sdt>
  <w:p w14:paraId="3306D39C" w14:textId="77777777" w:rsidR="00116AF0" w:rsidRDefault="00AE0E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0C4495" w14:textId="77777777" w:rsidR="00E630AF" w:rsidRDefault="00E630AF">
      <w:pPr>
        <w:spacing w:after="0" w:line="240" w:lineRule="auto"/>
      </w:pPr>
      <w:r>
        <w:separator/>
      </w:r>
    </w:p>
  </w:footnote>
  <w:footnote w:type="continuationSeparator" w:id="0">
    <w:p w14:paraId="1A2625B4" w14:textId="77777777" w:rsidR="00E630AF" w:rsidRDefault="00E630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D99"/>
    <w:rsid w:val="004121AD"/>
    <w:rsid w:val="004F2591"/>
    <w:rsid w:val="00580D99"/>
    <w:rsid w:val="00601727"/>
    <w:rsid w:val="00A37F6D"/>
    <w:rsid w:val="00A51327"/>
    <w:rsid w:val="00AE0E90"/>
    <w:rsid w:val="00BD3BAC"/>
    <w:rsid w:val="00CC3EDD"/>
    <w:rsid w:val="00E630AF"/>
    <w:rsid w:val="00E878A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38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D99"/>
    <w:pPr>
      <w:spacing w:after="200" w:line="276" w:lineRule="auto"/>
    </w:pPr>
    <w:rPr>
      <w:lang w:val="de-DE"/>
    </w:rPr>
  </w:style>
  <w:style w:type="paragraph" w:styleId="Heading1">
    <w:name w:val="heading 1"/>
    <w:basedOn w:val="Normal"/>
    <w:next w:val="Normal"/>
    <w:link w:val="Heading1Char"/>
    <w:uiPriority w:val="9"/>
    <w:qFormat/>
    <w:rsid w:val="00580D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80D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quationsNumberingPublication">
    <w:name w:val="Equations Numbering Publication"/>
    <w:basedOn w:val="Normal"/>
    <w:link w:val="EquationsNumberingPublicationZchn"/>
    <w:qFormat/>
    <w:rsid w:val="00580D99"/>
    <w:pPr>
      <w:spacing w:after="0" w:line="480" w:lineRule="auto"/>
      <w:jc w:val="right"/>
    </w:pPr>
    <w:rPr>
      <w:rFonts w:ascii="Calibri" w:eastAsia="Calibri" w:hAnsi="Calibri" w:cs="Times New Roman"/>
      <w:sz w:val="24"/>
      <w:szCs w:val="24"/>
      <w:lang w:eastAsia="de-DE"/>
    </w:rPr>
  </w:style>
  <w:style w:type="character" w:customStyle="1" w:styleId="EquationsNumberingPublicationZchn">
    <w:name w:val="Equations Numbering Publication Zchn"/>
    <w:link w:val="EquationsNumberingPublication"/>
    <w:rsid w:val="00580D99"/>
    <w:rPr>
      <w:rFonts w:ascii="Calibri" w:eastAsia="Calibri" w:hAnsi="Calibri" w:cs="Times New Roman"/>
      <w:sz w:val="24"/>
      <w:szCs w:val="24"/>
      <w:lang w:val="de-DE" w:eastAsia="de-DE"/>
    </w:rPr>
  </w:style>
  <w:style w:type="paragraph" w:customStyle="1" w:styleId="PaperArial">
    <w:name w:val="Paper Arial"/>
    <w:basedOn w:val="Heading1"/>
    <w:link w:val="PaperArialZchn"/>
    <w:qFormat/>
    <w:rsid w:val="00580D99"/>
    <w:pPr>
      <w:keepLines w:val="0"/>
      <w:spacing w:after="240" w:line="480" w:lineRule="auto"/>
    </w:pPr>
    <w:rPr>
      <w:rFonts w:ascii="Arial" w:eastAsia="Times New Roman" w:hAnsi="Arial" w:cs="Arial"/>
      <w:b/>
      <w:bCs/>
      <w:kern w:val="32"/>
      <w:sz w:val="24"/>
      <w:szCs w:val="24"/>
      <w:lang w:val="en-US"/>
    </w:rPr>
  </w:style>
  <w:style w:type="paragraph" w:customStyle="1" w:styleId="PaperArial2">
    <w:name w:val="Paper Arial 2"/>
    <w:basedOn w:val="Heading2"/>
    <w:link w:val="PaperArial2Zchn"/>
    <w:qFormat/>
    <w:rsid w:val="00580D99"/>
    <w:pPr>
      <w:keepLines w:val="0"/>
      <w:spacing w:before="240" w:after="240" w:line="480" w:lineRule="auto"/>
    </w:pPr>
    <w:rPr>
      <w:rFonts w:ascii="Arial" w:eastAsia="Times New Roman" w:hAnsi="Arial" w:cs="Arial"/>
      <w:bCs/>
      <w:i/>
      <w:sz w:val="24"/>
      <w:szCs w:val="24"/>
      <w:lang w:val="en-US"/>
    </w:rPr>
  </w:style>
  <w:style w:type="character" w:customStyle="1" w:styleId="PaperArialZchn">
    <w:name w:val="Paper Arial Zchn"/>
    <w:basedOn w:val="Heading1Char"/>
    <w:link w:val="PaperArial"/>
    <w:rsid w:val="00580D99"/>
    <w:rPr>
      <w:rFonts w:ascii="Arial" w:eastAsia="Times New Roman" w:hAnsi="Arial" w:cs="Arial"/>
      <w:b/>
      <w:bCs/>
      <w:color w:val="2F5496" w:themeColor="accent1" w:themeShade="BF"/>
      <w:kern w:val="32"/>
      <w:sz w:val="24"/>
      <w:szCs w:val="24"/>
      <w:lang w:val="en-US"/>
    </w:rPr>
  </w:style>
  <w:style w:type="character" w:customStyle="1" w:styleId="PaperArial2Zchn">
    <w:name w:val="Paper Arial 2 Zchn"/>
    <w:basedOn w:val="Heading2Char"/>
    <w:link w:val="PaperArial2"/>
    <w:rsid w:val="00580D99"/>
    <w:rPr>
      <w:rFonts w:ascii="Arial" w:eastAsia="Times New Roman" w:hAnsi="Arial" w:cs="Arial"/>
      <w:bCs/>
      <w:i/>
      <w:color w:val="2F5496" w:themeColor="accent1" w:themeShade="BF"/>
      <w:sz w:val="24"/>
      <w:szCs w:val="24"/>
      <w:lang w:val="en-US"/>
    </w:rPr>
  </w:style>
  <w:style w:type="paragraph" w:styleId="Footer">
    <w:name w:val="footer"/>
    <w:basedOn w:val="Normal"/>
    <w:link w:val="FooterChar"/>
    <w:uiPriority w:val="99"/>
    <w:unhideWhenUsed/>
    <w:rsid w:val="00580D99"/>
    <w:pPr>
      <w:tabs>
        <w:tab w:val="center" w:pos="4536"/>
        <w:tab w:val="right" w:pos="9072"/>
      </w:tabs>
      <w:spacing w:after="0" w:line="240" w:lineRule="auto"/>
    </w:pPr>
  </w:style>
  <w:style w:type="character" w:customStyle="1" w:styleId="FooterChar">
    <w:name w:val="Footer Char"/>
    <w:basedOn w:val="DefaultParagraphFont"/>
    <w:link w:val="Footer"/>
    <w:uiPriority w:val="99"/>
    <w:rsid w:val="00580D99"/>
    <w:rPr>
      <w:lang w:val="de-DE"/>
    </w:rPr>
  </w:style>
  <w:style w:type="character" w:customStyle="1" w:styleId="Heading1Char">
    <w:name w:val="Heading 1 Char"/>
    <w:basedOn w:val="DefaultParagraphFont"/>
    <w:link w:val="Heading1"/>
    <w:uiPriority w:val="9"/>
    <w:rsid w:val="00580D99"/>
    <w:rPr>
      <w:rFonts w:asciiTheme="majorHAnsi" w:eastAsiaTheme="majorEastAsia" w:hAnsiTheme="majorHAnsi" w:cstheme="majorBidi"/>
      <w:color w:val="2F5496" w:themeColor="accent1" w:themeShade="BF"/>
      <w:sz w:val="32"/>
      <w:szCs w:val="32"/>
      <w:lang w:val="de-DE"/>
    </w:rPr>
  </w:style>
  <w:style w:type="character" w:customStyle="1" w:styleId="Heading2Char">
    <w:name w:val="Heading 2 Char"/>
    <w:basedOn w:val="DefaultParagraphFont"/>
    <w:link w:val="Heading2"/>
    <w:uiPriority w:val="9"/>
    <w:semiHidden/>
    <w:rsid w:val="00580D99"/>
    <w:rPr>
      <w:rFonts w:asciiTheme="majorHAnsi" w:eastAsiaTheme="majorEastAsia" w:hAnsiTheme="majorHAnsi" w:cstheme="majorBidi"/>
      <w:color w:val="2F5496" w:themeColor="accent1" w:themeShade="BF"/>
      <w:sz w:val="26"/>
      <w:szCs w:val="26"/>
      <w:lang w:val="de-DE"/>
    </w:rPr>
  </w:style>
  <w:style w:type="character" w:styleId="LineNumber">
    <w:name w:val="line number"/>
    <w:basedOn w:val="DefaultParagraphFont"/>
    <w:uiPriority w:val="99"/>
    <w:semiHidden/>
    <w:unhideWhenUsed/>
    <w:rsid w:val="00580D99"/>
  </w:style>
  <w:style w:type="paragraph" w:styleId="BalloonText">
    <w:name w:val="Balloon Text"/>
    <w:basedOn w:val="Normal"/>
    <w:link w:val="BalloonTextChar"/>
    <w:uiPriority w:val="99"/>
    <w:semiHidden/>
    <w:unhideWhenUsed/>
    <w:rsid w:val="00AE0E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E90"/>
    <w:rPr>
      <w:rFonts w:ascii="Tahoma" w:hAnsi="Tahoma" w:cs="Tahoma"/>
      <w:sz w:val="16"/>
      <w:szCs w:val="16"/>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D99"/>
    <w:pPr>
      <w:spacing w:after="200" w:line="276" w:lineRule="auto"/>
    </w:pPr>
    <w:rPr>
      <w:lang w:val="de-DE"/>
    </w:rPr>
  </w:style>
  <w:style w:type="paragraph" w:styleId="Heading1">
    <w:name w:val="heading 1"/>
    <w:basedOn w:val="Normal"/>
    <w:next w:val="Normal"/>
    <w:link w:val="Heading1Char"/>
    <w:uiPriority w:val="9"/>
    <w:qFormat/>
    <w:rsid w:val="00580D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80D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quationsNumberingPublication">
    <w:name w:val="Equations Numbering Publication"/>
    <w:basedOn w:val="Normal"/>
    <w:link w:val="EquationsNumberingPublicationZchn"/>
    <w:qFormat/>
    <w:rsid w:val="00580D99"/>
    <w:pPr>
      <w:spacing w:after="0" w:line="480" w:lineRule="auto"/>
      <w:jc w:val="right"/>
    </w:pPr>
    <w:rPr>
      <w:rFonts w:ascii="Calibri" w:eastAsia="Calibri" w:hAnsi="Calibri" w:cs="Times New Roman"/>
      <w:sz w:val="24"/>
      <w:szCs w:val="24"/>
      <w:lang w:eastAsia="de-DE"/>
    </w:rPr>
  </w:style>
  <w:style w:type="character" w:customStyle="1" w:styleId="EquationsNumberingPublicationZchn">
    <w:name w:val="Equations Numbering Publication Zchn"/>
    <w:link w:val="EquationsNumberingPublication"/>
    <w:rsid w:val="00580D99"/>
    <w:rPr>
      <w:rFonts w:ascii="Calibri" w:eastAsia="Calibri" w:hAnsi="Calibri" w:cs="Times New Roman"/>
      <w:sz w:val="24"/>
      <w:szCs w:val="24"/>
      <w:lang w:val="de-DE" w:eastAsia="de-DE"/>
    </w:rPr>
  </w:style>
  <w:style w:type="paragraph" w:customStyle="1" w:styleId="PaperArial">
    <w:name w:val="Paper Arial"/>
    <w:basedOn w:val="Heading1"/>
    <w:link w:val="PaperArialZchn"/>
    <w:qFormat/>
    <w:rsid w:val="00580D99"/>
    <w:pPr>
      <w:keepLines w:val="0"/>
      <w:spacing w:after="240" w:line="480" w:lineRule="auto"/>
    </w:pPr>
    <w:rPr>
      <w:rFonts w:ascii="Arial" w:eastAsia="Times New Roman" w:hAnsi="Arial" w:cs="Arial"/>
      <w:b/>
      <w:bCs/>
      <w:kern w:val="32"/>
      <w:sz w:val="24"/>
      <w:szCs w:val="24"/>
      <w:lang w:val="en-US"/>
    </w:rPr>
  </w:style>
  <w:style w:type="paragraph" w:customStyle="1" w:styleId="PaperArial2">
    <w:name w:val="Paper Arial 2"/>
    <w:basedOn w:val="Heading2"/>
    <w:link w:val="PaperArial2Zchn"/>
    <w:qFormat/>
    <w:rsid w:val="00580D99"/>
    <w:pPr>
      <w:keepLines w:val="0"/>
      <w:spacing w:before="240" w:after="240" w:line="480" w:lineRule="auto"/>
    </w:pPr>
    <w:rPr>
      <w:rFonts w:ascii="Arial" w:eastAsia="Times New Roman" w:hAnsi="Arial" w:cs="Arial"/>
      <w:bCs/>
      <w:i/>
      <w:sz w:val="24"/>
      <w:szCs w:val="24"/>
      <w:lang w:val="en-US"/>
    </w:rPr>
  </w:style>
  <w:style w:type="character" w:customStyle="1" w:styleId="PaperArialZchn">
    <w:name w:val="Paper Arial Zchn"/>
    <w:basedOn w:val="Heading1Char"/>
    <w:link w:val="PaperArial"/>
    <w:rsid w:val="00580D99"/>
    <w:rPr>
      <w:rFonts w:ascii="Arial" w:eastAsia="Times New Roman" w:hAnsi="Arial" w:cs="Arial"/>
      <w:b/>
      <w:bCs/>
      <w:color w:val="2F5496" w:themeColor="accent1" w:themeShade="BF"/>
      <w:kern w:val="32"/>
      <w:sz w:val="24"/>
      <w:szCs w:val="24"/>
      <w:lang w:val="en-US"/>
    </w:rPr>
  </w:style>
  <w:style w:type="character" w:customStyle="1" w:styleId="PaperArial2Zchn">
    <w:name w:val="Paper Arial 2 Zchn"/>
    <w:basedOn w:val="Heading2Char"/>
    <w:link w:val="PaperArial2"/>
    <w:rsid w:val="00580D99"/>
    <w:rPr>
      <w:rFonts w:ascii="Arial" w:eastAsia="Times New Roman" w:hAnsi="Arial" w:cs="Arial"/>
      <w:bCs/>
      <w:i/>
      <w:color w:val="2F5496" w:themeColor="accent1" w:themeShade="BF"/>
      <w:sz w:val="24"/>
      <w:szCs w:val="24"/>
      <w:lang w:val="en-US"/>
    </w:rPr>
  </w:style>
  <w:style w:type="paragraph" w:styleId="Footer">
    <w:name w:val="footer"/>
    <w:basedOn w:val="Normal"/>
    <w:link w:val="FooterChar"/>
    <w:uiPriority w:val="99"/>
    <w:unhideWhenUsed/>
    <w:rsid w:val="00580D99"/>
    <w:pPr>
      <w:tabs>
        <w:tab w:val="center" w:pos="4536"/>
        <w:tab w:val="right" w:pos="9072"/>
      </w:tabs>
      <w:spacing w:after="0" w:line="240" w:lineRule="auto"/>
    </w:pPr>
  </w:style>
  <w:style w:type="character" w:customStyle="1" w:styleId="FooterChar">
    <w:name w:val="Footer Char"/>
    <w:basedOn w:val="DefaultParagraphFont"/>
    <w:link w:val="Footer"/>
    <w:uiPriority w:val="99"/>
    <w:rsid w:val="00580D99"/>
    <w:rPr>
      <w:lang w:val="de-DE"/>
    </w:rPr>
  </w:style>
  <w:style w:type="character" w:customStyle="1" w:styleId="Heading1Char">
    <w:name w:val="Heading 1 Char"/>
    <w:basedOn w:val="DefaultParagraphFont"/>
    <w:link w:val="Heading1"/>
    <w:uiPriority w:val="9"/>
    <w:rsid w:val="00580D99"/>
    <w:rPr>
      <w:rFonts w:asciiTheme="majorHAnsi" w:eastAsiaTheme="majorEastAsia" w:hAnsiTheme="majorHAnsi" w:cstheme="majorBidi"/>
      <w:color w:val="2F5496" w:themeColor="accent1" w:themeShade="BF"/>
      <w:sz w:val="32"/>
      <w:szCs w:val="32"/>
      <w:lang w:val="de-DE"/>
    </w:rPr>
  </w:style>
  <w:style w:type="character" w:customStyle="1" w:styleId="Heading2Char">
    <w:name w:val="Heading 2 Char"/>
    <w:basedOn w:val="DefaultParagraphFont"/>
    <w:link w:val="Heading2"/>
    <w:uiPriority w:val="9"/>
    <w:semiHidden/>
    <w:rsid w:val="00580D99"/>
    <w:rPr>
      <w:rFonts w:asciiTheme="majorHAnsi" w:eastAsiaTheme="majorEastAsia" w:hAnsiTheme="majorHAnsi" w:cstheme="majorBidi"/>
      <w:color w:val="2F5496" w:themeColor="accent1" w:themeShade="BF"/>
      <w:sz w:val="26"/>
      <w:szCs w:val="26"/>
      <w:lang w:val="de-DE"/>
    </w:rPr>
  </w:style>
  <w:style w:type="character" w:styleId="LineNumber">
    <w:name w:val="line number"/>
    <w:basedOn w:val="DefaultParagraphFont"/>
    <w:uiPriority w:val="99"/>
    <w:semiHidden/>
    <w:unhideWhenUsed/>
    <w:rsid w:val="00580D99"/>
  </w:style>
  <w:style w:type="paragraph" w:styleId="BalloonText">
    <w:name w:val="Balloon Text"/>
    <w:basedOn w:val="Normal"/>
    <w:link w:val="BalloonTextChar"/>
    <w:uiPriority w:val="99"/>
    <w:semiHidden/>
    <w:unhideWhenUsed/>
    <w:rsid w:val="00AE0E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E90"/>
    <w:rPr>
      <w:rFonts w:ascii="Tahoma" w:hAnsi="Tahoma" w:cs="Tahoma"/>
      <w:sz w:val="16"/>
      <w:szCs w:val="16"/>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2680</Words>
  <Characters>15280</Characters>
  <Application>Microsoft Office Word</Application>
  <DocSecurity>4</DocSecurity>
  <Lines>127</Lines>
  <Paragraphs>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ftapia</dc:creator>
  <cp:lastModifiedBy>Revathi M.</cp:lastModifiedBy>
  <cp:revision>2</cp:revision>
  <dcterms:created xsi:type="dcterms:W3CDTF">2019-10-16T14:40:00Z</dcterms:created>
  <dcterms:modified xsi:type="dcterms:W3CDTF">2019-10-16T14:40:00Z</dcterms:modified>
</cp:coreProperties>
</file>