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5F7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</w:t>
      </w:r>
      <w:bookmarkStart w:id="0" w:name="_GoBack"/>
      <w:bookmarkEnd w:id="0"/>
      <w:r w:rsidRPr="001549D3">
        <w:t>y Material</w:t>
      </w:r>
    </w:p>
    <w:p w14:paraId="22ABEB0A" w14:textId="77777777" w:rsidR="00A04C6F" w:rsidRDefault="00A04C6F" w:rsidP="00A04C6F">
      <w:pPr>
        <w:spacing w:line="276" w:lineRule="auto"/>
        <w:jc w:val="both"/>
        <w:rPr>
          <w:rFonts w:cs="Times New Roman"/>
          <w:szCs w:val="24"/>
        </w:rPr>
      </w:pPr>
      <w:r w:rsidRPr="00A04C6F">
        <w:rPr>
          <w:rFonts w:cs="Times New Roman"/>
          <w:b/>
          <w:szCs w:val="24"/>
        </w:rPr>
        <w:t>Supplemental Table 1.</w:t>
      </w:r>
      <w:r w:rsidRPr="00A04C6F">
        <w:rPr>
          <w:rFonts w:cs="Times New Roman"/>
          <w:szCs w:val="24"/>
        </w:rPr>
        <w:t xml:space="preserve"> Positions of the expressed extracellular regions of viral glycoproteins (GP) or nucleoproteins (NP).</w:t>
      </w:r>
    </w:p>
    <w:tbl>
      <w:tblPr>
        <w:tblW w:w="1080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540"/>
        <w:gridCol w:w="2460"/>
        <w:gridCol w:w="1420"/>
        <w:gridCol w:w="2560"/>
      </w:tblGrid>
      <w:tr w:rsidR="00964671" w:rsidRPr="00964671" w14:paraId="09D7D974" w14:textId="77777777" w:rsidTr="00964671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A8D0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 xml:space="preserve">Viral </w:t>
            </w:r>
            <w:proofErr w:type="spellStart"/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>family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06A9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 xml:space="preserve">Viral </w:t>
            </w:r>
            <w:proofErr w:type="spellStart"/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>target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545BA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>Gene/Segment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E396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>Accession 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C46F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>Expressed</w:t>
            </w:r>
            <w:proofErr w:type="spellEnd"/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 xml:space="preserve"> positions (nt)</w:t>
            </w:r>
          </w:p>
        </w:tc>
      </w:tr>
      <w:tr w:rsidR="00964671" w:rsidRPr="00964671" w14:paraId="594D7744" w14:textId="77777777" w:rsidTr="00964671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E5D2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i/>
                <w:iCs/>
                <w:color w:val="000000"/>
                <w:sz w:val="22"/>
                <w:lang w:val="fr-FR" w:eastAsia="fr-FR"/>
              </w:rPr>
              <w:t>Orthomyxoviridae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8958" w14:textId="77777777" w:rsidR="00964671" w:rsidRPr="00526A7A" w:rsidRDefault="00964671" w:rsidP="00526A7A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526A7A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Thailand tick </w:t>
            </w:r>
            <w:proofErr w:type="spellStart"/>
            <w:r w:rsidRPr="00526A7A">
              <w:rPr>
                <w:rFonts w:eastAsia="Times New Roman" w:cs="Times New Roman"/>
                <w:color w:val="000000"/>
                <w:sz w:val="22"/>
                <w:lang w:eastAsia="fr-FR"/>
              </w:rPr>
              <w:t>thogotovirus</w:t>
            </w:r>
            <w:proofErr w:type="spellEnd"/>
            <w:r w:rsidR="000F4E3C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EFEE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Segment 4 (GP)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33B5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MN095542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9413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35 - 1483</w:t>
            </w:r>
          </w:p>
        </w:tc>
      </w:tr>
      <w:tr w:rsidR="00964671" w:rsidRPr="00964671" w14:paraId="396E8BA5" w14:textId="77777777" w:rsidTr="00964671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47CB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i/>
                <w:iCs/>
                <w:color w:val="000000"/>
                <w:sz w:val="22"/>
                <w:lang w:val="fr-FR" w:eastAsia="fr-FR"/>
              </w:rPr>
              <w:t>Phenuiviridae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349" w14:textId="54F70411" w:rsidR="00964671" w:rsidRPr="00526A7A" w:rsidRDefault="00526A7A" w:rsidP="000F4E3C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fr-FR"/>
              </w:rPr>
              <w:t>LTPV-Thailand</w:t>
            </w:r>
            <w:r w:rsidR="000F4E3C" w:rsidRPr="00526A7A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2EBA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Segment S (NP)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9579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MN095538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1F31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25 - 1455</w:t>
            </w:r>
          </w:p>
        </w:tc>
      </w:tr>
      <w:tr w:rsidR="00964671" w:rsidRPr="00964671" w14:paraId="57BE8592" w14:textId="77777777" w:rsidTr="00964671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018C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i/>
                <w:iCs/>
                <w:color w:val="000000"/>
                <w:sz w:val="22"/>
                <w:lang w:val="fr-FR" w:eastAsia="fr-FR"/>
              </w:rPr>
              <w:t>Flaviviridae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3212" w14:textId="2363D273" w:rsidR="00964671" w:rsidRPr="00526A7A" w:rsidRDefault="00526A7A" w:rsidP="000F4E3C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fr-FR"/>
              </w:rPr>
              <w:t>BLTV4-Thailand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D10E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Envelope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gene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(GP)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CAF2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MN095535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7CFB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64 - 540</w:t>
            </w:r>
          </w:p>
        </w:tc>
      </w:tr>
      <w:tr w:rsidR="00964671" w:rsidRPr="00964671" w14:paraId="3AC23915" w14:textId="77777777" w:rsidTr="00964671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0A74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i/>
                <w:iCs/>
                <w:color w:val="000000"/>
                <w:sz w:val="22"/>
                <w:lang w:val="fr-FR" w:eastAsia="fr-FR"/>
              </w:rPr>
              <w:t>Rhabdoviridae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EADE" w14:textId="478D4A30" w:rsidR="00964671" w:rsidRPr="00526A7A" w:rsidRDefault="00526A7A" w:rsidP="000F4E3C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fr-FR"/>
              </w:rPr>
              <w:t>WhTV1-Thailand</w:t>
            </w:r>
            <w:r w:rsidR="000F4E3C" w:rsidRPr="00526A7A">
              <w:rPr>
                <w:rFonts w:eastAsia="Times New Roman" w:cs="Times New Roman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219D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Nucleoprotein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gene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(NP)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B24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MN095536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8C61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27 - 1493</w:t>
            </w:r>
          </w:p>
        </w:tc>
      </w:tr>
      <w:tr w:rsidR="00964671" w:rsidRPr="00964671" w14:paraId="7AF364FD" w14:textId="77777777" w:rsidTr="00964671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BE49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i/>
                <w:iCs/>
                <w:color w:val="000000"/>
                <w:sz w:val="22"/>
                <w:lang w:val="fr-FR" w:eastAsia="fr-FR"/>
              </w:rPr>
              <w:t>Chuviridae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C053" w14:textId="1263E710" w:rsidR="00964671" w:rsidRPr="00964671" w:rsidRDefault="00526A7A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WhTV2-Thailand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06C6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Glycoprotein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gene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(GP)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8C81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MN095546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2201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7035 - 8663</w:t>
            </w:r>
          </w:p>
        </w:tc>
      </w:tr>
      <w:tr w:rsidR="00964671" w:rsidRPr="00964671" w14:paraId="7CD5BC2C" w14:textId="77777777" w:rsidTr="00964671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3BF0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i/>
                <w:iCs/>
                <w:color w:val="000000"/>
                <w:sz w:val="22"/>
                <w:lang w:val="fr-FR" w:eastAsia="fr-FR"/>
              </w:rPr>
              <w:t>Chuviridae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541B" w14:textId="1DA3F934" w:rsidR="00964671" w:rsidRPr="00964671" w:rsidRDefault="00526A7A" w:rsidP="000F4E3C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CpTV2-Thailand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7B8D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Glycoprotein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gene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(GP)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811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MN095545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EA28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6443 - 8173</w:t>
            </w:r>
          </w:p>
        </w:tc>
      </w:tr>
    </w:tbl>
    <w:p w14:paraId="2EA0D44E" w14:textId="77777777" w:rsidR="00A04C6F" w:rsidRDefault="00A04C6F" w:rsidP="00A04C6F">
      <w:pPr>
        <w:spacing w:line="276" w:lineRule="auto"/>
        <w:jc w:val="both"/>
        <w:rPr>
          <w:rFonts w:cs="Times New Roman"/>
          <w:szCs w:val="24"/>
        </w:rPr>
      </w:pPr>
    </w:p>
    <w:p w14:paraId="6AFD7299" w14:textId="77777777" w:rsidR="00A04C6F" w:rsidRPr="00A04C6F" w:rsidRDefault="00A04C6F" w:rsidP="00A04C6F">
      <w:pPr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Supplemental </w:t>
      </w:r>
      <w:r w:rsidRPr="00A04C6F">
        <w:rPr>
          <w:rFonts w:cs="Times New Roman"/>
          <w:b/>
          <w:szCs w:val="24"/>
        </w:rPr>
        <w:t xml:space="preserve">Table 2. </w:t>
      </w:r>
      <w:r w:rsidRPr="00A04C6F">
        <w:rPr>
          <w:rFonts w:cs="Times New Roman"/>
          <w:szCs w:val="24"/>
        </w:rPr>
        <w:t>Sequences of forward and reverse primers used to generate the “GA-fragments”.</w:t>
      </w:r>
    </w:p>
    <w:tbl>
      <w:tblPr>
        <w:tblW w:w="107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019"/>
      </w:tblGrid>
      <w:tr w:rsidR="00964671" w:rsidRPr="00964671" w14:paraId="119D9F9B" w14:textId="77777777" w:rsidTr="00964671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559D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>Primer</w:t>
            </w:r>
          </w:p>
        </w:tc>
        <w:tc>
          <w:tcPr>
            <w:tcW w:w="9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2F97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>Sequence</w:t>
            </w:r>
            <w:proofErr w:type="spellEnd"/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 xml:space="preserve"> 5’ – 3’</w:t>
            </w:r>
          </w:p>
        </w:tc>
      </w:tr>
      <w:tr w:rsidR="00964671" w:rsidRPr="00964671" w14:paraId="5775C451" w14:textId="77777777" w:rsidTr="00964671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B893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GA-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forward</w:t>
            </w:r>
            <w:proofErr w:type="spellEnd"/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D33E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TAATACGACTCACTATAGGGCTA</w:t>
            </w:r>
            <w:r w:rsidRPr="00964671">
              <w:rPr>
                <w:rFonts w:eastAsia="Times New Roman" w:cs="Times New Roman"/>
                <w:color w:val="000000"/>
                <w:sz w:val="22"/>
                <w:u w:val="single"/>
                <w:lang w:val="fr-FR" w:eastAsia="fr-FR"/>
              </w:rPr>
              <w:t>GCGATCGC</w:t>
            </w:r>
            <w:r w:rsidRPr="00964671">
              <w:rPr>
                <w:rFonts w:eastAsia="Times New Roman" w:cs="Times New Roman"/>
                <w:b/>
                <w:bCs/>
                <w:color w:val="000000"/>
                <w:sz w:val="22"/>
                <w:lang w:val="fr-FR" w:eastAsia="fr-FR"/>
              </w:rPr>
              <w:t>GCCACC</w:t>
            </w:r>
            <w:r w:rsidRPr="00964671">
              <w:rPr>
                <w:rFonts w:eastAsia="Times New Roman" w:cs="Times New Roman"/>
                <w:i/>
                <w:iCs/>
                <w:color w:val="000000"/>
                <w:sz w:val="22"/>
                <w:lang w:val="fr-FR" w:eastAsia="fr-FR"/>
              </w:rPr>
              <w:t>ATG</w:t>
            </w: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-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target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-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specific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sequence</w:t>
            </w:r>
            <w:proofErr w:type="spellEnd"/>
          </w:p>
        </w:tc>
      </w:tr>
      <w:tr w:rsidR="00964671" w:rsidRPr="00964671" w14:paraId="55FC695B" w14:textId="77777777" w:rsidTr="00964671">
        <w:trPr>
          <w:trHeight w:val="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4C9D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GA-reverse</w:t>
            </w:r>
          </w:p>
        </w:tc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02D" w14:textId="77777777" w:rsidR="00964671" w:rsidRPr="00964671" w:rsidRDefault="00964671" w:rsidP="00964671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GTGTGAAGACGCCGCTCGAGCCGA</w:t>
            </w:r>
            <w:r w:rsidRPr="00964671">
              <w:rPr>
                <w:rFonts w:eastAsia="Times New Roman" w:cs="Times New Roman"/>
                <w:color w:val="000000"/>
                <w:sz w:val="22"/>
                <w:u w:val="single"/>
                <w:lang w:val="fr-FR" w:eastAsia="fr-FR"/>
              </w:rPr>
              <w:t>GAGCTC</w:t>
            </w:r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-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target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-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specific</w:t>
            </w:r>
            <w:proofErr w:type="spellEnd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 xml:space="preserve"> </w:t>
            </w:r>
            <w:proofErr w:type="spellStart"/>
            <w:r w:rsidRPr="00964671">
              <w:rPr>
                <w:rFonts w:eastAsia="Times New Roman" w:cs="Times New Roman"/>
                <w:color w:val="000000"/>
                <w:sz w:val="22"/>
                <w:lang w:val="fr-FR" w:eastAsia="fr-FR"/>
              </w:rPr>
              <w:t>sequence</w:t>
            </w:r>
            <w:proofErr w:type="spellEnd"/>
          </w:p>
        </w:tc>
      </w:tr>
    </w:tbl>
    <w:p w14:paraId="4F62ABF0" w14:textId="77777777" w:rsidR="00A04C6F" w:rsidRDefault="00A04C6F" w:rsidP="00A04C6F">
      <w:pPr>
        <w:spacing w:line="276" w:lineRule="auto"/>
        <w:jc w:val="both"/>
        <w:rPr>
          <w:rFonts w:cs="Times New Roman"/>
          <w:szCs w:val="24"/>
        </w:rPr>
      </w:pPr>
    </w:p>
    <w:p w14:paraId="176AF4E6" w14:textId="77777777" w:rsidR="008F1ED0" w:rsidRDefault="008F1ED0" w:rsidP="008F1ED0">
      <w:pPr>
        <w:spacing w:line="276" w:lineRule="auto"/>
        <w:jc w:val="both"/>
        <w:rPr>
          <w:rFonts w:cs="Times New Roman"/>
          <w:szCs w:val="24"/>
        </w:rPr>
      </w:pPr>
      <w:r w:rsidRPr="00A04C6F">
        <w:rPr>
          <w:rFonts w:cs="Times New Roman"/>
          <w:b/>
          <w:szCs w:val="24"/>
        </w:rPr>
        <w:t xml:space="preserve">Supplemental Table </w:t>
      </w:r>
      <w:r>
        <w:rPr>
          <w:rFonts w:cs="Times New Roman"/>
          <w:b/>
          <w:szCs w:val="24"/>
        </w:rPr>
        <w:t>3</w:t>
      </w:r>
      <w:r w:rsidRPr="00A04C6F">
        <w:rPr>
          <w:rFonts w:cs="Times New Roman"/>
          <w:b/>
          <w:szCs w:val="24"/>
        </w:rPr>
        <w:t>.</w:t>
      </w:r>
      <w:r w:rsidRPr="00A04C6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Results of </w:t>
      </w:r>
      <w:r w:rsidR="00EA20E8">
        <w:rPr>
          <w:rFonts w:cs="Times New Roman"/>
          <w:szCs w:val="24"/>
        </w:rPr>
        <w:t>LIPS and ELI</w:t>
      </w:r>
      <w:r w:rsidR="00527532">
        <w:rPr>
          <w:rFonts w:cs="Times New Roman"/>
          <w:szCs w:val="24"/>
        </w:rPr>
        <w:t>S</w:t>
      </w:r>
      <w:r w:rsidR="00EA20E8">
        <w:rPr>
          <w:rFonts w:cs="Times New Roman"/>
          <w:szCs w:val="24"/>
        </w:rPr>
        <w:t xml:space="preserve">A comparative serological assays </w:t>
      </w:r>
      <w:r w:rsidR="00527532">
        <w:rPr>
          <w:rFonts w:cs="Times New Roman"/>
          <w:szCs w:val="24"/>
        </w:rPr>
        <w:t>targeting HEV capsid.</w:t>
      </w:r>
      <w:r w:rsidR="009C3ED4">
        <w:rPr>
          <w:rFonts w:cs="Times New Roman"/>
          <w:szCs w:val="24"/>
        </w:rPr>
        <w:t xml:space="preserve"> </w:t>
      </w:r>
      <w:r w:rsidR="00972980">
        <w:rPr>
          <w:rFonts w:cs="Times New Roman"/>
          <w:szCs w:val="24"/>
        </w:rPr>
        <w:t>Fifteen</w:t>
      </w:r>
      <w:r w:rsidR="009C3ED4">
        <w:rPr>
          <w:rFonts w:cs="Times New Roman"/>
          <w:szCs w:val="24"/>
        </w:rPr>
        <w:t xml:space="preserve"> human sera of French healthy donors </w:t>
      </w:r>
      <w:r w:rsidR="00920041">
        <w:rPr>
          <w:rFonts w:cs="Times New Roman"/>
          <w:szCs w:val="24"/>
        </w:rPr>
        <w:t xml:space="preserve">were </w:t>
      </w:r>
      <w:r w:rsidR="00684EB8">
        <w:rPr>
          <w:rFonts w:cs="Times New Roman"/>
          <w:szCs w:val="24"/>
        </w:rPr>
        <w:t>screened against the external capsid domain of HEV</w:t>
      </w:r>
      <w:r w:rsidR="00920041">
        <w:rPr>
          <w:rFonts w:cs="Times New Roman"/>
          <w:szCs w:val="24"/>
        </w:rPr>
        <w:t>.</w:t>
      </w:r>
      <w:r w:rsidR="00A50CA5">
        <w:rPr>
          <w:rFonts w:cs="Times New Roman"/>
          <w:szCs w:val="24"/>
        </w:rPr>
        <w:t xml:space="preserve"> </w:t>
      </w:r>
      <w:r w:rsidR="009100A5">
        <w:rPr>
          <w:rFonts w:cs="Times New Roman"/>
          <w:szCs w:val="24"/>
        </w:rPr>
        <w:t>LIPS results are expressed in relative LU</w:t>
      </w:r>
      <w:r w:rsidR="000D0D0E">
        <w:rPr>
          <w:rFonts w:cs="Times New Roman"/>
          <w:szCs w:val="24"/>
        </w:rPr>
        <w:t xml:space="preserve"> (</w:t>
      </w:r>
      <w:r w:rsidR="009100A5">
        <w:rPr>
          <w:rFonts w:cs="Times New Roman"/>
          <w:szCs w:val="24"/>
        </w:rPr>
        <w:t>which correspond to the LU</w:t>
      </w:r>
      <w:r w:rsidR="00EA3E86">
        <w:rPr>
          <w:rFonts w:cs="Times New Roman"/>
          <w:szCs w:val="24"/>
        </w:rPr>
        <w:t>/mL</w:t>
      </w:r>
      <w:r w:rsidR="009100A5">
        <w:rPr>
          <w:rFonts w:cs="Times New Roman"/>
          <w:szCs w:val="24"/>
        </w:rPr>
        <w:t xml:space="preserve"> measured corrected from the mean of negative controls</w:t>
      </w:r>
      <w:r w:rsidR="000D0D0E">
        <w:rPr>
          <w:rFonts w:cs="Times New Roman"/>
          <w:szCs w:val="24"/>
        </w:rPr>
        <w:t xml:space="preserve">) and ELISA results are expressed in </w:t>
      </w:r>
      <w:r w:rsidR="00241917">
        <w:rPr>
          <w:rFonts w:cs="Times New Roman"/>
          <w:szCs w:val="24"/>
        </w:rPr>
        <w:t>OD (mean of the two replicates)</w:t>
      </w:r>
      <w:r w:rsidR="000D0D0E">
        <w:rPr>
          <w:rFonts w:cs="Times New Roman"/>
          <w:szCs w:val="24"/>
        </w:rPr>
        <w:t>.</w:t>
      </w: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2118"/>
        <w:gridCol w:w="1173"/>
        <w:gridCol w:w="1103"/>
        <w:gridCol w:w="3823"/>
      </w:tblGrid>
      <w:tr w:rsidR="00C95258" w14:paraId="3DE7202F" w14:textId="77777777" w:rsidTr="00200BB9">
        <w:trPr>
          <w:jc w:val="center"/>
        </w:trPr>
        <w:tc>
          <w:tcPr>
            <w:tcW w:w="2122" w:type="dxa"/>
            <w:vAlign w:val="center"/>
          </w:tcPr>
          <w:p w14:paraId="7D41E5CE" w14:textId="77777777" w:rsidR="00C95258" w:rsidRDefault="00C95258" w:rsidP="00C9525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Sample</w:t>
            </w:r>
            <w:r w:rsidR="00E95289">
              <w:rPr>
                <w:rFonts w:cs="Times New Roman"/>
                <w:szCs w:val="24"/>
              </w:rPr>
              <w:t xml:space="preserve"> ID</w:t>
            </w:r>
          </w:p>
        </w:tc>
        <w:tc>
          <w:tcPr>
            <w:tcW w:w="1158" w:type="dxa"/>
            <w:vAlign w:val="center"/>
          </w:tcPr>
          <w:p w14:paraId="641A1043" w14:textId="77777777" w:rsidR="00C95258" w:rsidRDefault="00C95258" w:rsidP="00C9525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LIPS</w:t>
            </w:r>
          </w:p>
        </w:tc>
        <w:tc>
          <w:tcPr>
            <w:tcW w:w="1104" w:type="dxa"/>
            <w:vAlign w:val="center"/>
          </w:tcPr>
          <w:p w14:paraId="56EEC111" w14:textId="77777777" w:rsidR="00C95258" w:rsidRDefault="00C95258" w:rsidP="00C9525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ELISA</w:t>
            </w:r>
          </w:p>
        </w:tc>
        <w:tc>
          <w:tcPr>
            <w:tcW w:w="3833" w:type="dxa"/>
            <w:vAlign w:val="center"/>
          </w:tcPr>
          <w:p w14:paraId="20718424" w14:textId="77777777" w:rsidR="00C95258" w:rsidRDefault="00C95258" w:rsidP="00C9525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Conclusions</w:t>
            </w:r>
          </w:p>
        </w:tc>
      </w:tr>
      <w:tr w:rsidR="00E95289" w14:paraId="08A75608" w14:textId="77777777" w:rsidTr="00200BB9">
        <w:trPr>
          <w:jc w:val="center"/>
        </w:trPr>
        <w:tc>
          <w:tcPr>
            <w:tcW w:w="2122" w:type="dxa"/>
          </w:tcPr>
          <w:p w14:paraId="66CA935F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816-189-HOUL</w:t>
            </w:r>
          </w:p>
        </w:tc>
        <w:tc>
          <w:tcPr>
            <w:tcW w:w="1158" w:type="dxa"/>
            <w:vAlign w:val="center"/>
          </w:tcPr>
          <w:p w14:paraId="04849DB9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6EA37F7F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0.058</w:t>
            </w:r>
          </w:p>
        </w:tc>
        <w:tc>
          <w:tcPr>
            <w:tcW w:w="3833" w:type="dxa"/>
            <w:vAlign w:val="center"/>
          </w:tcPr>
          <w:p w14:paraId="115F1B4F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6E95A33B" w14:textId="77777777" w:rsidTr="00200BB9">
        <w:trPr>
          <w:jc w:val="center"/>
        </w:trPr>
        <w:tc>
          <w:tcPr>
            <w:tcW w:w="2122" w:type="dxa"/>
          </w:tcPr>
          <w:p w14:paraId="169C2A74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1006-B-1-110-FC</w:t>
            </w:r>
          </w:p>
        </w:tc>
        <w:tc>
          <w:tcPr>
            <w:tcW w:w="1158" w:type="dxa"/>
            <w:vAlign w:val="center"/>
          </w:tcPr>
          <w:p w14:paraId="00156ACD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50AEF8F6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0.047</w:t>
            </w:r>
          </w:p>
        </w:tc>
        <w:tc>
          <w:tcPr>
            <w:tcW w:w="3833" w:type="dxa"/>
            <w:vAlign w:val="center"/>
          </w:tcPr>
          <w:p w14:paraId="6391E1F0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5C7E461A" w14:textId="77777777" w:rsidTr="00200BB9">
        <w:trPr>
          <w:jc w:val="center"/>
        </w:trPr>
        <w:tc>
          <w:tcPr>
            <w:tcW w:w="2122" w:type="dxa"/>
          </w:tcPr>
          <w:p w14:paraId="7DA3EF9D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816-43-GLAL</w:t>
            </w:r>
          </w:p>
        </w:tc>
        <w:tc>
          <w:tcPr>
            <w:tcW w:w="1158" w:type="dxa"/>
            <w:vAlign w:val="center"/>
          </w:tcPr>
          <w:p w14:paraId="152C4A81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5F330310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0.053</w:t>
            </w:r>
          </w:p>
        </w:tc>
        <w:tc>
          <w:tcPr>
            <w:tcW w:w="3833" w:type="dxa"/>
            <w:vAlign w:val="center"/>
          </w:tcPr>
          <w:p w14:paraId="4309729A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2A6C71EE" w14:textId="77777777" w:rsidTr="00200BB9">
        <w:trPr>
          <w:jc w:val="center"/>
        </w:trPr>
        <w:tc>
          <w:tcPr>
            <w:tcW w:w="2122" w:type="dxa"/>
          </w:tcPr>
          <w:p w14:paraId="73542A36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816-155-ZIGU</w:t>
            </w:r>
          </w:p>
        </w:tc>
        <w:tc>
          <w:tcPr>
            <w:tcW w:w="1158" w:type="dxa"/>
            <w:vAlign w:val="center"/>
          </w:tcPr>
          <w:p w14:paraId="7EE4407D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158B0AC0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0.049</w:t>
            </w:r>
          </w:p>
        </w:tc>
        <w:tc>
          <w:tcPr>
            <w:tcW w:w="3833" w:type="dxa"/>
            <w:vAlign w:val="center"/>
          </w:tcPr>
          <w:p w14:paraId="12282DA9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2AEF76E8" w14:textId="77777777" w:rsidTr="00200BB9">
        <w:trPr>
          <w:jc w:val="center"/>
        </w:trPr>
        <w:tc>
          <w:tcPr>
            <w:tcW w:w="2122" w:type="dxa"/>
          </w:tcPr>
          <w:p w14:paraId="1D5B8085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1006-B-1-083-LL</w:t>
            </w:r>
          </w:p>
        </w:tc>
        <w:tc>
          <w:tcPr>
            <w:tcW w:w="1158" w:type="dxa"/>
            <w:vAlign w:val="center"/>
          </w:tcPr>
          <w:p w14:paraId="5A5E259D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68D5D3D2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0.047</w:t>
            </w:r>
          </w:p>
        </w:tc>
        <w:tc>
          <w:tcPr>
            <w:tcW w:w="3833" w:type="dxa"/>
            <w:vAlign w:val="center"/>
          </w:tcPr>
          <w:p w14:paraId="6E2C0CAF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6576EC26" w14:textId="77777777" w:rsidTr="00200BB9">
        <w:trPr>
          <w:jc w:val="center"/>
        </w:trPr>
        <w:tc>
          <w:tcPr>
            <w:tcW w:w="2122" w:type="dxa"/>
          </w:tcPr>
          <w:p w14:paraId="3FB17A53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1006-M-1-005-CH</w:t>
            </w:r>
          </w:p>
        </w:tc>
        <w:tc>
          <w:tcPr>
            <w:tcW w:w="1158" w:type="dxa"/>
            <w:vAlign w:val="center"/>
          </w:tcPr>
          <w:p w14:paraId="16AE860A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4058F6D7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0.055</w:t>
            </w:r>
          </w:p>
        </w:tc>
        <w:tc>
          <w:tcPr>
            <w:tcW w:w="3833" w:type="dxa"/>
            <w:vAlign w:val="center"/>
          </w:tcPr>
          <w:p w14:paraId="30025B57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20742C68" w14:textId="77777777" w:rsidTr="00200BB9">
        <w:trPr>
          <w:jc w:val="center"/>
        </w:trPr>
        <w:tc>
          <w:tcPr>
            <w:tcW w:w="2122" w:type="dxa"/>
          </w:tcPr>
          <w:p w14:paraId="1E4E5BF4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1006-B-1-104-GG</w:t>
            </w:r>
          </w:p>
        </w:tc>
        <w:tc>
          <w:tcPr>
            <w:tcW w:w="1158" w:type="dxa"/>
            <w:vAlign w:val="center"/>
          </w:tcPr>
          <w:p w14:paraId="3F2A5391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55D4B6CB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0.064</w:t>
            </w:r>
          </w:p>
        </w:tc>
        <w:tc>
          <w:tcPr>
            <w:tcW w:w="3833" w:type="dxa"/>
            <w:vAlign w:val="center"/>
          </w:tcPr>
          <w:p w14:paraId="5C7570C5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7765BD13" w14:textId="77777777" w:rsidTr="00200BB9">
        <w:trPr>
          <w:jc w:val="center"/>
        </w:trPr>
        <w:tc>
          <w:tcPr>
            <w:tcW w:w="2122" w:type="dxa"/>
          </w:tcPr>
          <w:p w14:paraId="23D84868" w14:textId="77777777" w:rsidR="00E95289" w:rsidRPr="002714B4" w:rsidRDefault="00E95289" w:rsidP="00E95289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714B4">
              <w:rPr>
                <w:b/>
              </w:rPr>
              <w:t>816-66-BOLE</w:t>
            </w:r>
          </w:p>
        </w:tc>
        <w:tc>
          <w:tcPr>
            <w:tcW w:w="1158" w:type="dxa"/>
            <w:vAlign w:val="center"/>
          </w:tcPr>
          <w:p w14:paraId="3B5E8138" w14:textId="77777777" w:rsidR="00E95289" w:rsidRPr="002714B4" w:rsidRDefault="00E95289" w:rsidP="00E95289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714B4">
              <w:rPr>
                <w:rFonts w:cs="Times New Roman"/>
                <w:b/>
                <w:szCs w:val="24"/>
              </w:rPr>
              <w:t>3.41E+04</w:t>
            </w:r>
          </w:p>
        </w:tc>
        <w:tc>
          <w:tcPr>
            <w:tcW w:w="1104" w:type="dxa"/>
            <w:vAlign w:val="center"/>
          </w:tcPr>
          <w:p w14:paraId="3390071A" w14:textId="77777777" w:rsidR="00E95289" w:rsidRPr="002714B4" w:rsidRDefault="00A8556A" w:rsidP="00E95289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714B4">
              <w:rPr>
                <w:rFonts w:cs="Times New Roman"/>
                <w:b/>
                <w:szCs w:val="24"/>
              </w:rPr>
              <w:t>2.168</w:t>
            </w:r>
          </w:p>
        </w:tc>
        <w:tc>
          <w:tcPr>
            <w:tcW w:w="3833" w:type="dxa"/>
            <w:vAlign w:val="center"/>
          </w:tcPr>
          <w:p w14:paraId="376D4E68" w14:textId="77777777" w:rsidR="00E95289" w:rsidRPr="002714B4" w:rsidRDefault="00E95289" w:rsidP="00E95289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714B4">
              <w:rPr>
                <w:rFonts w:cs="Times New Roman"/>
                <w:b/>
                <w:szCs w:val="24"/>
              </w:rPr>
              <w:t>Positive for both methods</w:t>
            </w:r>
          </w:p>
        </w:tc>
      </w:tr>
      <w:tr w:rsidR="00E95289" w14:paraId="173CE1DF" w14:textId="77777777" w:rsidTr="00200BB9">
        <w:trPr>
          <w:jc w:val="center"/>
        </w:trPr>
        <w:tc>
          <w:tcPr>
            <w:tcW w:w="2122" w:type="dxa"/>
          </w:tcPr>
          <w:p w14:paraId="1513852E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1006-M-1-002-AG</w:t>
            </w:r>
          </w:p>
        </w:tc>
        <w:tc>
          <w:tcPr>
            <w:tcW w:w="1158" w:type="dxa"/>
            <w:vAlign w:val="center"/>
          </w:tcPr>
          <w:p w14:paraId="28E8F22E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0B9F9898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0.056</w:t>
            </w:r>
          </w:p>
        </w:tc>
        <w:tc>
          <w:tcPr>
            <w:tcW w:w="3833" w:type="dxa"/>
            <w:vAlign w:val="center"/>
          </w:tcPr>
          <w:p w14:paraId="04ADB672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7A81A359" w14:textId="77777777" w:rsidTr="00200BB9">
        <w:trPr>
          <w:jc w:val="center"/>
        </w:trPr>
        <w:tc>
          <w:tcPr>
            <w:tcW w:w="2122" w:type="dxa"/>
          </w:tcPr>
          <w:p w14:paraId="15B1F32B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816-185-VALU</w:t>
            </w:r>
          </w:p>
        </w:tc>
        <w:tc>
          <w:tcPr>
            <w:tcW w:w="1158" w:type="dxa"/>
            <w:vAlign w:val="center"/>
          </w:tcPr>
          <w:p w14:paraId="66CA7337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7FB2E077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0.048</w:t>
            </w:r>
          </w:p>
        </w:tc>
        <w:tc>
          <w:tcPr>
            <w:tcW w:w="3833" w:type="dxa"/>
            <w:vAlign w:val="center"/>
          </w:tcPr>
          <w:p w14:paraId="0C5A2D1F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0B50BF6D" w14:textId="77777777" w:rsidTr="00200BB9">
        <w:trPr>
          <w:jc w:val="center"/>
        </w:trPr>
        <w:tc>
          <w:tcPr>
            <w:tcW w:w="2122" w:type="dxa"/>
          </w:tcPr>
          <w:p w14:paraId="5A648A29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816-44-DULA</w:t>
            </w:r>
          </w:p>
        </w:tc>
        <w:tc>
          <w:tcPr>
            <w:tcW w:w="1158" w:type="dxa"/>
            <w:vAlign w:val="center"/>
          </w:tcPr>
          <w:p w14:paraId="5E153869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6F21F519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0.054</w:t>
            </w:r>
          </w:p>
        </w:tc>
        <w:tc>
          <w:tcPr>
            <w:tcW w:w="3833" w:type="dxa"/>
            <w:vAlign w:val="center"/>
          </w:tcPr>
          <w:p w14:paraId="04C4C1F0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6D60E5AD" w14:textId="77777777" w:rsidTr="00200BB9">
        <w:trPr>
          <w:jc w:val="center"/>
        </w:trPr>
        <w:tc>
          <w:tcPr>
            <w:tcW w:w="2122" w:type="dxa"/>
          </w:tcPr>
          <w:p w14:paraId="33CC64A8" w14:textId="77777777" w:rsidR="00E95289" w:rsidRPr="002714B4" w:rsidRDefault="00E95289" w:rsidP="00E95289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714B4">
              <w:rPr>
                <w:b/>
              </w:rPr>
              <w:t>816-167-PIMA</w:t>
            </w:r>
          </w:p>
        </w:tc>
        <w:tc>
          <w:tcPr>
            <w:tcW w:w="1158" w:type="dxa"/>
            <w:vAlign w:val="center"/>
          </w:tcPr>
          <w:p w14:paraId="433E5361" w14:textId="77777777" w:rsidR="00E95289" w:rsidRPr="002714B4" w:rsidRDefault="00E95289" w:rsidP="00E95289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714B4">
              <w:rPr>
                <w:rFonts w:cs="Times New Roman"/>
                <w:b/>
                <w:szCs w:val="24"/>
              </w:rPr>
              <w:t>3.05E+06</w:t>
            </w:r>
          </w:p>
        </w:tc>
        <w:tc>
          <w:tcPr>
            <w:tcW w:w="1104" w:type="dxa"/>
            <w:vAlign w:val="center"/>
          </w:tcPr>
          <w:p w14:paraId="49117B9E" w14:textId="77777777" w:rsidR="00E95289" w:rsidRPr="002714B4" w:rsidRDefault="00A8556A" w:rsidP="00E95289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714B4">
              <w:rPr>
                <w:rFonts w:cs="Times New Roman"/>
                <w:b/>
                <w:szCs w:val="24"/>
              </w:rPr>
              <w:t>1.910</w:t>
            </w:r>
          </w:p>
        </w:tc>
        <w:tc>
          <w:tcPr>
            <w:tcW w:w="3833" w:type="dxa"/>
            <w:vAlign w:val="center"/>
          </w:tcPr>
          <w:p w14:paraId="3EC02BE6" w14:textId="77777777" w:rsidR="00E95289" w:rsidRPr="002714B4" w:rsidRDefault="00E95289" w:rsidP="00E95289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2714B4">
              <w:rPr>
                <w:rFonts w:cs="Times New Roman"/>
                <w:b/>
                <w:szCs w:val="24"/>
              </w:rPr>
              <w:t>Positive for both methods</w:t>
            </w:r>
          </w:p>
        </w:tc>
      </w:tr>
      <w:tr w:rsidR="00E95289" w14:paraId="6C779F17" w14:textId="77777777" w:rsidTr="00200BB9">
        <w:trPr>
          <w:jc w:val="center"/>
        </w:trPr>
        <w:tc>
          <w:tcPr>
            <w:tcW w:w="2122" w:type="dxa"/>
          </w:tcPr>
          <w:p w14:paraId="395816DC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1006-B-1-109-BH</w:t>
            </w:r>
          </w:p>
        </w:tc>
        <w:tc>
          <w:tcPr>
            <w:tcW w:w="1158" w:type="dxa"/>
            <w:vAlign w:val="center"/>
          </w:tcPr>
          <w:p w14:paraId="0371B6E4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3C81E873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0.050</w:t>
            </w:r>
          </w:p>
        </w:tc>
        <w:tc>
          <w:tcPr>
            <w:tcW w:w="3833" w:type="dxa"/>
            <w:vAlign w:val="center"/>
          </w:tcPr>
          <w:p w14:paraId="5EBF5047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628E0120" w14:textId="77777777" w:rsidTr="00200BB9">
        <w:trPr>
          <w:jc w:val="center"/>
        </w:trPr>
        <w:tc>
          <w:tcPr>
            <w:tcW w:w="2122" w:type="dxa"/>
          </w:tcPr>
          <w:p w14:paraId="441F1364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816-214-SCAN</w:t>
            </w:r>
          </w:p>
        </w:tc>
        <w:tc>
          <w:tcPr>
            <w:tcW w:w="1158" w:type="dxa"/>
            <w:vAlign w:val="center"/>
          </w:tcPr>
          <w:p w14:paraId="7737BBAA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4" w:type="dxa"/>
            <w:vAlign w:val="center"/>
          </w:tcPr>
          <w:p w14:paraId="30276EE1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0.056</w:t>
            </w:r>
          </w:p>
        </w:tc>
        <w:tc>
          <w:tcPr>
            <w:tcW w:w="3833" w:type="dxa"/>
            <w:vAlign w:val="center"/>
          </w:tcPr>
          <w:p w14:paraId="73D58CF8" w14:textId="77777777" w:rsidR="00E95289" w:rsidRDefault="00E76DFF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Negative for both methods</w:t>
            </w:r>
          </w:p>
        </w:tc>
      </w:tr>
      <w:tr w:rsidR="00E95289" w14:paraId="615E137D" w14:textId="77777777" w:rsidTr="00200BB9">
        <w:trPr>
          <w:jc w:val="center"/>
        </w:trPr>
        <w:tc>
          <w:tcPr>
            <w:tcW w:w="2122" w:type="dxa"/>
          </w:tcPr>
          <w:p w14:paraId="7CCE0C5A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568AC">
              <w:t>816-92-KEMA</w:t>
            </w:r>
          </w:p>
        </w:tc>
        <w:tc>
          <w:tcPr>
            <w:tcW w:w="1158" w:type="dxa"/>
            <w:vAlign w:val="center"/>
          </w:tcPr>
          <w:p w14:paraId="07BCCFD6" w14:textId="77777777" w:rsidR="00E95289" w:rsidRDefault="00E95289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2.84E+06</w:t>
            </w:r>
          </w:p>
        </w:tc>
        <w:tc>
          <w:tcPr>
            <w:tcW w:w="1104" w:type="dxa"/>
            <w:vAlign w:val="center"/>
          </w:tcPr>
          <w:p w14:paraId="717DF106" w14:textId="77777777" w:rsidR="00E95289" w:rsidRDefault="00A8556A" w:rsidP="00E95289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nd</w:t>
            </w:r>
            <w:proofErr w:type="spellEnd"/>
          </w:p>
        </w:tc>
        <w:tc>
          <w:tcPr>
            <w:tcW w:w="3833" w:type="dxa"/>
            <w:vAlign w:val="center"/>
          </w:tcPr>
          <w:p w14:paraId="07945A6F" w14:textId="77777777" w:rsidR="00E95289" w:rsidRDefault="00E95289" w:rsidP="00A8556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Positive for </w:t>
            </w:r>
            <w:r w:rsidR="00A8556A">
              <w:rPr>
                <w:rFonts w:cs="Times New Roman"/>
                <w:szCs w:val="24"/>
              </w:rPr>
              <w:t>LIPS, ELISA not tested</w:t>
            </w:r>
          </w:p>
        </w:tc>
      </w:tr>
    </w:tbl>
    <w:p w14:paraId="711E80F8" w14:textId="77777777" w:rsidR="00293BEF" w:rsidRPr="0089488C" w:rsidRDefault="00293BEF" w:rsidP="00293BEF">
      <w:pPr>
        <w:spacing w:before="0" w:after="0"/>
        <w:contextualSpacing/>
        <w:jc w:val="both"/>
        <w:rPr>
          <w:rFonts w:cs="Times New Roman"/>
          <w:szCs w:val="24"/>
        </w:rPr>
      </w:pPr>
      <w:r w:rsidRPr="00284A16">
        <w:rPr>
          <w:rFonts w:cs="Times New Roman"/>
          <w:b/>
          <w:szCs w:val="24"/>
        </w:rPr>
        <w:lastRenderedPageBreak/>
        <w:t>Supplemental Figure 1</w:t>
      </w:r>
      <w:r>
        <w:rPr>
          <w:rFonts w:cs="Times New Roman"/>
          <w:szCs w:val="24"/>
        </w:rPr>
        <w:t>. Relative abundance of viral families identified in Thai ticks virome.</w:t>
      </w:r>
    </w:p>
    <w:p w14:paraId="3A468CC6" w14:textId="77777777" w:rsidR="00293BEF" w:rsidRPr="00A04C6F" w:rsidRDefault="000957CE" w:rsidP="00A04C6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fr-FR" w:eastAsia="fr-FR"/>
        </w:rPr>
        <w:drawing>
          <wp:inline distT="0" distB="0" distL="0" distR="0" wp14:anchorId="3F936A50" wp14:editId="1562457F">
            <wp:extent cx="6208395" cy="3730625"/>
            <wp:effectExtent l="0" t="0" r="190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 abondance familles virale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BEF" w:rsidRPr="00A04C6F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B6FB" w14:textId="77777777" w:rsidR="00875EC5" w:rsidRDefault="00875EC5" w:rsidP="00117666">
      <w:pPr>
        <w:spacing w:after="0"/>
      </w:pPr>
      <w:r>
        <w:separator/>
      </w:r>
    </w:p>
  </w:endnote>
  <w:endnote w:type="continuationSeparator" w:id="0">
    <w:p w14:paraId="50FA10D5" w14:textId="77777777" w:rsidR="00875EC5" w:rsidRDefault="00875EC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37FB" w14:textId="77777777" w:rsidR="00995F6A" w:rsidRPr="00577C4C" w:rsidRDefault="003C78E9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FADD0" wp14:editId="63CBD5E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4DD5CD" w14:textId="77777777" w:rsidR="00995F6A" w:rsidRPr="00577C4C" w:rsidRDefault="00C47DF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559B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" filled="f" stroked="f" strokeweight=".5pt">
              <v:path arrowok="t"/>
              <v:textbox style="mso-fit-shape-to-text:t">
                <w:txbxContent>
                  <w:p w:rsidR="00995F6A" w:rsidRPr="00577C4C" w:rsidRDefault="00C47DF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559B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761F" w14:textId="77777777" w:rsidR="00995F6A" w:rsidRPr="00577C4C" w:rsidRDefault="003C78E9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DDB15B5" wp14:editId="78DC791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2C30C0" w14:textId="77777777" w:rsidR="00995F6A" w:rsidRPr="00577C4C" w:rsidRDefault="00C47DF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95F6A" w:rsidRPr="00577C4C" w:rsidRDefault="00C47DF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64DA" w14:textId="77777777" w:rsidR="00875EC5" w:rsidRDefault="00875EC5" w:rsidP="00117666">
      <w:pPr>
        <w:spacing w:after="0"/>
      </w:pPr>
      <w:r>
        <w:separator/>
      </w:r>
    </w:p>
  </w:footnote>
  <w:footnote w:type="continuationSeparator" w:id="0">
    <w:p w14:paraId="2F5C2686" w14:textId="77777777" w:rsidR="00875EC5" w:rsidRDefault="00875EC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8CA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CAC8" w14:textId="77777777" w:rsidR="00995F6A" w:rsidRDefault="0093429D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 wp14:anchorId="3D1EA4B3" wp14:editId="5BA1412A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90F3E"/>
    <w:rsid w:val="000957CE"/>
    <w:rsid w:val="000D0D0E"/>
    <w:rsid w:val="000F4E3C"/>
    <w:rsid w:val="00105FD9"/>
    <w:rsid w:val="00117666"/>
    <w:rsid w:val="001549D3"/>
    <w:rsid w:val="00160065"/>
    <w:rsid w:val="00174F82"/>
    <w:rsid w:val="00177D84"/>
    <w:rsid w:val="001928A9"/>
    <w:rsid w:val="00194D34"/>
    <w:rsid w:val="001A056F"/>
    <w:rsid w:val="00200BB9"/>
    <w:rsid w:val="00241917"/>
    <w:rsid w:val="00267D18"/>
    <w:rsid w:val="002714B4"/>
    <w:rsid w:val="00274347"/>
    <w:rsid w:val="002868E2"/>
    <w:rsid w:val="002869C3"/>
    <w:rsid w:val="002936E4"/>
    <w:rsid w:val="00293BEF"/>
    <w:rsid w:val="002B4A57"/>
    <w:rsid w:val="002C74CA"/>
    <w:rsid w:val="003123F4"/>
    <w:rsid w:val="003544FB"/>
    <w:rsid w:val="0038009E"/>
    <w:rsid w:val="003C78E9"/>
    <w:rsid w:val="003D2F2D"/>
    <w:rsid w:val="00401590"/>
    <w:rsid w:val="00447801"/>
    <w:rsid w:val="00452E9C"/>
    <w:rsid w:val="004735C8"/>
    <w:rsid w:val="004947A6"/>
    <w:rsid w:val="004961FF"/>
    <w:rsid w:val="004B6D38"/>
    <w:rsid w:val="004C71EB"/>
    <w:rsid w:val="004E0649"/>
    <w:rsid w:val="00517A89"/>
    <w:rsid w:val="005250F2"/>
    <w:rsid w:val="00526A7A"/>
    <w:rsid w:val="00527532"/>
    <w:rsid w:val="00545360"/>
    <w:rsid w:val="00593EEA"/>
    <w:rsid w:val="005A5EEE"/>
    <w:rsid w:val="005B030B"/>
    <w:rsid w:val="005C1052"/>
    <w:rsid w:val="005F21DA"/>
    <w:rsid w:val="006375C7"/>
    <w:rsid w:val="00654E8F"/>
    <w:rsid w:val="00660D05"/>
    <w:rsid w:val="00674F55"/>
    <w:rsid w:val="006820B1"/>
    <w:rsid w:val="00684EB8"/>
    <w:rsid w:val="006B7D14"/>
    <w:rsid w:val="00701727"/>
    <w:rsid w:val="0070566C"/>
    <w:rsid w:val="00714C50"/>
    <w:rsid w:val="00725A7D"/>
    <w:rsid w:val="007501BE"/>
    <w:rsid w:val="007559B4"/>
    <w:rsid w:val="00790BB3"/>
    <w:rsid w:val="007B7AB2"/>
    <w:rsid w:val="007C206C"/>
    <w:rsid w:val="0080321B"/>
    <w:rsid w:val="00817DD6"/>
    <w:rsid w:val="0083759F"/>
    <w:rsid w:val="00854903"/>
    <w:rsid w:val="008654A3"/>
    <w:rsid w:val="00875EC5"/>
    <w:rsid w:val="00880202"/>
    <w:rsid w:val="00885156"/>
    <w:rsid w:val="008F1ED0"/>
    <w:rsid w:val="00905C9F"/>
    <w:rsid w:val="009100A5"/>
    <w:rsid w:val="009151AA"/>
    <w:rsid w:val="00920041"/>
    <w:rsid w:val="0093429D"/>
    <w:rsid w:val="00943573"/>
    <w:rsid w:val="00964134"/>
    <w:rsid w:val="00964671"/>
    <w:rsid w:val="00970F7D"/>
    <w:rsid w:val="00972980"/>
    <w:rsid w:val="00994A3D"/>
    <w:rsid w:val="009C2B12"/>
    <w:rsid w:val="009C3ED4"/>
    <w:rsid w:val="009E6CF2"/>
    <w:rsid w:val="00A04C6F"/>
    <w:rsid w:val="00A174D9"/>
    <w:rsid w:val="00A50CA5"/>
    <w:rsid w:val="00A8556A"/>
    <w:rsid w:val="00AA4D24"/>
    <w:rsid w:val="00AB6715"/>
    <w:rsid w:val="00AB6DDD"/>
    <w:rsid w:val="00B00FF5"/>
    <w:rsid w:val="00B1671E"/>
    <w:rsid w:val="00B23D5C"/>
    <w:rsid w:val="00B25EB8"/>
    <w:rsid w:val="00B27FBF"/>
    <w:rsid w:val="00B37F4D"/>
    <w:rsid w:val="00C001FB"/>
    <w:rsid w:val="00C47DFF"/>
    <w:rsid w:val="00C52A7B"/>
    <w:rsid w:val="00C55584"/>
    <w:rsid w:val="00C56BAF"/>
    <w:rsid w:val="00C679AA"/>
    <w:rsid w:val="00C75972"/>
    <w:rsid w:val="00C95258"/>
    <w:rsid w:val="00CD066B"/>
    <w:rsid w:val="00CE4FEE"/>
    <w:rsid w:val="00D060CF"/>
    <w:rsid w:val="00DA5702"/>
    <w:rsid w:val="00DB59C3"/>
    <w:rsid w:val="00DC259A"/>
    <w:rsid w:val="00DE23E8"/>
    <w:rsid w:val="00E41FE6"/>
    <w:rsid w:val="00E52377"/>
    <w:rsid w:val="00E537AD"/>
    <w:rsid w:val="00E55387"/>
    <w:rsid w:val="00E64E17"/>
    <w:rsid w:val="00E65AED"/>
    <w:rsid w:val="00E76DFF"/>
    <w:rsid w:val="00E866C9"/>
    <w:rsid w:val="00E95289"/>
    <w:rsid w:val="00EA20E8"/>
    <w:rsid w:val="00EA3D3C"/>
    <w:rsid w:val="00EA3E86"/>
    <w:rsid w:val="00EC090A"/>
    <w:rsid w:val="00ED20B5"/>
    <w:rsid w:val="00EF0929"/>
    <w:rsid w:val="00F118D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DB54F"/>
  <w15:docId w15:val="{7F6A5C29-C260-4DEE-A246-677D7A3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38D73A-D74E-4F85-B04C-C438726F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Sean Thompson</cp:lastModifiedBy>
  <cp:revision>2</cp:revision>
  <cp:lastPrinted>2013-10-03T12:51:00Z</cp:lastPrinted>
  <dcterms:created xsi:type="dcterms:W3CDTF">2019-09-30T09:03:00Z</dcterms:created>
  <dcterms:modified xsi:type="dcterms:W3CDTF">2019-09-30T09:03:00Z</dcterms:modified>
</cp:coreProperties>
</file>