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AA2CE9" w:rsidRDefault="00654E8F" w:rsidP="0006517A">
      <w:pPr>
        <w:pStyle w:val="SupplementaryMaterial"/>
        <w:spacing w:before="0" w:after="0"/>
        <w:rPr>
          <w:b w:val="0"/>
        </w:rPr>
      </w:pPr>
      <w:r w:rsidRPr="00AA2CE9">
        <w:t>Supplementary Material</w:t>
      </w:r>
      <w:bookmarkStart w:id="0" w:name="_GoBack"/>
      <w:bookmarkEnd w:id="0"/>
    </w:p>
    <w:p w14:paraId="065BC602" w14:textId="77777777" w:rsidR="00265CCA" w:rsidRPr="00AA2CE9" w:rsidRDefault="00265CCA" w:rsidP="0006517A">
      <w:pPr>
        <w:pStyle w:val="Heading1"/>
        <w:numPr>
          <w:ilvl w:val="0"/>
          <w:numId w:val="0"/>
        </w:numPr>
        <w:spacing w:before="0" w:after="0"/>
        <w:ind w:left="567" w:hanging="567"/>
      </w:pPr>
    </w:p>
    <w:p w14:paraId="55DC14A1" w14:textId="0D2439BE" w:rsidR="00265CCA" w:rsidRPr="00AA2CE9" w:rsidRDefault="00265CCA" w:rsidP="0006517A">
      <w:pPr>
        <w:pStyle w:val="Heading1"/>
        <w:numPr>
          <w:ilvl w:val="0"/>
          <w:numId w:val="0"/>
        </w:numPr>
        <w:spacing w:before="0" w:after="0"/>
        <w:ind w:left="567" w:hanging="567"/>
      </w:pPr>
      <w:r w:rsidRPr="00AA2CE9">
        <w:t>Supplementary Figures</w:t>
      </w:r>
    </w:p>
    <w:p w14:paraId="181243C2" w14:textId="77777777" w:rsidR="00D729B3" w:rsidRPr="00AA2CE9" w:rsidRDefault="00265CCA" w:rsidP="00D729B3">
      <w:pPr>
        <w:keepNext/>
      </w:pPr>
      <w:r w:rsidRPr="00AA2CE9">
        <w:rPr>
          <w:noProof/>
        </w:rPr>
        <w:drawing>
          <wp:inline distT="0" distB="0" distL="0" distR="0" wp14:anchorId="1EDC317C" wp14:editId="7004775F">
            <wp:extent cx="6198097" cy="4626245"/>
            <wp:effectExtent l="19050" t="19050" r="1270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36" cy="46355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C7E432" w14:textId="317FCDBB" w:rsidR="00265CCA" w:rsidRPr="00AA2CE9" w:rsidRDefault="00D729B3" w:rsidP="0068080F">
      <w:pPr>
        <w:autoSpaceDE w:val="0"/>
        <w:autoSpaceDN w:val="0"/>
        <w:adjustRightInd w:val="0"/>
        <w:spacing w:before="0" w:after="0"/>
        <w:contextualSpacing/>
        <w:rPr>
          <w:rFonts w:cs="Times New Roman"/>
          <w:szCs w:val="24"/>
        </w:rPr>
      </w:pPr>
      <w:r w:rsidRPr="00AA2CE9">
        <w:rPr>
          <w:b/>
        </w:rPr>
        <w:t>Figure S</w:t>
      </w:r>
      <w:r w:rsidRPr="00AA2CE9">
        <w:rPr>
          <w:b/>
        </w:rPr>
        <w:fldChar w:fldCharType="begin"/>
      </w:r>
      <w:r w:rsidRPr="00AA2CE9">
        <w:rPr>
          <w:b/>
        </w:rPr>
        <w:instrText xml:space="preserve"> SEQ Figure \* ARABIC </w:instrText>
      </w:r>
      <w:r w:rsidRPr="00AA2CE9">
        <w:rPr>
          <w:b/>
        </w:rPr>
        <w:fldChar w:fldCharType="separate"/>
      </w:r>
      <w:r w:rsidRPr="00AA2CE9">
        <w:rPr>
          <w:b/>
          <w:noProof/>
        </w:rPr>
        <w:t>1</w:t>
      </w:r>
      <w:r w:rsidRPr="00AA2CE9">
        <w:rPr>
          <w:b/>
        </w:rPr>
        <w:fldChar w:fldCharType="end"/>
      </w:r>
      <w:r w:rsidRPr="00AA2CE9">
        <w:rPr>
          <w:b/>
        </w:rPr>
        <w:t>:</w:t>
      </w:r>
      <w:r w:rsidRPr="00AA2CE9">
        <w:t xml:space="preserve"> </w:t>
      </w:r>
      <w:r w:rsidR="0068080F" w:rsidRPr="00AA2CE9">
        <w:t xml:space="preserve">Experimental design of the long-term field climate change project established in 2008 at the UK Spindletop research farm in Lexington, KY. </w:t>
      </w:r>
      <w:r w:rsidR="0068080F" w:rsidRPr="00AA2CE9">
        <w:rPr>
          <w:rFonts w:cs="Times New Roman"/>
          <w:szCs w:val="24"/>
        </w:rPr>
        <w:t>Factorial combinations of added heat (H), and added precipitation (P) were applied to hexagonal, 5.8 m</w:t>
      </w:r>
      <w:r w:rsidR="0068080F" w:rsidRPr="00AA2CE9">
        <w:rPr>
          <w:rFonts w:cs="Times New Roman"/>
          <w:szCs w:val="24"/>
          <w:vertAlign w:val="superscript"/>
        </w:rPr>
        <w:t>2</w:t>
      </w:r>
      <w:r w:rsidR="0068080F" w:rsidRPr="00AA2CE9">
        <w:rPr>
          <w:rFonts w:cs="Times New Roman"/>
          <w:sz w:val="16"/>
          <w:szCs w:val="16"/>
        </w:rPr>
        <w:t xml:space="preserve"> </w:t>
      </w:r>
      <w:r w:rsidR="0068080F" w:rsidRPr="00AA2CE9">
        <w:rPr>
          <w:rFonts w:cs="Times New Roman"/>
          <w:szCs w:val="24"/>
        </w:rPr>
        <w:t>plots (C = control/ ambient climate conditions). Cloned pairs of four tall fescue genotypes, where one clone was endophyte-infected (E+) and one clone was endophyte-</w:t>
      </w:r>
      <w:r w:rsidR="0068080F" w:rsidRPr="00AA2CE9">
        <w:rPr>
          <w:rFonts w:eastAsia="TimesNewRomanPSMT" w:cs="Times New Roman"/>
          <w:szCs w:val="24"/>
        </w:rPr>
        <w:t>free (E−) were transplanted into each climate treatment plot in 2011 (n =</w:t>
      </w:r>
      <w:r w:rsidR="0068080F" w:rsidRPr="00AA2CE9">
        <w:rPr>
          <w:rFonts w:cs="Times New Roman"/>
          <w:szCs w:val="24"/>
        </w:rPr>
        <w:t xml:space="preserve"> 8 plants per plot). E+ clones of tall fescue genotypes 14 and 45 contained common toxic endophyte (CTE) strains, whereas E+ clones of tall fescue genotypes 16 and 19 contained non-toxic endophyte (NTE) strains.</w:t>
      </w:r>
      <w:r w:rsidR="0076407F" w:rsidRPr="00AA2CE9">
        <w:rPr>
          <w:rFonts w:cs="Times New Roman"/>
          <w:szCs w:val="24"/>
        </w:rPr>
        <w:t xml:space="preserve"> All four grass-endophyte genotypes </w:t>
      </w:r>
      <w:r w:rsidR="00B472A6" w:rsidRPr="00AA2CE9">
        <w:rPr>
          <w:rFonts w:cs="Times New Roman"/>
          <w:szCs w:val="24"/>
        </w:rPr>
        <w:t>within the transplant area</w:t>
      </w:r>
      <w:r w:rsidR="0076407F" w:rsidRPr="00AA2CE9">
        <w:rPr>
          <w:rFonts w:cs="Times New Roman"/>
          <w:szCs w:val="24"/>
        </w:rPr>
        <w:t>, but only from the mesic climate treatment plots highlighted in red</w:t>
      </w:r>
      <w:r w:rsidR="00B472A6" w:rsidRPr="00AA2CE9">
        <w:rPr>
          <w:rFonts w:cs="Times New Roman"/>
          <w:szCs w:val="24"/>
        </w:rPr>
        <w:t>,</w:t>
      </w:r>
      <w:r w:rsidR="0076407F" w:rsidRPr="00AA2CE9">
        <w:rPr>
          <w:rFonts w:cs="Times New Roman"/>
          <w:szCs w:val="24"/>
        </w:rPr>
        <w:t xml:space="preserve"> were used for analysis in this study.</w:t>
      </w:r>
      <w:r w:rsidR="0068080F" w:rsidRPr="00AA2CE9">
        <w:rPr>
          <w:rFonts w:cs="Times New Roman"/>
          <w:szCs w:val="24"/>
        </w:rPr>
        <w:t xml:space="preserve"> </w:t>
      </w:r>
      <w:r w:rsidR="0068080F" w:rsidRPr="00AA2CE9">
        <w:rPr>
          <w:rFonts w:eastAsia="Times New Roman" w:cs="Times New Roman"/>
          <w:szCs w:val="24"/>
        </w:rPr>
        <w:t xml:space="preserve">Data collected from two grass-endophyte genotypes (specifically </w:t>
      </w:r>
      <w:r w:rsidR="004A03A4" w:rsidRPr="00AA2CE9">
        <w:rPr>
          <w:rFonts w:eastAsia="Times New Roman" w:cs="Times New Roman"/>
          <w:szCs w:val="24"/>
        </w:rPr>
        <w:t>C</w:t>
      </w:r>
      <w:r w:rsidR="0068080F" w:rsidRPr="00AA2CE9">
        <w:rPr>
          <w:rFonts w:eastAsia="Times New Roman" w:cs="Times New Roman"/>
          <w:szCs w:val="24"/>
        </w:rPr>
        <w:t xml:space="preserve"> and </w:t>
      </w:r>
      <w:r w:rsidR="004A03A4" w:rsidRPr="00AA2CE9">
        <w:rPr>
          <w:rFonts w:eastAsia="Times New Roman" w:cs="Times New Roman"/>
          <w:szCs w:val="24"/>
        </w:rPr>
        <w:t>P</w:t>
      </w:r>
      <w:r w:rsidR="0068080F" w:rsidRPr="00AA2CE9">
        <w:rPr>
          <w:rFonts w:eastAsia="Times New Roman" w:cs="Times New Roman"/>
          <w:szCs w:val="24"/>
        </w:rPr>
        <w:t xml:space="preserve"> samples of genotypes CTE45 and NTE19; n=32 samples out of the n=68 analyzed here) that were previously published in Slaughter et al. (2018) were used in the analysis presented in this manuscript. </w:t>
      </w:r>
    </w:p>
    <w:p w14:paraId="4DA6FE70" w14:textId="77777777" w:rsidR="00265CCA" w:rsidRPr="00AA2CE9" w:rsidRDefault="00265CCA" w:rsidP="0068080F">
      <w:pPr>
        <w:spacing w:before="0" w:after="0"/>
        <w:contextualSpacing/>
      </w:pPr>
    </w:p>
    <w:p w14:paraId="2C243880" w14:textId="77777777" w:rsidR="000A78EE" w:rsidRPr="00AA2CE9" w:rsidRDefault="000A78EE" w:rsidP="0068080F">
      <w:pPr>
        <w:spacing w:before="0" w:after="0"/>
        <w:contextualSpacing/>
        <w:rPr>
          <w:rFonts w:eastAsia="Cambria" w:cs="Times New Roman"/>
          <w:b/>
          <w:szCs w:val="24"/>
        </w:rPr>
      </w:pPr>
      <w:r w:rsidRPr="00AA2CE9">
        <w:br w:type="page"/>
      </w:r>
    </w:p>
    <w:p w14:paraId="6D9DE313" w14:textId="24B76ED9" w:rsidR="00FB7218" w:rsidRPr="00AA2CE9" w:rsidRDefault="00654E8F" w:rsidP="00D729B3">
      <w:pPr>
        <w:pStyle w:val="Heading1"/>
        <w:numPr>
          <w:ilvl w:val="0"/>
          <w:numId w:val="0"/>
        </w:numPr>
        <w:spacing w:before="0" w:after="0"/>
        <w:ind w:left="567" w:hanging="567"/>
      </w:pPr>
      <w:r w:rsidRPr="00AA2CE9">
        <w:lastRenderedPageBreak/>
        <w:t xml:space="preserve">Supplementary </w:t>
      </w:r>
      <w:r w:rsidR="00FB7D7B" w:rsidRPr="00AA2CE9">
        <w:t>Tables</w:t>
      </w:r>
    </w:p>
    <w:p w14:paraId="08909BB7" w14:textId="77777777" w:rsidR="00D729B3" w:rsidRPr="00AA2CE9" w:rsidRDefault="00D729B3" w:rsidP="00D729B3"/>
    <w:p w14:paraId="30CC9F76" w14:textId="17C2B52A" w:rsidR="0006517A" w:rsidRPr="00AA2CE9" w:rsidRDefault="0006517A" w:rsidP="0006517A">
      <w:pPr>
        <w:spacing w:before="0" w:after="0"/>
      </w:pPr>
      <w:r w:rsidRPr="00AA2CE9">
        <w:rPr>
          <w:b/>
        </w:rPr>
        <w:t xml:space="preserve">Table S1: </w:t>
      </w:r>
      <w:r w:rsidRPr="00AA2CE9">
        <w:t>Analysis of variance (ANOVA) results for the effects of independent treatment variables on shoot nutrient parameters. Significant p-values (</w:t>
      </w:r>
      <w:r w:rsidRPr="00AA2CE9">
        <w:rPr>
          <w:rFonts w:ascii="Calibri" w:hAnsi="Calibri" w:cs="Calibri"/>
        </w:rPr>
        <w:t>α</w:t>
      </w:r>
      <w:r w:rsidRPr="00AA2CE9">
        <w:t xml:space="preserve"> = 0.05) are denoted with bold type.</w:t>
      </w:r>
    </w:p>
    <w:tbl>
      <w:tblPr>
        <w:tblStyle w:val="TableGrid"/>
        <w:tblW w:w="9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440"/>
        <w:gridCol w:w="1440"/>
        <w:gridCol w:w="1440"/>
      </w:tblGrid>
      <w:tr w:rsidR="00AA2CE9" w:rsidRPr="00AA2CE9" w14:paraId="28D3BB97" w14:textId="77777777" w:rsidTr="0006517A">
        <w:trPr>
          <w:trHeight w:val="406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E3D9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EC8B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Shoot 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47DB8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Shoot 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E381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Shoot C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7AA6F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Shoot N:P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643F0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Shoot C:N</w:t>
            </w:r>
          </w:p>
        </w:tc>
      </w:tr>
      <w:tr w:rsidR="00AA2CE9" w:rsidRPr="00AA2CE9" w14:paraId="2A7E99B2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D0543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Cs/>
                <w:szCs w:val="24"/>
              </w:rPr>
              <w:t>Treatment 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C186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8071E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F2A0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1CFAD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07E0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--</w:t>
            </w:r>
          </w:p>
        </w:tc>
      </w:tr>
      <w:tr w:rsidR="00AA2CE9" w:rsidRPr="00AA2CE9" w14:paraId="0B90178D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B176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A2CE9">
              <w:rPr>
                <w:rFonts w:cs="Times New Roman"/>
                <w:b/>
                <w:bCs/>
                <w:szCs w:val="24"/>
              </w:rPr>
              <w:t>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CDCA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† </w:t>
            </w:r>
            <w:r w:rsidRPr="00AA2CE9">
              <w:rPr>
                <w:rFonts w:cs="Times New Roman"/>
                <w:szCs w:val="24"/>
              </w:rPr>
              <w:t>= 0.05</w:t>
            </w:r>
          </w:p>
          <w:p w14:paraId="5B49A22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0.8385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F51F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1,4 </w:t>
            </w:r>
            <w:r w:rsidRPr="00AA2CE9">
              <w:rPr>
                <w:rFonts w:cs="Times New Roman"/>
                <w:szCs w:val="24"/>
              </w:rPr>
              <w:t>= 3.88</w:t>
            </w:r>
          </w:p>
          <w:p w14:paraId="3C5864B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CC79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0.67</w:t>
            </w:r>
          </w:p>
          <w:p w14:paraId="39213F5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8173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3.18</w:t>
            </w:r>
          </w:p>
          <w:p w14:paraId="3EEF89A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6C8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1,4 </w:t>
            </w:r>
            <w:r w:rsidRPr="00AA2CE9">
              <w:rPr>
                <w:rFonts w:cs="Times New Roman"/>
                <w:szCs w:val="24"/>
              </w:rPr>
              <w:t>= 5.79</w:t>
            </w:r>
          </w:p>
          <w:p w14:paraId="2E2CE66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0.0738</w:t>
            </w:r>
          </w:p>
        </w:tc>
      </w:tr>
      <w:tr w:rsidR="00AA2CE9" w:rsidRPr="00AA2CE9" w14:paraId="776B900D" w14:textId="77777777" w:rsidTr="0006517A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421B0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D2FE3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2CDDE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06C2D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2F2D5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BDAE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61A47B80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24CB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TFtype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C6DEF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1.08</w:t>
            </w:r>
          </w:p>
          <w:p w14:paraId="7965017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5707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F</w:t>
            </w:r>
            <w:r w:rsidRPr="00AA2CE9">
              <w:rPr>
                <w:rFonts w:cs="Times New Roman"/>
                <w:b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b/>
                <w:szCs w:val="24"/>
              </w:rPr>
              <w:t>= 10.93</w:t>
            </w:r>
          </w:p>
          <w:p w14:paraId="0CE78CF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p = 0.0001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7F1D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2.27</w:t>
            </w:r>
          </w:p>
          <w:p w14:paraId="73A5A69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4AE6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F</w:t>
            </w:r>
            <w:r w:rsidRPr="00AA2CE9">
              <w:rPr>
                <w:rFonts w:cs="Times New Roman"/>
                <w:b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b/>
                <w:szCs w:val="24"/>
              </w:rPr>
              <w:t>= 5.06</w:t>
            </w:r>
          </w:p>
          <w:p w14:paraId="29D333B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p = 0.0074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5B0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F</w:t>
            </w:r>
            <w:r w:rsidRPr="00AA2CE9">
              <w:rPr>
                <w:rFonts w:cs="Times New Roman"/>
                <w:b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b/>
                <w:szCs w:val="24"/>
              </w:rPr>
              <w:t>= 17.32</w:t>
            </w:r>
          </w:p>
          <w:p w14:paraId="58D43FE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p &lt;0.0001</w:t>
            </w:r>
          </w:p>
        </w:tc>
      </w:tr>
      <w:tr w:rsidR="00AA2CE9" w:rsidRPr="00AA2CE9" w14:paraId="36715B74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2BDA1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1CB6B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57A26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BD913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37C80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2919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4BC0D44E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E53E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  <w:szCs w:val="24"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56177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1.24</w:t>
            </w:r>
          </w:p>
          <w:p w14:paraId="7D28F3E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312A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3,24 </w:t>
            </w:r>
            <w:r w:rsidRPr="00AA2CE9">
              <w:rPr>
                <w:rFonts w:cs="Times New Roman"/>
                <w:szCs w:val="24"/>
              </w:rPr>
              <w:t>= 0.15</w:t>
            </w:r>
          </w:p>
          <w:p w14:paraId="078E9F9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0.9284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DAD1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0.28</w:t>
            </w:r>
          </w:p>
          <w:p w14:paraId="2737070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0.8386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57B0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0.71</w:t>
            </w:r>
          </w:p>
          <w:p w14:paraId="241E5D9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0.5528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948B7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3,24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0.23</w:t>
            </w:r>
          </w:p>
          <w:p w14:paraId="65676CA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0.8752</w:t>
            </w:r>
          </w:p>
        </w:tc>
      </w:tr>
      <w:tr w:rsidR="00AA2CE9" w:rsidRPr="00AA2CE9" w14:paraId="29B29672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D9BAA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98EBE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5DB87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38EFA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0EADB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ABD2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4AFD7287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2505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Estatus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09A3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F</w:t>
            </w:r>
            <w:r w:rsidRPr="00AA2CE9">
              <w:rPr>
                <w:rFonts w:cs="Times New Roman"/>
                <w:b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b/>
                <w:szCs w:val="24"/>
              </w:rPr>
              <w:t>= 14.08</w:t>
            </w:r>
          </w:p>
          <w:p w14:paraId="31F8A81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p = 0.0013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6379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0.80</w:t>
            </w:r>
          </w:p>
          <w:p w14:paraId="259FEB5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3F44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0.63</w:t>
            </w:r>
          </w:p>
          <w:p w14:paraId="2F8FC7F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7766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F</w:t>
            </w:r>
            <w:r w:rsidRPr="00AA2CE9">
              <w:rPr>
                <w:rFonts w:cs="Times New Roman"/>
                <w:b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b/>
                <w:szCs w:val="24"/>
              </w:rPr>
              <w:t>= 11.34</w:t>
            </w:r>
          </w:p>
          <w:p w14:paraId="6586EB5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AA2CE9">
              <w:rPr>
                <w:rFonts w:cs="Times New Roman"/>
                <w:b/>
                <w:szCs w:val="24"/>
              </w:rPr>
              <w:t>p = 0.0031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6E3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0.02</w:t>
            </w:r>
          </w:p>
          <w:p w14:paraId="7933958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0.8818</w:t>
            </w:r>
          </w:p>
        </w:tc>
      </w:tr>
      <w:tr w:rsidR="00AA2CE9" w:rsidRPr="00AA2CE9" w14:paraId="0F66FC57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F8E50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39B21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33BCC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9CFDD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80117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A4DA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20DAE609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B517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  <w:szCs w:val="24"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16DD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0.10</w:t>
            </w:r>
          </w:p>
          <w:p w14:paraId="4DFEC34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0.7493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5E77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0.26</w:t>
            </w:r>
          </w:p>
          <w:p w14:paraId="2EDD78F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0.6180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5EF6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0.94</w:t>
            </w:r>
          </w:p>
          <w:p w14:paraId="246CFB5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2D45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1,20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0.90</w:t>
            </w:r>
          </w:p>
          <w:p w14:paraId="15C887C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872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1,20 </w:t>
            </w:r>
            <w:r w:rsidRPr="00AA2CE9">
              <w:rPr>
                <w:rFonts w:cs="Times New Roman"/>
                <w:szCs w:val="24"/>
              </w:rPr>
              <w:t>= 1.48</w:t>
            </w:r>
          </w:p>
          <w:p w14:paraId="4D646DF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0.2383</w:t>
            </w:r>
          </w:p>
        </w:tc>
      </w:tr>
      <w:tr w:rsidR="00AA2CE9" w:rsidRPr="00AA2CE9" w14:paraId="5769F4B7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7AA2F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8886C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64551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E031A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9CBA6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528F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2DEDE8A6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DF63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  <w:szCs w:val="24"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Estatus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C28E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1.09</w:t>
            </w:r>
          </w:p>
          <w:p w14:paraId="0AF9D5E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0.3742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EAF7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3,20 </w:t>
            </w:r>
            <w:r w:rsidRPr="00AA2CE9">
              <w:rPr>
                <w:rFonts w:cs="Times New Roman"/>
                <w:szCs w:val="24"/>
              </w:rPr>
              <w:t>= 0.68</w:t>
            </w:r>
          </w:p>
          <w:p w14:paraId="55ED5D5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0.5717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1A90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0.46</w:t>
            </w:r>
          </w:p>
          <w:p w14:paraId="3C5EE2D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0.7133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01AE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0.23</w:t>
            </w:r>
          </w:p>
          <w:p w14:paraId="13850BD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0.8758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6E4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0.88</w:t>
            </w:r>
          </w:p>
          <w:p w14:paraId="7AA8847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0.4687</w:t>
            </w:r>
          </w:p>
        </w:tc>
      </w:tr>
      <w:tr w:rsidR="00AA2CE9" w:rsidRPr="00AA2CE9" w14:paraId="28924382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2FD0D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29FE8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D6C5C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2E089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CBCCF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579F" w14:textId="77777777" w:rsidR="0006517A" w:rsidRPr="00AA2CE9" w:rsidRDefault="0006517A" w:rsidP="0006517A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A2CE9" w:rsidRPr="00AA2CE9" w14:paraId="3ECCD81E" w14:textId="77777777" w:rsidTr="0006517A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34966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  <w:szCs w:val="24"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  <w:szCs w:val="24"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  <w:szCs w:val="24"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27B1F3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1.00</w:t>
            </w:r>
          </w:p>
          <w:p w14:paraId="1869A8D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7E555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0.42</w:t>
            </w:r>
          </w:p>
          <w:p w14:paraId="119C7DF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0.7375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B9834C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0.84</w:t>
            </w:r>
          </w:p>
          <w:p w14:paraId="592DB94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29530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>3,20</w:t>
            </w:r>
            <w:r w:rsidRPr="00AA2CE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AA2CE9">
              <w:rPr>
                <w:rFonts w:cs="Times New Roman"/>
                <w:szCs w:val="24"/>
              </w:rPr>
              <w:t>= 0.79</w:t>
            </w:r>
          </w:p>
          <w:p w14:paraId="2E62E78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0.5122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599B9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F</w:t>
            </w:r>
            <w:r w:rsidRPr="00AA2CE9">
              <w:rPr>
                <w:rFonts w:cs="Times New Roman"/>
                <w:szCs w:val="24"/>
                <w:vertAlign w:val="subscript"/>
              </w:rPr>
              <w:t xml:space="preserve">3,20 </w:t>
            </w:r>
            <w:r w:rsidRPr="00AA2CE9">
              <w:rPr>
                <w:rFonts w:cs="Times New Roman"/>
                <w:szCs w:val="24"/>
              </w:rPr>
              <w:t>= 0.96</w:t>
            </w:r>
          </w:p>
          <w:p w14:paraId="3FB2860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A2CE9">
              <w:rPr>
                <w:rFonts w:cs="Times New Roman"/>
                <w:szCs w:val="24"/>
              </w:rPr>
              <w:t>p = 0.4308</w:t>
            </w:r>
          </w:p>
        </w:tc>
      </w:tr>
    </w:tbl>
    <w:p w14:paraId="538BD05D" w14:textId="77777777" w:rsidR="0006517A" w:rsidRPr="00AA2CE9" w:rsidRDefault="0006517A" w:rsidP="0006517A">
      <w:pPr>
        <w:pStyle w:val="Caption"/>
        <w:spacing w:before="0" w:after="0"/>
      </w:pPr>
      <w:bookmarkStart w:id="1" w:name="_Toc448148860"/>
      <w:bookmarkStart w:id="2" w:name="_Toc448149068"/>
      <w:bookmarkStart w:id="3" w:name="_Toc448149139"/>
      <w:bookmarkStart w:id="4" w:name="_Toc448150473"/>
      <w:bookmarkStart w:id="5" w:name="_Toc449440738"/>
      <w:bookmarkStart w:id="6" w:name="_Toc449441081"/>
      <w:r w:rsidRPr="00AA2CE9">
        <w:t>†</w:t>
      </w:r>
      <w:r w:rsidRPr="00AA2CE9">
        <w:rPr>
          <w:b w:val="0"/>
        </w:rPr>
        <w:t xml:space="preserve"> Numerator, denominator degrees of freedom</w:t>
      </w:r>
      <w:bookmarkEnd w:id="1"/>
      <w:bookmarkEnd w:id="2"/>
      <w:bookmarkEnd w:id="3"/>
      <w:bookmarkEnd w:id="4"/>
      <w:bookmarkEnd w:id="5"/>
      <w:bookmarkEnd w:id="6"/>
    </w:p>
    <w:p w14:paraId="35C554FB" w14:textId="77777777" w:rsidR="0006517A" w:rsidRPr="00AA2CE9" w:rsidRDefault="0006517A" w:rsidP="0006517A">
      <w:pPr>
        <w:spacing w:before="0" w:after="0"/>
      </w:pPr>
    </w:p>
    <w:p w14:paraId="03BDDA3D" w14:textId="77777777" w:rsidR="0006517A" w:rsidRPr="00AA2CE9" w:rsidRDefault="0006517A">
      <w:pPr>
        <w:spacing w:before="0" w:after="200" w:line="276" w:lineRule="auto"/>
        <w:rPr>
          <w:b/>
        </w:rPr>
      </w:pPr>
      <w:r w:rsidRPr="00AA2CE9">
        <w:rPr>
          <w:b/>
        </w:rPr>
        <w:br w:type="page"/>
      </w:r>
    </w:p>
    <w:p w14:paraId="6E59E8D0" w14:textId="58AD19A6" w:rsidR="0006517A" w:rsidRPr="00AA2CE9" w:rsidRDefault="0006517A" w:rsidP="0006517A">
      <w:pPr>
        <w:spacing w:before="0" w:after="0"/>
      </w:pPr>
      <w:r w:rsidRPr="00AA2CE9">
        <w:rPr>
          <w:b/>
        </w:rPr>
        <w:lastRenderedPageBreak/>
        <w:t>Table S2:</w:t>
      </w:r>
      <w:r w:rsidRPr="00AA2CE9">
        <w:t xml:space="preserve"> Analysis of variance (ANOVA) results for the effects of independent treatment variables on root nutrient parameters. Significant p-values (α = 0.05) are denoted with bold type.</w:t>
      </w: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1440"/>
        <w:gridCol w:w="1440"/>
        <w:gridCol w:w="1440"/>
        <w:gridCol w:w="1584"/>
        <w:gridCol w:w="1440"/>
      </w:tblGrid>
      <w:tr w:rsidR="00AA2CE9" w:rsidRPr="00AA2CE9" w14:paraId="2D4DD47C" w14:textId="77777777" w:rsidTr="0006517A">
        <w:trPr>
          <w:trHeight w:val="407"/>
        </w:trPr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5664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18F3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90915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3A3D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C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508F8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N:P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DDDA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C:N</w:t>
            </w:r>
          </w:p>
        </w:tc>
      </w:tr>
      <w:tr w:rsidR="00AA2CE9" w:rsidRPr="00AA2CE9" w14:paraId="215A2813" w14:textId="77777777" w:rsidTr="0006517A">
        <w:trPr>
          <w:trHeight w:val="325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D6ED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</w:rPr>
              <w:t>Treatment 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2071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8020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41E71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% 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4B011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5E83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--</w:t>
            </w:r>
          </w:p>
        </w:tc>
      </w:tr>
      <w:tr w:rsidR="00AA2CE9" w:rsidRPr="00AA2CE9" w14:paraId="0167CC64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02D2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2141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† </w:t>
            </w:r>
            <w:r w:rsidRPr="00AA2CE9">
              <w:rPr>
                <w:rFonts w:cs="Times New Roman"/>
              </w:rPr>
              <w:t>= 0.26</w:t>
            </w:r>
          </w:p>
          <w:p w14:paraId="541A13D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81C9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0.92</w:t>
            </w:r>
          </w:p>
          <w:p w14:paraId="25EE7007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C90D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0.59</w:t>
            </w:r>
          </w:p>
          <w:p w14:paraId="5F5D48D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0.4837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C05DE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0.74</w:t>
            </w:r>
          </w:p>
          <w:p w14:paraId="26DF8C8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E416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0.03</w:t>
            </w:r>
          </w:p>
          <w:p w14:paraId="48BFCEA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0.8632</w:t>
            </w:r>
          </w:p>
        </w:tc>
      </w:tr>
      <w:tr w:rsidR="00AA2CE9" w:rsidRPr="00AA2CE9" w14:paraId="7BB4705B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8C524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F9B04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AE2D8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D52C2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CB199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5FB3F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775CA5E0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7566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ABDA7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1.26</w:t>
            </w:r>
          </w:p>
          <w:p w14:paraId="2FDAA2C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2C65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1.00</w:t>
            </w:r>
          </w:p>
          <w:p w14:paraId="0C9EE31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B0F9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1.36</w:t>
            </w:r>
          </w:p>
          <w:p w14:paraId="7A1322E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0.2784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FA19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0.54</w:t>
            </w:r>
          </w:p>
          <w:p w14:paraId="7D57AA7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3C4C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3,24</w:t>
            </w:r>
            <w:r w:rsidRPr="00AA2CE9">
              <w:rPr>
                <w:rFonts w:cs="Times New Roman"/>
                <w:b/>
              </w:rPr>
              <w:t xml:space="preserve"> = 9.37</w:t>
            </w:r>
          </w:p>
          <w:p w14:paraId="081060C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0.0003</w:t>
            </w:r>
          </w:p>
        </w:tc>
      </w:tr>
      <w:tr w:rsidR="00AA2CE9" w:rsidRPr="00AA2CE9" w14:paraId="4716AC68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47371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D93A4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5A909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2896C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ED531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5944A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7331C372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0DD3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941D4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0.71</w:t>
            </w:r>
          </w:p>
          <w:p w14:paraId="293384B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6E6C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0.61</w:t>
            </w:r>
          </w:p>
          <w:p w14:paraId="44801DA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EAD2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1.02</w:t>
            </w:r>
          </w:p>
          <w:p w14:paraId="22461D1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0.4014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7E13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0.52</w:t>
            </w:r>
          </w:p>
          <w:p w14:paraId="52E7D93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5E67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0.45</w:t>
            </w:r>
          </w:p>
          <w:p w14:paraId="62E7D70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0.7210</w:t>
            </w:r>
          </w:p>
        </w:tc>
      </w:tr>
      <w:tr w:rsidR="00AA2CE9" w:rsidRPr="00AA2CE9" w14:paraId="2643510C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3CF51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54DA4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03FAD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7CB67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31C7D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8BACE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55F50209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8F586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0106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3.80</w:t>
            </w:r>
          </w:p>
          <w:p w14:paraId="68C27A5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D230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31.64</w:t>
            </w:r>
          </w:p>
          <w:p w14:paraId="49962DF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F50A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30.42</w:t>
            </w:r>
          </w:p>
          <w:p w14:paraId="4676C9C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0.5237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885D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35.46</w:t>
            </w:r>
          </w:p>
          <w:p w14:paraId="6BA3E7D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30A2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30.18</w:t>
            </w:r>
          </w:p>
          <w:p w14:paraId="31A9B0E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0.6748</w:t>
            </w:r>
          </w:p>
        </w:tc>
      </w:tr>
      <w:tr w:rsidR="00AA2CE9" w:rsidRPr="00AA2CE9" w14:paraId="7D183EDC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BE4DE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7EB11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1E3E3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046D7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A9BF9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E484C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3F92D236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0780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A8DE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33.30</w:t>
            </w:r>
          </w:p>
          <w:p w14:paraId="74A3729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0259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30.05</w:t>
            </w:r>
          </w:p>
          <w:p w14:paraId="125EA26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0.8234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99BD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30.79</w:t>
            </w:r>
          </w:p>
          <w:p w14:paraId="612B7C9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0.3841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67FC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30.71</w:t>
            </w:r>
          </w:p>
          <w:p w14:paraId="7D70922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3464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30.82</w:t>
            </w:r>
          </w:p>
          <w:p w14:paraId="2CCC959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0.3748</w:t>
            </w:r>
          </w:p>
        </w:tc>
      </w:tr>
      <w:tr w:rsidR="00AA2CE9" w:rsidRPr="00AA2CE9" w14:paraId="65FD5690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74917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BF1A4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1E4D6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4D1CA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10987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73D09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6A4DA324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EB96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BEEF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2.75</w:t>
            </w:r>
          </w:p>
          <w:p w14:paraId="0B1AB92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D8441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0.01</w:t>
            </w:r>
          </w:p>
          <w:p w14:paraId="220773D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43B8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1.90</w:t>
            </w:r>
          </w:p>
          <w:p w14:paraId="3E9D636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0.1617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AE4F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1.73</w:t>
            </w:r>
          </w:p>
          <w:p w14:paraId="522FD32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4EBDF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3,20</w:t>
            </w:r>
            <w:r w:rsidRPr="00AA2CE9">
              <w:rPr>
                <w:rFonts w:cs="Times New Roman"/>
                <w:b/>
              </w:rPr>
              <w:t xml:space="preserve"> = 3.64</w:t>
            </w:r>
          </w:p>
          <w:p w14:paraId="109975EC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0.0304</w:t>
            </w:r>
          </w:p>
        </w:tc>
      </w:tr>
      <w:tr w:rsidR="00AA2CE9" w:rsidRPr="00AA2CE9" w14:paraId="758BC837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89610" w14:textId="77777777" w:rsidR="0006517A" w:rsidRPr="00AA2CE9" w:rsidRDefault="0006517A" w:rsidP="0006517A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1B291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C147A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A882D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709ED" w14:textId="77777777" w:rsidR="0006517A" w:rsidRPr="00AA2CE9" w:rsidRDefault="0006517A" w:rsidP="0006517A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4B25F" w14:textId="77777777" w:rsidR="0006517A" w:rsidRPr="00AA2CE9" w:rsidRDefault="0006517A" w:rsidP="0006517A">
            <w:pPr>
              <w:spacing w:before="0" w:after="0"/>
              <w:jc w:val="center"/>
            </w:pPr>
          </w:p>
        </w:tc>
      </w:tr>
      <w:tr w:rsidR="00AA2CE9" w:rsidRPr="00AA2CE9" w14:paraId="5B2ACC3A" w14:textId="77777777" w:rsidTr="0006517A"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8CE0CB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987422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0.29</w:t>
            </w:r>
          </w:p>
          <w:p w14:paraId="6CAC1284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0.8309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04F4DD0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0.53</w:t>
            </w:r>
          </w:p>
          <w:p w14:paraId="1D68E1C8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0.6688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AA787E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0.04</w:t>
            </w:r>
          </w:p>
          <w:p w14:paraId="35DD5483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0.9869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FFFE29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0.13</w:t>
            </w:r>
          </w:p>
          <w:p w14:paraId="25C612D5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CD481A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0.73</w:t>
            </w:r>
          </w:p>
          <w:p w14:paraId="7053D54D" w14:textId="77777777" w:rsidR="0006517A" w:rsidRPr="00AA2CE9" w:rsidRDefault="0006517A" w:rsidP="0006517A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0.5472</w:t>
            </w:r>
          </w:p>
        </w:tc>
      </w:tr>
    </w:tbl>
    <w:p w14:paraId="13E9C495" w14:textId="77777777" w:rsidR="0006517A" w:rsidRPr="00AA2CE9" w:rsidRDefault="0006517A" w:rsidP="0006517A">
      <w:pPr>
        <w:pStyle w:val="Caption"/>
        <w:spacing w:before="0" w:after="0"/>
      </w:pPr>
      <w:bookmarkStart w:id="7" w:name="_Toc448148865"/>
      <w:bookmarkStart w:id="8" w:name="_Toc448149073"/>
      <w:bookmarkStart w:id="9" w:name="_Toc448149144"/>
      <w:bookmarkStart w:id="10" w:name="_Toc448150478"/>
      <w:bookmarkStart w:id="11" w:name="_Toc449440743"/>
      <w:bookmarkStart w:id="12" w:name="_Toc449441086"/>
      <w:r w:rsidRPr="00AA2CE9">
        <w:t>†</w:t>
      </w:r>
      <w:r w:rsidRPr="00AA2CE9">
        <w:rPr>
          <w:b w:val="0"/>
        </w:rPr>
        <w:t xml:space="preserve"> Numerator, denominator degrees of freedom</w:t>
      </w:r>
      <w:bookmarkEnd w:id="7"/>
      <w:bookmarkEnd w:id="8"/>
      <w:bookmarkEnd w:id="9"/>
      <w:bookmarkEnd w:id="10"/>
      <w:bookmarkEnd w:id="11"/>
      <w:bookmarkEnd w:id="12"/>
    </w:p>
    <w:p w14:paraId="0A27571B" w14:textId="77777777" w:rsidR="0006517A" w:rsidRPr="00AA2CE9" w:rsidRDefault="0006517A" w:rsidP="0006517A">
      <w:pPr>
        <w:spacing w:before="0" w:after="0"/>
      </w:pPr>
    </w:p>
    <w:p w14:paraId="22456B85" w14:textId="77777777" w:rsidR="0006517A" w:rsidRPr="00AA2CE9" w:rsidRDefault="0006517A" w:rsidP="0006517A">
      <w:pPr>
        <w:pStyle w:val="Caption"/>
        <w:spacing w:before="0" w:after="0"/>
      </w:pPr>
    </w:p>
    <w:p w14:paraId="4CBB00C8" w14:textId="77777777" w:rsidR="0006517A" w:rsidRPr="00AA2CE9" w:rsidRDefault="0006517A" w:rsidP="0006517A">
      <w:pPr>
        <w:spacing w:before="0" w:after="0" w:line="276" w:lineRule="auto"/>
        <w:rPr>
          <w:b/>
        </w:rPr>
      </w:pPr>
      <w:r w:rsidRPr="00AA2CE9">
        <w:rPr>
          <w:b/>
        </w:rPr>
        <w:br w:type="page"/>
      </w:r>
    </w:p>
    <w:p w14:paraId="1F36B641" w14:textId="77777777" w:rsidR="0006517A" w:rsidRPr="00AA2CE9" w:rsidRDefault="0006517A" w:rsidP="0006517A">
      <w:pPr>
        <w:spacing w:before="0" w:after="0"/>
        <w:rPr>
          <w:b/>
        </w:rPr>
        <w:sectPr w:rsidR="0006517A" w:rsidRPr="00AA2CE9" w:rsidSect="0006517A">
          <w:headerReference w:type="even" r:id="rId12"/>
          <w:footerReference w:type="even" r:id="rId13"/>
          <w:footerReference w:type="default" r:id="rId14"/>
          <w:headerReference w:type="first" r:id="rId15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C3A9672" w14:textId="60FE84BA" w:rsidR="0006517A" w:rsidRPr="00AA2CE9" w:rsidRDefault="0006517A" w:rsidP="0006517A">
      <w:pPr>
        <w:spacing w:before="0" w:after="0"/>
      </w:pPr>
      <w:r w:rsidRPr="00AA2CE9">
        <w:rPr>
          <w:b/>
        </w:rPr>
        <w:lastRenderedPageBreak/>
        <w:t>Table S3:</w:t>
      </w:r>
      <w:r w:rsidRPr="00AA2CE9">
        <w:t xml:space="preserve"> Analysis of variance (ANOVA) results for the effects of independent treatment variables on tall fescue biomass and on soil C and N concentrations. Green shoot weights and dead shoot weights were determined by separating total aboveground material (total shoot weight) into live (green) and senesced/dead (brown) portions to record weights for statistical analysis, and then recombined to ball-grind for nutrient analyses. Significant p-values (α = 0.05) are denoted with bold type.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1620"/>
        <w:gridCol w:w="1620"/>
        <w:gridCol w:w="1620"/>
        <w:gridCol w:w="1620"/>
        <w:gridCol w:w="1440"/>
        <w:gridCol w:w="1440"/>
      </w:tblGrid>
      <w:tr w:rsidR="00AA2CE9" w:rsidRPr="00AA2CE9" w14:paraId="2E944F09" w14:textId="77777777" w:rsidTr="007718E3">
        <w:trPr>
          <w:trHeight w:val="401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A780B" w14:textId="15C865F3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C15A9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 weight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67E22A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Total shoot weight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F8C5C3" w14:textId="30B5162E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Root: Shoot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C4324" w14:textId="65BD1C6F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Green shoot weight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88ACC6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Dead shoot weight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8E299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Soil C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F9EA0A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Soil N</w:t>
            </w:r>
          </w:p>
        </w:tc>
      </w:tr>
      <w:tr w:rsidR="00AA2CE9" w:rsidRPr="00AA2CE9" w14:paraId="0E5A6116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8D81A" w14:textId="6C366195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</w:rPr>
              <w:t>Treatment Effect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70A08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g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88B4F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g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FAA9" w14:textId="4ED4D342" w:rsidR="00AB4CE5" w:rsidRPr="00AA2CE9" w:rsidRDefault="007718E3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95043C" w14:textId="3CC791D9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g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01D8E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g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AAD6C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%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ABE418" w14:textId="77777777" w:rsidR="00AB4CE5" w:rsidRPr="00AA2CE9" w:rsidRDefault="00AB4CE5" w:rsidP="0006517A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- % -</w:t>
            </w:r>
          </w:p>
        </w:tc>
      </w:tr>
      <w:tr w:rsidR="00AA2CE9" w:rsidRPr="00AA2CE9" w14:paraId="047B45D0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B3FD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A2CE9">
              <w:rPr>
                <w:rFonts w:cs="Times New Roman"/>
                <w:b/>
                <w:bCs/>
              </w:rPr>
              <w:t>Precip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CF373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† </w:t>
            </w:r>
            <w:r w:rsidRPr="00AA2CE9">
              <w:rPr>
                <w:rFonts w:cs="Times New Roman"/>
              </w:rPr>
              <w:t>= 0.48</w:t>
            </w:r>
          </w:p>
          <w:p w14:paraId="10743C2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54311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0.10</w:t>
            </w:r>
          </w:p>
          <w:p w14:paraId="545AD04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0.7672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EBCC" w14:textId="67E82C3F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2.18</w:t>
            </w:r>
          </w:p>
          <w:p w14:paraId="7D6ACDBD" w14:textId="00E47662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4D2E4" w14:textId="71C71483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0.17</w:t>
            </w:r>
          </w:p>
          <w:p w14:paraId="5D4B36E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0.7019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8690C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0.01</w:t>
            </w:r>
          </w:p>
          <w:p w14:paraId="2A6D70C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D0CA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3.74</w:t>
            </w:r>
          </w:p>
          <w:p w14:paraId="152BA55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283F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1,4</w:t>
            </w:r>
            <w:r w:rsidRPr="00AA2CE9">
              <w:rPr>
                <w:rFonts w:cs="Times New Roman"/>
                <w:vertAlign w:val="superscript"/>
              </w:rPr>
              <w:t xml:space="preserve"> </w:t>
            </w:r>
            <w:r w:rsidRPr="00AA2CE9">
              <w:rPr>
                <w:rFonts w:cs="Times New Roman"/>
              </w:rPr>
              <w:t>= 2.23</w:t>
            </w:r>
          </w:p>
          <w:p w14:paraId="323DB5F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0.2096</w:t>
            </w:r>
          </w:p>
        </w:tc>
      </w:tr>
      <w:tr w:rsidR="00AA2CE9" w:rsidRPr="00AA2CE9" w14:paraId="4B2BB97B" w14:textId="77777777" w:rsidTr="007718E3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31F80F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61379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5A908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D12C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2417E" w14:textId="0563B816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75F01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45DA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A145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73811DD8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7760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7DC48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0.91</w:t>
            </w:r>
          </w:p>
          <w:p w14:paraId="7BCAAC0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60B0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1.52</w:t>
            </w:r>
          </w:p>
          <w:p w14:paraId="1951722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577C" w14:textId="4717CC5D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2.94</w:t>
            </w:r>
          </w:p>
          <w:p w14:paraId="531F9347" w14:textId="6FF15F9A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94B92D" w14:textId="70FA7320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0.75</w:t>
            </w:r>
          </w:p>
          <w:p w14:paraId="3890D4FB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76EA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2.31</w:t>
            </w:r>
          </w:p>
          <w:p w14:paraId="7A6D1C30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F52A0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1.50</w:t>
            </w:r>
          </w:p>
          <w:p w14:paraId="0071A14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458B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1.14</w:t>
            </w:r>
          </w:p>
          <w:p w14:paraId="330C2200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0.353</w:t>
            </w:r>
          </w:p>
        </w:tc>
      </w:tr>
      <w:tr w:rsidR="00AA2CE9" w:rsidRPr="00AA2CE9" w14:paraId="7258E981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2E6BC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A94E2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E9318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B48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DD644" w14:textId="7D61DFFC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19A50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9BDF7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9817A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72C5B762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2DEF1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F9EBE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0.95</w:t>
            </w:r>
          </w:p>
          <w:p w14:paraId="1AE994A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0.4327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9666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1.11</w:t>
            </w:r>
          </w:p>
          <w:p w14:paraId="33DB1DB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B47D" w14:textId="4084F66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1.97</w:t>
            </w:r>
          </w:p>
          <w:p w14:paraId="00BFD632" w14:textId="111396F2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0F6A20" w14:textId="174D04DA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1.41</w:t>
            </w:r>
          </w:p>
          <w:p w14:paraId="02674D1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0.2637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640F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0.20</w:t>
            </w:r>
          </w:p>
          <w:p w14:paraId="1AF6AE4E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0.8941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9B2C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0.34</w:t>
            </w:r>
          </w:p>
          <w:p w14:paraId="319BC72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0.7957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49EC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3,24</w:t>
            </w:r>
            <w:r w:rsidRPr="00AA2CE9">
              <w:rPr>
                <w:rFonts w:cs="Times New Roman"/>
              </w:rPr>
              <w:t xml:space="preserve"> = 0.73</w:t>
            </w:r>
          </w:p>
          <w:p w14:paraId="3DBC102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0.5455</w:t>
            </w:r>
          </w:p>
        </w:tc>
      </w:tr>
      <w:tr w:rsidR="00AA2CE9" w:rsidRPr="00AA2CE9" w14:paraId="476F5B12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9226A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A0112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7CABC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62C8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954CE" w14:textId="5A88FC14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739C2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F6F90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7C7F9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08E4799F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05A38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FFBD0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7.45</w:t>
            </w:r>
          </w:p>
          <w:p w14:paraId="0A4C3F1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E32B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14.03</w:t>
            </w:r>
          </w:p>
          <w:p w14:paraId="638DA2D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5D4B" w14:textId="7B54E7AB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0.98</w:t>
            </w:r>
          </w:p>
          <w:p w14:paraId="6F71D7AC" w14:textId="031D1198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</w:rPr>
              <w:t>p = 0.3333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D5A63" w14:textId="05497DF5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15.49</w:t>
            </w:r>
          </w:p>
          <w:p w14:paraId="547175F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72AB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15.51</w:t>
            </w:r>
          </w:p>
          <w:p w14:paraId="36BEB23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75B2B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1.93</w:t>
            </w:r>
          </w:p>
          <w:p w14:paraId="1701582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F168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3.01</w:t>
            </w:r>
          </w:p>
          <w:p w14:paraId="5730DEE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0.0981</w:t>
            </w:r>
          </w:p>
        </w:tc>
      </w:tr>
      <w:tr w:rsidR="00AA2CE9" w:rsidRPr="00AA2CE9" w14:paraId="01F3AF93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A8E98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D4225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F78FC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917A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11278" w14:textId="7D6BE01C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E64E7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1CD8E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7A00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707344AA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34B41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AE6F1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0.90</w:t>
            </w:r>
          </w:p>
          <w:p w14:paraId="2ECA6C5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C0A32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5.63</w:t>
            </w:r>
          </w:p>
          <w:p w14:paraId="310FF4E9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967F" w14:textId="5E90EB49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4.82</w:t>
            </w:r>
          </w:p>
          <w:p w14:paraId="6CF7436E" w14:textId="625644E8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352D4" w14:textId="3BB6C02D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5.61</w:t>
            </w:r>
          </w:p>
          <w:p w14:paraId="67FD741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0.0281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B97D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1,20</w:t>
            </w:r>
            <w:r w:rsidRPr="00AA2CE9">
              <w:rPr>
                <w:rFonts w:cs="Times New Roman"/>
                <w:b/>
              </w:rPr>
              <w:t xml:space="preserve"> = 4.99</w:t>
            </w:r>
          </w:p>
          <w:p w14:paraId="31DC9B6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35E4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0.00</w:t>
            </w:r>
          </w:p>
          <w:p w14:paraId="6E85435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54BFB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1,20</w:t>
            </w:r>
            <w:r w:rsidRPr="00AA2CE9">
              <w:rPr>
                <w:rFonts w:cs="Times New Roman"/>
              </w:rPr>
              <w:t xml:space="preserve"> = 0.00</w:t>
            </w:r>
          </w:p>
          <w:p w14:paraId="73F09AE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0.9593</w:t>
            </w:r>
          </w:p>
        </w:tc>
      </w:tr>
      <w:tr w:rsidR="00AA2CE9" w:rsidRPr="00AA2CE9" w14:paraId="29C261AA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E292B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E1064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7A7E5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A6EC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0AE52" w14:textId="64E2BEEE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C471E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1471C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19E4A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20F5DED0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98463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8845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1.72</w:t>
            </w:r>
          </w:p>
          <w:p w14:paraId="37899DD3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0.1951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8858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2.27</w:t>
            </w:r>
          </w:p>
          <w:p w14:paraId="6BA7C97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64D7" w14:textId="01B818CC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1.28</w:t>
            </w:r>
          </w:p>
          <w:p w14:paraId="7AFBFE90" w14:textId="349C644C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894E7" w14:textId="11E78C3F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1.67</w:t>
            </w:r>
          </w:p>
          <w:p w14:paraId="5BA51E1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0.2046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0065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3,20</w:t>
            </w:r>
            <w:r w:rsidRPr="00AA2CE9">
              <w:rPr>
                <w:rFonts w:cs="Times New Roman"/>
                <w:b/>
              </w:rPr>
              <w:t xml:space="preserve"> = 5.10</w:t>
            </w:r>
          </w:p>
          <w:p w14:paraId="1280E57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0E61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0.71</w:t>
            </w:r>
          </w:p>
          <w:p w14:paraId="35B7FFF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E340B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0.68</w:t>
            </w:r>
          </w:p>
          <w:p w14:paraId="1F3720E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0.5745</w:t>
            </w:r>
          </w:p>
        </w:tc>
      </w:tr>
      <w:tr w:rsidR="00AA2CE9" w:rsidRPr="00AA2CE9" w14:paraId="39832F15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1A170" w14:textId="77777777" w:rsidR="007718E3" w:rsidRPr="00AA2CE9" w:rsidRDefault="007718E3" w:rsidP="007718E3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B114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3284A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91AB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D61A4" w14:textId="3061C490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7CAB7" w14:textId="77777777" w:rsidR="007718E3" w:rsidRPr="00AA2CE9" w:rsidRDefault="007718E3" w:rsidP="007718E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5884CD" w14:textId="77777777" w:rsidR="007718E3" w:rsidRPr="00AA2CE9" w:rsidRDefault="007718E3" w:rsidP="007718E3">
            <w:pPr>
              <w:spacing w:before="0"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BA0C4" w14:textId="77777777" w:rsidR="007718E3" w:rsidRPr="00AA2CE9" w:rsidRDefault="007718E3" w:rsidP="007718E3">
            <w:pPr>
              <w:spacing w:before="0" w:after="0"/>
              <w:jc w:val="center"/>
            </w:pPr>
          </w:p>
        </w:tc>
      </w:tr>
      <w:tr w:rsidR="00AA2CE9" w:rsidRPr="00AA2CE9" w14:paraId="2B785307" w14:textId="77777777" w:rsidTr="007718E3">
        <w:trPr>
          <w:trHeight w:val="272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B21516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A2CE9">
              <w:rPr>
                <w:rFonts w:cs="Times New Roman"/>
                <w:b/>
                <w:bCs/>
              </w:rPr>
              <w:t>TFtype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</w:t>
            </w:r>
            <w:proofErr w:type="spellStart"/>
            <w:r w:rsidRPr="00AA2CE9">
              <w:rPr>
                <w:rFonts w:cs="Times New Roman"/>
                <w:b/>
                <w:bCs/>
              </w:rPr>
              <w:t>Estatus</w:t>
            </w:r>
            <w:proofErr w:type="spellEnd"/>
            <w:r w:rsidRPr="00AA2CE9">
              <w:rPr>
                <w:rFonts w:cs="Times New Roman"/>
                <w:b/>
                <w:bCs/>
              </w:rPr>
              <w:t xml:space="preserve"> x Precip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DFF2BD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0.81</w:t>
            </w:r>
          </w:p>
          <w:p w14:paraId="44701F57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0.5034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6F2EE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2.90</w:t>
            </w:r>
          </w:p>
          <w:p w14:paraId="70678678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0.0606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C403BE" w14:textId="300D1D00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2.61</w:t>
            </w:r>
          </w:p>
          <w:p w14:paraId="1BCEA88D" w14:textId="609425E5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</w:rPr>
              <w:t>p = 0.0795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E9EA407" w14:textId="76E7204A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F</w:t>
            </w:r>
            <w:r w:rsidRPr="00AA2CE9">
              <w:rPr>
                <w:rFonts w:cs="Times New Roman"/>
                <w:b/>
                <w:vertAlign w:val="subscript"/>
              </w:rPr>
              <w:t>3,20</w:t>
            </w:r>
            <w:r w:rsidRPr="00AA2CE9">
              <w:rPr>
                <w:rFonts w:cs="Times New Roman"/>
                <w:b/>
              </w:rPr>
              <w:t xml:space="preserve"> = 3.25</w:t>
            </w:r>
          </w:p>
          <w:p w14:paraId="370772E4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AA2CE9">
              <w:rPr>
                <w:rFonts w:cs="Times New Roman"/>
                <w:b/>
              </w:rPr>
              <w:t>p = 0.0434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3CF6035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1.23</w:t>
            </w:r>
          </w:p>
          <w:p w14:paraId="35AAA0C1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DE5DB3C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1.12</w:t>
            </w:r>
          </w:p>
          <w:p w14:paraId="261885CF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0.3664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D2172A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F</w:t>
            </w:r>
            <w:r w:rsidRPr="00AA2CE9">
              <w:rPr>
                <w:rFonts w:cs="Times New Roman"/>
                <w:vertAlign w:val="subscript"/>
              </w:rPr>
              <w:t>3,20</w:t>
            </w:r>
            <w:r w:rsidRPr="00AA2CE9">
              <w:rPr>
                <w:rFonts w:cs="Times New Roman"/>
              </w:rPr>
              <w:t xml:space="preserve"> = 1.35</w:t>
            </w:r>
          </w:p>
          <w:p w14:paraId="37CF6C3E" w14:textId="77777777" w:rsidR="007718E3" w:rsidRPr="00AA2CE9" w:rsidRDefault="007718E3" w:rsidP="007718E3">
            <w:pPr>
              <w:spacing w:before="0" w:after="0"/>
              <w:jc w:val="center"/>
              <w:rPr>
                <w:rFonts w:cs="Times New Roman"/>
              </w:rPr>
            </w:pPr>
            <w:r w:rsidRPr="00AA2CE9">
              <w:rPr>
                <w:rFonts w:cs="Times New Roman"/>
              </w:rPr>
              <w:t>p = 0.2862</w:t>
            </w:r>
          </w:p>
        </w:tc>
      </w:tr>
    </w:tbl>
    <w:p w14:paraId="4215F87A" w14:textId="77777777" w:rsidR="0006517A" w:rsidRPr="00AA2CE9" w:rsidRDefault="0006517A" w:rsidP="0006517A">
      <w:pPr>
        <w:pStyle w:val="Caption"/>
        <w:spacing w:before="0" w:after="0"/>
      </w:pPr>
      <w:bookmarkStart w:id="13" w:name="_Toc448148869"/>
      <w:bookmarkStart w:id="14" w:name="_Toc448149077"/>
      <w:bookmarkStart w:id="15" w:name="_Toc448149148"/>
      <w:bookmarkStart w:id="16" w:name="_Toc448150482"/>
      <w:bookmarkStart w:id="17" w:name="_Toc449440747"/>
      <w:bookmarkStart w:id="18" w:name="_Toc449441090"/>
      <w:r w:rsidRPr="00AA2CE9">
        <w:t>†</w:t>
      </w:r>
      <w:r w:rsidRPr="00AA2CE9">
        <w:rPr>
          <w:b w:val="0"/>
        </w:rPr>
        <w:t xml:space="preserve"> Numerator, denominator degrees of freedom</w:t>
      </w:r>
      <w:bookmarkEnd w:id="13"/>
      <w:bookmarkEnd w:id="14"/>
      <w:bookmarkEnd w:id="15"/>
      <w:bookmarkEnd w:id="16"/>
      <w:bookmarkEnd w:id="17"/>
      <w:bookmarkEnd w:id="18"/>
    </w:p>
    <w:p w14:paraId="7B65BC41" w14:textId="77777777" w:rsidR="00DE23E8" w:rsidRPr="00AA2CE9" w:rsidRDefault="00DE23E8" w:rsidP="0006517A">
      <w:pPr>
        <w:spacing w:before="0" w:after="0"/>
      </w:pPr>
    </w:p>
    <w:sectPr w:rsidR="00DE23E8" w:rsidRPr="00AA2CE9" w:rsidSect="0006517A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6235" w14:textId="77777777" w:rsidR="00B1294E" w:rsidRDefault="00B1294E" w:rsidP="00117666">
      <w:pPr>
        <w:spacing w:after="0"/>
      </w:pPr>
      <w:r>
        <w:separator/>
      </w:r>
    </w:p>
  </w:endnote>
  <w:endnote w:type="continuationSeparator" w:id="0">
    <w:p w14:paraId="03453784" w14:textId="77777777" w:rsidR="00B1294E" w:rsidRDefault="00B1294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904677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718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904677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718E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4967BB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718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4967BB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718E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42E1" w14:textId="77777777" w:rsidR="00B1294E" w:rsidRDefault="00B1294E" w:rsidP="00117666">
      <w:pPr>
        <w:spacing w:after="0"/>
      </w:pPr>
      <w:r>
        <w:separator/>
      </w:r>
    </w:p>
  </w:footnote>
  <w:footnote w:type="continuationSeparator" w:id="0">
    <w:p w14:paraId="29F5762A" w14:textId="77777777" w:rsidR="00B1294E" w:rsidRDefault="00B1294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6517A"/>
    <w:rsid w:val="00073DC7"/>
    <w:rsid w:val="00077D53"/>
    <w:rsid w:val="000A78EE"/>
    <w:rsid w:val="00105FD9"/>
    <w:rsid w:val="00117666"/>
    <w:rsid w:val="001549D3"/>
    <w:rsid w:val="00160065"/>
    <w:rsid w:val="00177D84"/>
    <w:rsid w:val="0020120A"/>
    <w:rsid w:val="00265CCA"/>
    <w:rsid w:val="00267D18"/>
    <w:rsid w:val="00272FDA"/>
    <w:rsid w:val="00274347"/>
    <w:rsid w:val="002868E2"/>
    <w:rsid w:val="002869C3"/>
    <w:rsid w:val="002936E4"/>
    <w:rsid w:val="002B4A57"/>
    <w:rsid w:val="002C74CA"/>
    <w:rsid w:val="003123F4"/>
    <w:rsid w:val="00351261"/>
    <w:rsid w:val="003544FB"/>
    <w:rsid w:val="003D2F2D"/>
    <w:rsid w:val="00401590"/>
    <w:rsid w:val="00423261"/>
    <w:rsid w:val="00447801"/>
    <w:rsid w:val="00452E9C"/>
    <w:rsid w:val="004735C8"/>
    <w:rsid w:val="004947A6"/>
    <w:rsid w:val="004961FF"/>
    <w:rsid w:val="004A03A4"/>
    <w:rsid w:val="004F48AC"/>
    <w:rsid w:val="00517A89"/>
    <w:rsid w:val="005250F2"/>
    <w:rsid w:val="00531B85"/>
    <w:rsid w:val="005913F0"/>
    <w:rsid w:val="00593EEA"/>
    <w:rsid w:val="005A5EEE"/>
    <w:rsid w:val="005C3672"/>
    <w:rsid w:val="0062751D"/>
    <w:rsid w:val="00630248"/>
    <w:rsid w:val="006375C7"/>
    <w:rsid w:val="00654E8F"/>
    <w:rsid w:val="00660D05"/>
    <w:rsid w:val="0068080F"/>
    <w:rsid w:val="006820B1"/>
    <w:rsid w:val="006B7D14"/>
    <w:rsid w:val="00701727"/>
    <w:rsid w:val="0070566C"/>
    <w:rsid w:val="00714C50"/>
    <w:rsid w:val="00725A7D"/>
    <w:rsid w:val="007501BE"/>
    <w:rsid w:val="0076407F"/>
    <w:rsid w:val="007718E3"/>
    <w:rsid w:val="00790BB3"/>
    <w:rsid w:val="00796B0A"/>
    <w:rsid w:val="007C206C"/>
    <w:rsid w:val="00817DD6"/>
    <w:rsid w:val="0083759F"/>
    <w:rsid w:val="00885156"/>
    <w:rsid w:val="008E3694"/>
    <w:rsid w:val="009151AA"/>
    <w:rsid w:val="0093429D"/>
    <w:rsid w:val="00943573"/>
    <w:rsid w:val="00964134"/>
    <w:rsid w:val="00970F7D"/>
    <w:rsid w:val="00994A3D"/>
    <w:rsid w:val="009C2B12"/>
    <w:rsid w:val="00A174D9"/>
    <w:rsid w:val="00A43299"/>
    <w:rsid w:val="00AA2CE9"/>
    <w:rsid w:val="00AA4D24"/>
    <w:rsid w:val="00AB4CE5"/>
    <w:rsid w:val="00AB514A"/>
    <w:rsid w:val="00AB6715"/>
    <w:rsid w:val="00AE45CF"/>
    <w:rsid w:val="00B1294E"/>
    <w:rsid w:val="00B1671E"/>
    <w:rsid w:val="00B25EB8"/>
    <w:rsid w:val="00B37F4D"/>
    <w:rsid w:val="00B472A6"/>
    <w:rsid w:val="00B803EA"/>
    <w:rsid w:val="00BD08AD"/>
    <w:rsid w:val="00C52A7B"/>
    <w:rsid w:val="00C56BAF"/>
    <w:rsid w:val="00C679AA"/>
    <w:rsid w:val="00C75972"/>
    <w:rsid w:val="00C81B12"/>
    <w:rsid w:val="00CD066B"/>
    <w:rsid w:val="00CE4FEE"/>
    <w:rsid w:val="00D060CF"/>
    <w:rsid w:val="00D729B3"/>
    <w:rsid w:val="00D8724C"/>
    <w:rsid w:val="00DB59C3"/>
    <w:rsid w:val="00DC259A"/>
    <w:rsid w:val="00DE23E8"/>
    <w:rsid w:val="00DE599D"/>
    <w:rsid w:val="00E52377"/>
    <w:rsid w:val="00E537AD"/>
    <w:rsid w:val="00E64E17"/>
    <w:rsid w:val="00E866C9"/>
    <w:rsid w:val="00EA3D3C"/>
    <w:rsid w:val="00EC090A"/>
    <w:rsid w:val="00ED20B5"/>
    <w:rsid w:val="00EE30F7"/>
    <w:rsid w:val="00F46900"/>
    <w:rsid w:val="00F61D89"/>
    <w:rsid w:val="00FB7218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AD868F6E44D49ABBCA2F9F8DB0525" ma:contentTypeVersion="13" ma:contentTypeDescription="Create a new document." ma:contentTypeScope="" ma:versionID="79a9bc8898b0f06cbb24eb62392426e8">
  <xsd:schema xmlns:xsd="http://www.w3.org/2001/XMLSchema" xmlns:xs="http://www.w3.org/2001/XMLSchema" xmlns:p="http://schemas.microsoft.com/office/2006/metadata/properties" xmlns:ns3="96769820-c88d-4988-8576-b0be0fe9784d" xmlns:ns4="963ba9d3-093c-44bc-b41c-28113abb621b" targetNamespace="http://schemas.microsoft.com/office/2006/metadata/properties" ma:root="true" ma:fieldsID="6dbeea329bb07a3622e4d5c7093826af" ns3:_="" ns4:_="">
    <xsd:import namespace="96769820-c88d-4988-8576-b0be0fe9784d"/>
    <xsd:import namespace="963ba9d3-093c-44bc-b41c-28113abb62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9820-c88d-4988-8576-b0be0fe9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a9d3-093c-44bc-b41c-28113abb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6A99D-8B83-4194-9DEE-72483BD69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69820-c88d-4988-8576-b0be0fe9784d"/>
    <ds:schemaRef ds:uri="963ba9d3-093c-44bc-b41c-28113abb6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DB5AD-3C7E-4462-89C1-AC9E1B612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0988-E90B-4E87-9A85-A463D5406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90529-E028-4F55-9114-0812FCD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4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Slaughter, Lindsey</cp:lastModifiedBy>
  <cp:revision>2</cp:revision>
  <cp:lastPrinted>2013-10-03T12:51:00Z</cp:lastPrinted>
  <dcterms:created xsi:type="dcterms:W3CDTF">2019-10-05T23:15:00Z</dcterms:created>
  <dcterms:modified xsi:type="dcterms:W3CDTF">2019-10-05T23:15:00Z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0x010100089AD868F6E44D49ABBCA2F9F8DB0525</vt:lpwstr>
  </property>
</Properties>
</file>