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bookmarkStart w:id="0" w:name="_GoBack"/>
      <w:bookmarkEnd w:id="0"/>
      <w:r w:rsidRPr="001549D3">
        <w:t>Supplementary Material</w:t>
      </w:r>
    </w:p>
    <w:p w14:paraId="4D059444" w14:textId="5BEC4555" w:rsidR="00994A3D" w:rsidRPr="00994A3D" w:rsidRDefault="00654E8F" w:rsidP="00D202DC">
      <w:pPr>
        <w:pStyle w:val="Heading1"/>
      </w:pPr>
      <w:r w:rsidRPr="00994A3D">
        <w:t>Supplementary Figures and Tables</w:t>
      </w:r>
    </w:p>
    <w:p w14:paraId="5E449FA3" w14:textId="10539E4C" w:rsidR="00D202DC" w:rsidRPr="00D202DC" w:rsidRDefault="00D202DC" w:rsidP="00D202DC">
      <w:pPr>
        <w:pBdr>
          <w:top w:val="nil"/>
          <w:left w:val="nil"/>
          <w:bottom w:val="nil"/>
          <w:right w:val="nil"/>
          <w:between w:val="nil"/>
        </w:pBdr>
        <w:jc w:val="both"/>
        <w:rPr>
          <w:rFonts w:eastAsia="Times New Roman" w:cs="Times New Roman"/>
          <w:color w:val="000000"/>
          <w:szCs w:val="24"/>
        </w:rPr>
      </w:pPr>
      <w:r w:rsidRPr="00D202DC">
        <w:rPr>
          <w:rFonts w:eastAsia="Times New Roman" w:cs="Times New Roman"/>
          <w:noProof/>
          <w:szCs w:val="24"/>
        </w:rPr>
        <w:drawing>
          <wp:inline distT="114300" distB="114300" distL="114300" distR="114300" wp14:anchorId="33DDB32F" wp14:editId="5B2FE1CC">
            <wp:extent cx="2347974" cy="33480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47974" cy="3348038"/>
                    </a:xfrm>
                    <a:prstGeom prst="rect">
                      <a:avLst/>
                    </a:prstGeom>
                    <a:ln/>
                  </pic:spPr>
                </pic:pic>
              </a:graphicData>
            </a:graphic>
          </wp:inline>
        </w:drawing>
      </w:r>
    </w:p>
    <w:p w14:paraId="1A6D63B9" w14:textId="5B3FED2C" w:rsidR="00D202DC" w:rsidRDefault="00D202DC" w:rsidP="00D202DC">
      <w:pPr>
        <w:pBdr>
          <w:top w:val="nil"/>
          <w:left w:val="nil"/>
          <w:bottom w:val="nil"/>
          <w:right w:val="nil"/>
          <w:between w:val="nil"/>
        </w:pBdr>
        <w:jc w:val="both"/>
        <w:rPr>
          <w:rFonts w:eastAsia="Times New Roman" w:cs="Times New Roman"/>
          <w:color w:val="000000"/>
          <w:szCs w:val="24"/>
        </w:rPr>
      </w:pPr>
      <w:r w:rsidRPr="00D202DC">
        <w:rPr>
          <w:rFonts w:eastAsia="Times New Roman" w:cs="Times New Roman"/>
          <w:b/>
          <w:color w:val="000000"/>
          <w:szCs w:val="24"/>
        </w:rPr>
        <w:t>S</w:t>
      </w:r>
      <w:r>
        <w:rPr>
          <w:rFonts w:eastAsia="Times New Roman" w:cs="Times New Roman"/>
          <w:b/>
          <w:color w:val="000000"/>
          <w:szCs w:val="24"/>
        </w:rPr>
        <w:t>upplemental Figure 1</w:t>
      </w:r>
      <w:r>
        <w:rPr>
          <w:rFonts w:eastAsia="Times New Roman" w:cs="Times New Roman"/>
          <w:color w:val="000000"/>
          <w:szCs w:val="24"/>
        </w:rPr>
        <w:t>: Inclusion flowchart. The final data set used in training and testing constitutes 9,486 examples, of which 101 (1.06%) are labeled as severely septic.</w:t>
      </w:r>
    </w:p>
    <w:p w14:paraId="337C3194" w14:textId="77777777" w:rsidR="00D202DC" w:rsidRPr="00D202DC" w:rsidRDefault="00D202DC" w:rsidP="00D202DC">
      <w:pPr>
        <w:pBdr>
          <w:top w:val="nil"/>
          <w:left w:val="nil"/>
          <w:bottom w:val="nil"/>
          <w:right w:val="nil"/>
          <w:between w:val="nil"/>
        </w:pBdr>
        <w:jc w:val="both"/>
        <w:rPr>
          <w:rFonts w:eastAsia="Times New Roman" w:cs="Times New Roman"/>
          <w:color w:val="000000"/>
          <w:szCs w:val="24"/>
        </w:rPr>
      </w:pPr>
    </w:p>
    <w:p w14:paraId="7101F0E4" w14:textId="4BC230B4" w:rsidR="00D202DC" w:rsidRPr="00D202DC" w:rsidRDefault="00D202DC" w:rsidP="00D202DC">
      <w:pPr>
        <w:pBdr>
          <w:top w:val="nil"/>
          <w:left w:val="nil"/>
          <w:bottom w:val="nil"/>
          <w:right w:val="nil"/>
          <w:between w:val="nil"/>
        </w:pBdr>
        <w:jc w:val="both"/>
        <w:rPr>
          <w:rFonts w:eastAsia="Times New Roman" w:cs="Times New Roman"/>
          <w:color w:val="000000"/>
          <w:szCs w:val="24"/>
        </w:rPr>
      </w:pPr>
      <w:r w:rsidRPr="00D202DC">
        <w:rPr>
          <w:rFonts w:eastAsia="Times New Roman" w:cs="Times New Roman"/>
          <w:noProof/>
          <w:color w:val="000000"/>
          <w:szCs w:val="24"/>
        </w:rPr>
        <w:lastRenderedPageBreak/>
        <w:drawing>
          <wp:inline distT="114300" distB="114300" distL="114300" distR="114300" wp14:anchorId="56F63323" wp14:editId="3E14B25C">
            <wp:extent cx="4176713" cy="299542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176713" cy="2995420"/>
                    </a:xfrm>
                    <a:prstGeom prst="rect">
                      <a:avLst/>
                    </a:prstGeom>
                    <a:ln/>
                  </pic:spPr>
                </pic:pic>
              </a:graphicData>
            </a:graphic>
          </wp:inline>
        </w:drawing>
      </w:r>
      <w:r w:rsidRPr="00D202DC">
        <w:rPr>
          <w:rFonts w:eastAsia="Times New Roman" w:cs="Times New Roman"/>
          <w:color w:val="000000"/>
          <w:szCs w:val="24"/>
        </w:rPr>
        <w:br/>
      </w:r>
      <w:r w:rsidRPr="00D202DC">
        <w:rPr>
          <w:rFonts w:eastAsia="Times New Roman" w:cs="Times New Roman"/>
          <w:b/>
          <w:color w:val="000000"/>
          <w:szCs w:val="24"/>
        </w:rPr>
        <w:t xml:space="preserve">Supplemental Figure 2: </w:t>
      </w:r>
      <w:r w:rsidRPr="00D202DC">
        <w:rPr>
          <w:rFonts w:eastAsia="Times New Roman" w:cs="Times New Roman"/>
          <w:color w:val="000000"/>
          <w:szCs w:val="24"/>
        </w:rPr>
        <w:t>Feature importance plot.</w:t>
      </w:r>
      <w:r w:rsidRPr="00D202DC">
        <w:rPr>
          <w:rFonts w:eastAsia="Times New Roman" w:cs="Times New Roman"/>
          <w:b/>
          <w:color w:val="000000"/>
          <w:szCs w:val="24"/>
        </w:rPr>
        <w:t xml:space="preserve"> </w:t>
      </w:r>
      <w:r w:rsidRPr="00D202DC">
        <w:rPr>
          <w:rFonts w:eastAsia="Times New Roman" w:cs="Times New Roman"/>
          <w:color w:val="000000"/>
          <w:szCs w:val="24"/>
        </w:rPr>
        <w:t xml:space="preserve">The importance scores are measures of relative information gain (or equivalently, entropy decrease) and </w:t>
      </w:r>
      <w:r>
        <w:rPr>
          <w:rFonts w:eastAsia="Times New Roman" w:cs="Times New Roman"/>
          <w:color w:val="000000"/>
          <w:szCs w:val="24"/>
        </w:rPr>
        <w:t>are measured during the training of models and averaged across folds. Values presented in this plot are scaled to the maximum importance score for a given prediction time to enable comparison between prediction times.</w:t>
      </w:r>
    </w:p>
    <w:p w14:paraId="728353D6" w14:textId="77777777" w:rsidR="00D202DC" w:rsidRDefault="00D202DC" w:rsidP="00D202DC">
      <w:pPr>
        <w:widowControl w:val="0"/>
        <w:pBdr>
          <w:top w:val="nil"/>
          <w:left w:val="nil"/>
          <w:bottom w:val="nil"/>
          <w:right w:val="nil"/>
          <w:between w:val="nil"/>
        </w:pBdr>
        <w:jc w:val="both"/>
        <w:rPr>
          <w:rFonts w:eastAsia="Times New Roman" w:cs="Times New Roman"/>
          <w:b/>
          <w:szCs w:val="24"/>
        </w:rPr>
      </w:pPr>
    </w:p>
    <w:p w14:paraId="33342012" w14:textId="77777777" w:rsidR="00D202DC" w:rsidRDefault="00D202DC" w:rsidP="00D202DC">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b/>
          <w:color w:val="000000"/>
          <w:szCs w:val="24"/>
        </w:rPr>
        <w:t>Supplemental Table 1:</w:t>
      </w:r>
      <w:r>
        <w:rPr>
          <w:rFonts w:eastAsia="Times New Roman" w:cs="Times New Roman"/>
          <w:color w:val="000000"/>
          <w:szCs w:val="24"/>
        </w:rPr>
        <w:t xml:space="preserve"> Pediatric SIRS (modified from Goldstein et al., 2005), for patient age ranges examined in this study. The SIRS score is the total of the number of the four measurements below that are out-of-range.  In this data set, white counts are reported only as “normal” or “abnormal.”</w:t>
      </w:r>
    </w:p>
    <w:tbl>
      <w:tblPr>
        <w:tblW w:w="8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1485"/>
        <w:gridCol w:w="1545"/>
        <w:gridCol w:w="1455"/>
        <w:gridCol w:w="1425"/>
        <w:gridCol w:w="1755"/>
      </w:tblGrid>
      <w:tr w:rsidR="00D202DC" w14:paraId="3800E7E9" w14:textId="77777777" w:rsidTr="00D87CDA">
        <w:trPr>
          <w:trHeight w:val="420"/>
        </w:trPr>
        <w:tc>
          <w:tcPr>
            <w:tcW w:w="1035" w:type="dxa"/>
            <w:tcBorders>
              <w:top w:val="single" w:sz="12" w:space="0" w:color="000000"/>
              <w:right w:val="single" w:sz="12" w:space="0" w:color="000000"/>
            </w:tcBorders>
            <w:shd w:val="clear" w:color="auto" w:fill="auto"/>
            <w:tcMar>
              <w:top w:w="100" w:type="dxa"/>
              <w:left w:w="100" w:type="dxa"/>
              <w:bottom w:w="100" w:type="dxa"/>
              <w:right w:w="100" w:type="dxa"/>
            </w:tcMar>
          </w:tcPr>
          <w:p w14:paraId="71BF1898"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tc>
        <w:tc>
          <w:tcPr>
            <w:tcW w:w="3030" w:type="dxa"/>
            <w:gridSpan w:val="2"/>
            <w:tcBorders>
              <w:top w:val="single" w:sz="12" w:space="0" w:color="000000"/>
            </w:tcBorders>
            <w:shd w:val="clear" w:color="auto" w:fill="auto"/>
            <w:tcMar>
              <w:top w:w="100" w:type="dxa"/>
              <w:left w:w="100" w:type="dxa"/>
              <w:bottom w:w="100" w:type="dxa"/>
              <w:right w:w="100" w:type="dxa"/>
            </w:tcMar>
          </w:tcPr>
          <w:p w14:paraId="4B1F790D"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Temperature</w:t>
            </w:r>
          </w:p>
        </w:tc>
        <w:tc>
          <w:tcPr>
            <w:tcW w:w="1455" w:type="dxa"/>
            <w:tcBorders>
              <w:top w:val="single" w:sz="12" w:space="0" w:color="000000"/>
            </w:tcBorders>
            <w:shd w:val="clear" w:color="auto" w:fill="auto"/>
            <w:tcMar>
              <w:top w:w="100" w:type="dxa"/>
              <w:left w:w="100" w:type="dxa"/>
              <w:bottom w:w="100" w:type="dxa"/>
              <w:right w:w="100" w:type="dxa"/>
            </w:tcMar>
          </w:tcPr>
          <w:p w14:paraId="1173CF0D"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Heart Rate</w:t>
            </w:r>
          </w:p>
        </w:tc>
        <w:tc>
          <w:tcPr>
            <w:tcW w:w="1425" w:type="dxa"/>
            <w:tcBorders>
              <w:top w:val="single" w:sz="12" w:space="0" w:color="000000"/>
            </w:tcBorders>
            <w:shd w:val="clear" w:color="auto" w:fill="auto"/>
            <w:tcMar>
              <w:top w:w="100" w:type="dxa"/>
              <w:left w:w="100" w:type="dxa"/>
              <w:bottom w:w="100" w:type="dxa"/>
              <w:right w:w="100" w:type="dxa"/>
            </w:tcMar>
          </w:tcPr>
          <w:p w14:paraId="22DAEBB5"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Respiration Rate</w:t>
            </w:r>
          </w:p>
        </w:tc>
        <w:tc>
          <w:tcPr>
            <w:tcW w:w="1755" w:type="dxa"/>
            <w:tcBorders>
              <w:top w:val="single" w:sz="12" w:space="0" w:color="000000"/>
            </w:tcBorders>
            <w:shd w:val="clear" w:color="auto" w:fill="auto"/>
            <w:tcMar>
              <w:top w:w="100" w:type="dxa"/>
              <w:left w:w="100" w:type="dxa"/>
              <w:bottom w:w="100" w:type="dxa"/>
              <w:right w:w="100" w:type="dxa"/>
            </w:tcMar>
          </w:tcPr>
          <w:p w14:paraId="43914B41"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White Count</w:t>
            </w:r>
          </w:p>
        </w:tc>
      </w:tr>
      <w:tr w:rsidR="00D202DC" w14:paraId="5373F427" w14:textId="77777777" w:rsidTr="00D87CDA">
        <w:tc>
          <w:tcPr>
            <w:tcW w:w="1035" w:type="dxa"/>
            <w:tcBorders>
              <w:right w:val="single" w:sz="12" w:space="0" w:color="000000"/>
            </w:tcBorders>
            <w:shd w:val="clear" w:color="auto" w:fill="auto"/>
            <w:tcMar>
              <w:top w:w="100" w:type="dxa"/>
              <w:left w:w="100" w:type="dxa"/>
              <w:bottom w:w="100" w:type="dxa"/>
              <w:right w:w="100" w:type="dxa"/>
            </w:tcMar>
          </w:tcPr>
          <w:p w14:paraId="15CDB3AF"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Patient age (y)</w:t>
            </w:r>
          </w:p>
        </w:tc>
        <w:tc>
          <w:tcPr>
            <w:tcW w:w="1485" w:type="dxa"/>
            <w:shd w:val="clear" w:color="auto" w:fill="auto"/>
            <w:tcMar>
              <w:top w:w="100" w:type="dxa"/>
              <w:left w:w="100" w:type="dxa"/>
              <w:bottom w:w="100" w:type="dxa"/>
              <w:right w:w="100" w:type="dxa"/>
            </w:tcMar>
          </w:tcPr>
          <w:p w14:paraId="0F72F27B"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(C, low)</w:t>
            </w:r>
          </w:p>
        </w:tc>
        <w:tc>
          <w:tcPr>
            <w:tcW w:w="1545" w:type="dxa"/>
            <w:shd w:val="clear" w:color="auto" w:fill="auto"/>
            <w:tcMar>
              <w:top w:w="100" w:type="dxa"/>
              <w:left w:w="100" w:type="dxa"/>
              <w:bottom w:w="100" w:type="dxa"/>
              <w:right w:w="100" w:type="dxa"/>
            </w:tcMar>
          </w:tcPr>
          <w:p w14:paraId="47CD0B1C"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(C, high)</w:t>
            </w:r>
          </w:p>
        </w:tc>
        <w:tc>
          <w:tcPr>
            <w:tcW w:w="1455" w:type="dxa"/>
            <w:shd w:val="clear" w:color="auto" w:fill="auto"/>
            <w:tcMar>
              <w:top w:w="100" w:type="dxa"/>
              <w:left w:w="100" w:type="dxa"/>
              <w:bottom w:w="100" w:type="dxa"/>
              <w:right w:w="100" w:type="dxa"/>
            </w:tcMar>
          </w:tcPr>
          <w:p w14:paraId="20301461"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Tachycardia (beats/min)</w:t>
            </w:r>
          </w:p>
        </w:tc>
        <w:tc>
          <w:tcPr>
            <w:tcW w:w="1425" w:type="dxa"/>
            <w:shd w:val="clear" w:color="auto" w:fill="auto"/>
            <w:tcMar>
              <w:top w:w="100" w:type="dxa"/>
              <w:left w:w="100" w:type="dxa"/>
              <w:bottom w:w="100" w:type="dxa"/>
              <w:right w:w="100" w:type="dxa"/>
            </w:tcMar>
          </w:tcPr>
          <w:p w14:paraId="6F8A9398"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Tachypnea (breath/min)</w:t>
            </w:r>
          </w:p>
        </w:tc>
        <w:tc>
          <w:tcPr>
            <w:tcW w:w="1755" w:type="dxa"/>
            <w:shd w:val="clear" w:color="auto" w:fill="auto"/>
            <w:tcMar>
              <w:top w:w="100" w:type="dxa"/>
              <w:left w:w="100" w:type="dxa"/>
              <w:bottom w:w="100" w:type="dxa"/>
              <w:right w:w="100" w:type="dxa"/>
            </w:tcMar>
          </w:tcPr>
          <w:p w14:paraId="324D1D90"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tc>
      </w:tr>
      <w:tr w:rsidR="00D202DC" w14:paraId="76ABF9B1" w14:textId="77777777" w:rsidTr="00D87CDA">
        <w:trPr>
          <w:trHeight w:val="420"/>
        </w:trPr>
        <w:tc>
          <w:tcPr>
            <w:tcW w:w="1035" w:type="dxa"/>
            <w:tcBorders>
              <w:right w:val="single" w:sz="12" w:space="0" w:color="000000"/>
            </w:tcBorders>
            <w:shd w:val="clear" w:color="auto" w:fill="auto"/>
            <w:tcMar>
              <w:top w:w="100" w:type="dxa"/>
              <w:left w:w="100" w:type="dxa"/>
              <w:bottom w:w="100" w:type="dxa"/>
              <w:right w:w="100" w:type="dxa"/>
            </w:tcMar>
          </w:tcPr>
          <w:p w14:paraId="226A6A04"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2-5</w:t>
            </w:r>
          </w:p>
        </w:tc>
        <w:tc>
          <w:tcPr>
            <w:tcW w:w="1485" w:type="dxa"/>
            <w:vMerge w:val="restart"/>
            <w:shd w:val="clear" w:color="auto" w:fill="auto"/>
            <w:tcMar>
              <w:top w:w="100" w:type="dxa"/>
              <w:left w:w="100" w:type="dxa"/>
              <w:bottom w:w="100" w:type="dxa"/>
              <w:right w:w="100" w:type="dxa"/>
            </w:tcMar>
          </w:tcPr>
          <w:p w14:paraId="6771D9DE"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p w14:paraId="15BFFF41"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p w14:paraId="01B01FC8"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&lt; 36</w:t>
            </w:r>
          </w:p>
          <w:p w14:paraId="5CBFF3DA"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tc>
        <w:tc>
          <w:tcPr>
            <w:tcW w:w="1545" w:type="dxa"/>
            <w:vMerge w:val="restart"/>
            <w:shd w:val="clear" w:color="auto" w:fill="auto"/>
            <w:tcMar>
              <w:top w:w="100" w:type="dxa"/>
              <w:left w:w="100" w:type="dxa"/>
              <w:bottom w:w="100" w:type="dxa"/>
              <w:right w:w="100" w:type="dxa"/>
            </w:tcMar>
          </w:tcPr>
          <w:p w14:paraId="4AFAD4E1"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p w14:paraId="13C58EB0"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p w14:paraId="1CFFAC57"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38.5</w:t>
            </w:r>
          </w:p>
          <w:p w14:paraId="17833424"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tc>
        <w:tc>
          <w:tcPr>
            <w:tcW w:w="1455" w:type="dxa"/>
            <w:shd w:val="clear" w:color="auto" w:fill="auto"/>
            <w:tcMar>
              <w:top w:w="100" w:type="dxa"/>
              <w:left w:w="100" w:type="dxa"/>
              <w:bottom w:w="100" w:type="dxa"/>
              <w:right w:w="100" w:type="dxa"/>
            </w:tcMar>
          </w:tcPr>
          <w:p w14:paraId="1F73F4D7"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140</w:t>
            </w:r>
          </w:p>
        </w:tc>
        <w:tc>
          <w:tcPr>
            <w:tcW w:w="1425" w:type="dxa"/>
            <w:shd w:val="clear" w:color="auto" w:fill="auto"/>
            <w:tcMar>
              <w:top w:w="100" w:type="dxa"/>
              <w:left w:w="100" w:type="dxa"/>
              <w:bottom w:w="100" w:type="dxa"/>
              <w:right w:w="100" w:type="dxa"/>
            </w:tcMar>
          </w:tcPr>
          <w:p w14:paraId="3E849294"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22</w:t>
            </w:r>
          </w:p>
        </w:tc>
        <w:tc>
          <w:tcPr>
            <w:tcW w:w="1755" w:type="dxa"/>
            <w:vMerge w:val="restart"/>
            <w:shd w:val="clear" w:color="auto" w:fill="auto"/>
            <w:tcMar>
              <w:top w:w="100" w:type="dxa"/>
              <w:left w:w="100" w:type="dxa"/>
              <w:bottom w:w="100" w:type="dxa"/>
              <w:right w:w="100" w:type="dxa"/>
            </w:tcMar>
          </w:tcPr>
          <w:p w14:paraId="7EF813A0"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p>
          <w:p w14:paraId="0E15D57E"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abnormal</w:t>
            </w:r>
          </w:p>
        </w:tc>
      </w:tr>
      <w:tr w:rsidR="00D202DC" w14:paraId="03DA331F" w14:textId="77777777" w:rsidTr="00D87CDA">
        <w:trPr>
          <w:trHeight w:val="420"/>
        </w:trPr>
        <w:tc>
          <w:tcPr>
            <w:tcW w:w="1035" w:type="dxa"/>
            <w:tcBorders>
              <w:right w:val="single" w:sz="12" w:space="0" w:color="000000"/>
            </w:tcBorders>
            <w:shd w:val="clear" w:color="auto" w:fill="auto"/>
            <w:tcMar>
              <w:top w:w="100" w:type="dxa"/>
              <w:left w:w="100" w:type="dxa"/>
              <w:bottom w:w="100" w:type="dxa"/>
              <w:right w:w="100" w:type="dxa"/>
            </w:tcMar>
          </w:tcPr>
          <w:p w14:paraId="3E9700F9"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6-12</w:t>
            </w:r>
          </w:p>
        </w:tc>
        <w:tc>
          <w:tcPr>
            <w:tcW w:w="1485" w:type="dxa"/>
            <w:vMerge/>
            <w:shd w:val="clear" w:color="auto" w:fill="auto"/>
            <w:tcMar>
              <w:top w:w="100" w:type="dxa"/>
              <w:left w:w="100" w:type="dxa"/>
              <w:bottom w:w="100" w:type="dxa"/>
              <w:right w:w="100" w:type="dxa"/>
            </w:tcMar>
          </w:tcPr>
          <w:p w14:paraId="420D2C18"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c>
          <w:tcPr>
            <w:tcW w:w="1545" w:type="dxa"/>
            <w:vMerge/>
            <w:shd w:val="clear" w:color="auto" w:fill="auto"/>
            <w:tcMar>
              <w:top w:w="100" w:type="dxa"/>
              <w:left w:w="100" w:type="dxa"/>
              <w:bottom w:w="100" w:type="dxa"/>
              <w:right w:w="100" w:type="dxa"/>
            </w:tcMar>
          </w:tcPr>
          <w:p w14:paraId="0E61742E"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c>
          <w:tcPr>
            <w:tcW w:w="1455" w:type="dxa"/>
            <w:shd w:val="clear" w:color="auto" w:fill="auto"/>
            <w:tcMar>
              <w:top w:w="100" w:type="dxa"/>
              <w:left w:w="100" w:type="dxa"/>
              <w:bottom w:w="100" w:type="dxa"/>
              <w:right w:w="100" w:type="dxa"/>
            </w:tcMar>
          </w:tcPr>
          <w:p w14:paraId="4BB2CBEC"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130</w:t>
            </w:r>
          </w:p>
        </w:tc>
        <w:tc>
          <w:tcPr>
            <w:tcW w:w="1425" w:type="dxa"/>
            <w:shd w:val="clear" w:color="auto" w:fill="auto"/>
            <w:tcMar>
              <w:top w:w="100" w:type="dxa"/>
              <w:left w:w="100" w:type="dxa"/>
              <w:bottom w:w="100" w:type="dxa"/>
              <w:right w:w="100" w:type="dxa"/>
            </w:tcMar>
          </w:tcPr>
          <w:p w14:paraId="2545F3F4"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18</w:t>
            </w:r>
          </w:p>
        </w:tc>
        <w:tc>
          <w:tcPr>
            <w:tcW w:w="1755" w:type="dxa"/>
            <w:vMerge/>
            <w:shd w:val="clear" w:color="auto" w:fill="auto"/>
            <w:tcMar>
              <w:top w:w="100" w:type="dxa"/>
              <w:left w:w="100" w:type="dxa"/>
              <w:bottom w:w="100" w:type="dxa"/>
              <w:right w:w="100" w:type="dxa"/>
            </w:tcMar>
          </w:tcPr>
          <w:p w14:paraId="07AC9B9B"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r>
      <w:tr w:rsidR="00D202DC" w14:paraId="46330DD0" w14:textId="77777777" w:rsidTr="00D87CDA">
        <w:trPr>
          <w:trHeight w:val="420"/>
        </w:trPr>
        <w:tc>
          <w:tcPr>
            <w:tcW w:w="1035" w:type="dxa"/>
            <w:tcBorders>
              <w:right w:val="single" w:sz="12" w:space="0" w:color="000000"/>
            </w:tcBorders>
            <w:shd w:val="clear" w:color="auto" w:fill="auto"/>
            <w:tcMar>
              <w:top w:w="100" w:type="dxa"/>
              <w:left w:w="100" w:type="dxa"/>
              <w:bottom w:w="100" w:type="dxa"/>
              <w:right w:w="100" w:type="dxa"/>
            </w:tcMar>
          </w:tcPr>
          <w:p w14:paraId="64E7ED5F"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13-17</w:t>
            </w:r>
          </w:p>
        </w:tc>
        <w:tc>
          <w:tcPr>
            <w:tcW w:w="1485" w:type="dxa"/>
            <w:vMerge/>
            <w:shd w:val="clear" w:color="auto" w:fill="auto"/>
            <w:tcMar>
              <w:top w:w="100" w:type="dxa"/>
              <w:left w:w="100" w:type="dxa"/>
              <w:bottom w:w="100" w:type="dxa"/>
              <w:right w:w="100" w:type="dxa"/>
            </w:tcMar>
          </w:tcPr>
          <w:p w14:paraId="308A4FCC"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c>
          <w:tcPr>
            <w:tcW w:w="1545" w:type="dxa"/>
            <w:vMerge/>
            <w:shd w:val="clear" w:color="auto" w:fill="auto"/>
            <w:tcMar>
              <w:top w:w="100" w:type="dxa"/>
              <w:left w:w="100" w:type="dxa"/>
              <w:bottom w:w="100" w:type="dxa"/>
              <w:right w:w="100" w:type="dxa"/>
            </w:tcMar>
          </w:tcPr>
          <w:p w14:paraId="4524095E"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c>
          <w:tcPr>
            <w:tcW w:w="1455" w:type="dxa"/>
            <w:shd w:val="clear" w:color="auto" w:fill="auto"/>
            <w:tcMar>
              <w:top w:w="100" w:type="dxa"/>
              <w:left w:w="100" w:type="dxa"/>
              <w:bottom w:w="100" w:type="dxa"/>
              <w:right w:w="100" w:type="dxa"/>
            </w:tcMar>
          </w:tcPr>
          <w:p w14:paraId="12884733"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110</w:t>
            </w:r>
          </w:p>
        </w:tc>
        <w:tc>
          <w:tcPr>
            <w:tcW w:w="1425" w:type="dxa"/>
            <w:shd w:val="clear" w:color="auto" w:fill="auto"/>
            <w:tcMar>
              <w:top w:w="100" w:type="dxa"/>
              <w:left w:w="100" w:type="dxa"/>
              <w:bottom w:w="100" w:type="dxa"/>
              <w:right w:w="100" w:type="dxa"/>
            </w:tcMar>
          </w:tcPr>
          <w:p w14:paraId="11202029"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&gt; 14</w:t>
            </w:r>
          </w:p>
        </w:tc>
        <w:tc>
          <w:tcPr>
            <w:tcW w:w="1755" w:type="dxa"/>
            <w:vMerge/>
            <w:shd w:val="clear" w:color="auto" w:fill="auto"/>
            <w:tcMar>
              <w:top w:w="100" w:type="dxa"/>
              <w:left w:w="100" w:type="dxa"/>
              <w:bottom w:w="100" w:type="dxa"/>
              <w:right w:w="100" w:type="dxa"/>
            </w:tcMar>
          </w:tcPr>
          <w:p w14:paraId="187E73F4"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p>
        </w:tc>
      </w:tr>
    </w:tbl>
    <w:p w14:paraId="09350C9B" w14:textId="33B4F3FB" w:rsidR="00D202DC" w:rsidRDefault="00D202DC" w:rsidP="00D202DC">
      <w:pPr>
        <w:widowControl w:val="0"/>
        <w:pBdr>
          <w:top w:val="nil"/>
          <w:left w:val="nil"/>
          <w:bottom w:val="nil"/>
          <w:right w:val="nil"/>
          <w:between w:val="nil"/>
        </w:pBdr>
        <w:jc w:val="both"/>
        <w:rPr>
          <w:rFonts w:eastAsia="Times New Roman" w:cs="Times New Roman"/>
          <w:b/>
          <w:szCs w:val="24"/>
        </w:rPr>
      </w:pPr>
    </w:p>
    <w:p w14:paraId="318CB069" w14:textId="77777777" w:rsidR="00D202DC" w:rsidRDefault="00D202DC" w:rsidP="00D202DC">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b/>
          <w:color w:val="000000"/>
          <w:szCs w:val="24"/>
        </w:rPr>
        <w:lastRenderedPageBreak/>
        <w:t>Supplemental Table 2:</w:t>
      </w:r>
      <w:r>
        <w:rPr>
          <w:rFonts w:eastAsia="Times New Roman" w:cs="Times New Roman"/>
          <w:color w:val="000000"/>
          <w:szCs w:val="24"/>
        </w:rPr>
        <w:t xml:space="preserve"> Pediatric Sepsis, Severe Sepsis, and Septic Shock Gold Standard (after Goldstein et al., 2005).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815"/>
        <w:gridCol w:w="6030"/>
      </w:tblGrid>
      <w:tr w:rsidR="00D202DC" w14:paraId="12046304" w14:textId="77777777" w:rsidTr="00D87CDA">
        <w:trPr>
          <w:trHeight w:val="420"/>
        </w:trPr>
        <w:tc>
          <w:tcPr>
            <w:tcW w:w="1515" w:type="dxa"/>
            <w:tcBorders>
              <w:top w:val="single" w:sz="12" w:space="0" w:color="000000"/>
              <w:right w:val="single" w:sz="12" w:space="0" w:color="000000"/>
            </w:tcBorders>
            <w:shd w:val="clear" w:color="auto" w:fill="auto"/>
            <w:tcMar>
              <w:top w:w="100" w:type="dxa"/>
              <w:left w:w="100" w:type="dxa"/>
              <w:bottom w:w="100" w:type="dxa"/>
              <w:right w:w="100" w:type="dxa"/>
            </w:tcMar>
          </w:tcPr>
          <w:p w14:paraId="7D5883BB"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Sepsis</w:t>
            </w:r>
          </w:p>
        </w:tc>
        <w:tc>
          <w:tcPr>
            <w:tcW w:w="7845" w:type="dxa"/>
            <w:gridSpan w:val="2"/>
            <w:tcBorders>
              <w:top w:val="single" w:sz="12" w:space="0" w:color="000000"/>
              <w:left w:val="single" w:sz="12" w:space="0" w:color="000000"/>
            </w:tcBorders>
            <w:shd w:val="clear" w:color="auto" w:fill="auto"/>
            <w:tcMar>
              <w:top w:w="100" w:type="dxa"/>
              <w:left w:w="100" w:type="dxa"/>
              <w:bottom w:w="100" w:type="dxa"/>
              <w:right w:w="100" w:type="dxa"/>
            </w:tcMar>
          </w:tcPr>
          <w:p w14:paraId="47C2AA19" w14:textId="77777777" w:rsidR="00D202DC" w:rsidRPr="00673FB8" w:rsidRDefault="00D202DC" w:rsidP="00D87CDA">
            <w:pPr>
              <w:widowControl w:val="0"/>
              <w:pBdr>
                <w:top w:val="nil"/>
                <w:left w:val="nil"/>
                <w:bottom w:val="nil"/>
                <w:right w:val="nil"/>
                <w:between w:val="nil"/>
              </w:pBdr>
              <w:jc w:val="both"/>
              <w:rPr>
                <w:rFonts w:eastAsia="Times New Roman" w:cs="Times New Roman"/>
                <w:color w:val="000000"/>
                <w:szCs w:val="24"/>
              </w:rPr>
            </w:pPr>
            <w:r w:rsidRPr="00673FB8">
              <w:rPr>
                <w:rFonts w:eastAsia="Gungsuh" w:cs="Times New Roman"/>
                <w:color w:val="000000"/>
                <w:szCs w:val="24"/>
              </w:rPr>
              <w:t>Any ICD-9 code for septicemia, sepsis, severe sepsis, or septic shock, plus a SIRS score of ≥ 2, where at least one of temperature or WBC is abnormal.</w:t>
            </w:r>
          </w:p>
        </w:tc>
      </w:tr>
      <w:tr w:rsidR="00D202DC" w14:paraId="55D25938" w14:textId="77777777" w:rsidTr="00D87CDA">
        <w:trPr>
          <w:trHeight w:val="420"/>
        </w:trPr>
        <w:tc>
          <w:tcPr>
            <w:tcW w:w="1515" w:type="dxa"/>
            <w:tcBorders>
              <w:right w:val="single" w:sz="12" w:space="0" w:color="000000"/>
            </w:tcBorders>
            <w:shd w:val="clear" w:color="auto" w:fill="auto"/>
            <w:tcMar>
              <w:top w:w="100" w:type="dxa"/>
              <w:left w:w="100" w:type="dxa"/>
              <w:bottom w:w="100" w:type="dxa"/>
              <w:right w:w="100" w:type="dxa"/>
            </w:tcMar>
          </w:tcPr>
          <w:p w14:paraId="4D575370"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Severe sepsis</w:t>
            </w:r>
          </w:p>
        </w:tc>
        <w:tc>
          <w:tcPr>
            <w:tcW w:w="1815" w:type="dxa"/>
            <w:tcBorders>
              <w:left w:val="single" w:sz="12" w:space="0" w:color="000000"/>
            </w:tcBorders>
            <w:shd w:val="clear" w:color="auto" w:fill="auto"/>
            <w:tcMar>
              <w:top w:w="100" w:type="dxa"/>
              <w:left w:w="100" w:type="dxa"/>
              <w:bottom w:w="100" w:type="dxa"/>
              <w:right w:w="100" w:type="dxa"/>
            </w:tcMar>
          </w:tcPr>
          <w:p w14:paraId="2A28D85D" w14:textId="77777777" w:rsidR="00D202DC" w:rsidRPr="00673FB8" w:rsidRDefault="00D202DC" w:rsidP="00D87CDA">
            <w:pPr>
              <w:widowControl w:val="0"/>
              <w:pBdr>
                <w:top w:val="nil"/>
                <w:left w:val="nil"/>
                <w:bottom w:val="nil"/>
                <w:right w:val="nil"/>
                <w:between w:val="nil"/>
              </w:pBdr>
              <w:rPr>
                <w:rFonts w:eastAsia="Times New Roman" w:cs="Times New Roman"/>
                <w:color w:val="000000"/>
                <w:szCs w:val="24"/>
              </w:rPr>
            </w:pPr>
            <w:r w:rsidRPr="00673FB8">
              <w:rPr>
                <w:rFonts w:eastAsia="Times New Roman" w:cs="Times New Roman"/>
                <w:color w:val="000000"/>
                <w:szCs w:val="24"/>
              </w:rPr>
              <w:t>Sepsis, plus:</w:t>
            </w:r>
          </w:p>
        </w:tc>
        <w:tc>
          <w:tcPr>
            <w:tcW w:w="6030" w:type="dxa"/>
            <w:shd w:val="clear" w:color="auto" w:fill="auto"/>
            <w:tcMar>
              <w:top w:w="100" w:type="dxa"/>
              <w:left w:w="100" w:type="dxa"/>
              <w:bottom w:w="100" w:type="dxa"/>
              <w:right w:w="100" w:type="dxa"/>
            </w:tcMar>
          </w:tcPr>
          <w:p w14:paraId="7C01381B" w14:textId="77777777" w:rsidR="00D202DC" w:rsidRPr="00673FB8" w:rsidRDefault="00D202DC" w:rsidP="00D87CDA">
            <w:pPr>
              <w:widowControl w:val="0"/>
              <w:pBdr>
                <w:top w:val="nil"/>
                <w:left w:val="nil"/>
                <w:bottom w:val="nil"/>
                <w:right w:val="nil"/>
                <w:between w:val="nil"/>
              </w:pBdr>
              <w:jc w:val="both"/>
              <w:rPr>
                <w:rFonts w:eastAsia="Times New Roman" w:cs="Times New Roman"/>
                <w:color w:val="000000"/>
                <w:szCs w:val="24"/>
              </w:rPr>
            </w:pPr>
            <w:r w:rsidRPr="00673FB8">
              <w:rPr>
                <w:rFonts w:eastAsia="Gungsuh" w:cs="Times New Roman"/>
                <w:color w:val="000000"/>
                <w:szCs w:val="24"/>
              </w:rPr>
              <w:t>Cardiovascular dysfunction, acute respiratory distress syndrome (ARDS), or ≥  2 other organ dysfunctions (respiratory, neurologic, hematologic, renal, hepatic)</w:t>
            </w:r>
          </w:p>
        </w:tc>
      </w:tr>
      <w:tr w:rsidR="00D202DC" w14:paraId="6A086C37" w14:textId="77777777" w:rsidTr="00D87CDA">
        <w:trPr>
          <w:trHeight w:val="420"/>
        </w:trPr>
        <w:tc>
          <w:tcPr>
            <w:tcW w:w="1515" w:type="dxa"/>
            <w:tcBorders>
              <w:right w:val="single" w:sz="12" w:space="0" w:color="000000"/>
            </w:tcBorders>
            <w:shd w:val="clear" w:color="auto" w:fill="auto"/>
            <w:tcMar>
              <w:top w:w="100" w:type="dxa"/>
              <w:left w:w="100" w:type="dxa"/>
              <w:bottom w:w="100" w:type="dxa"/>
              <w:right w:w="100" w:type="dxa"/>
            </w:tcMar>
          </w:tcPr>
          <w:p w14:paraId="01B5AB77"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Septic Shock</w:t>
            </w:r>
          </w:p>
        </w:tc>
        <w:tc>
          <w:tcPr>
            <w:tcW w:w="1815" w:type="dxa"/>
            <w:tcBorders>
              <w:left w:val="single" w:sz="12" w:space="0" w:color="000000"/>
            </w:tcBorders>
            <w:shd w:val="clear" w:color="auto" w:fill="auto"/>
            <w:tcMar>
              <w:top w:w="100" w:type="dxa"/>
              <w:left w:w="100" w:type="dxa"/>
              <w:bottom w:w="100" w:type="dxa"/>
              <w:right w:w="100" w:type="dxa"/>
            </w:tcMar>
          </w:tcPr>
          <w:p w14:paraId="317F99D8" w14:textId="77777777" w:rsidR="00D202DC" w:rsidRDefault="00D202DC" w:rsidP="00D87CDA">
            <w:pPr>
              <w:widowControl w:val="0"/>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Severe</w:t>
            </w:r>
            <w:r>
              <w:rPr>
                <w:rFonts w:eastAsia="Times New Roman" w:cs="Times New Roman"/>
                <w:szCs w:val="24"/>
              </w:rPr>
              <w:t xml:space="preserve"> </w:t>
            </w:r>
            <w:r>
              <w:rPr>
                <w:rFonts w:eastAsia="Times New Roman" w:cs="Times New Roman"/>
                <w:color w:val="000000"/>
                <w:szCs w:val="24"/>
              </w:rPr>
              <w:t xml:space="preserve">sepsis, plus: </w:t>
            </w:r>
          </w:p>
        </w:tc>
        <w:tc>
          <w:tcPr>
            <w:tcW w:w="6030" w:type="dxa"/>
            <w:shd w:val="clear" w:color="auto" w:fill="auto"/>
            <w:tcMar>
              <w:top w:w="100" w:type="dxa"/>
              <w:left w:w="100" w:type="dxa"/>
              <w:bottom w:w="100" w:type="dxa"/>
              <w:right w:w="100" w:type="dxa"/>
            </w:tcMar>
          </w:tcPr>
          <w:p w14:paraId="073DD45B"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Cardiovascular organ dysfunction</w:t>
            </w:r>
          </w:p>
        </w:tc>
      </w:tr>
    </w:tbl>
    <w:p w14:paraId="0456F822" w14:textId="51527C2E" w:rsidR="00D202DC" w:rsidRDefault="00D202DC" w:rsidP="00D202DC">
      <w:pPr>
        <w:pBdr>
          <w:top w:val="nil"/>
          <w:left w:val="nil"/>
          <w:bottom w:val="nil"/>
          <w:right w:val="nil"/>
          <w:between w:val="nil"/>
        </w:pBdr>
        <w:jc w:val="both"/>
        <w:rPr>
          <w:rFonts w:eastAsia="Times New Roman" w:cs="Times New Roman"/>
          <w:color w:val="000000"/>
          <w:szCs w:val="24"/>
        </w:rPr>
      </w:pPr>
    </w:p>
    <w:p w14:paraId="39F80FC2" w14:textId="6370A91F" w:rsidR="00D202DC" w:rsidRDefault="00D202DC" w:rsidP="00A36ADC">
      <w:pPr>
        <w:widowControl w:val="0"/>
        <w:pBdr>
          <w:top w:val="nil"/>
          <w:left w:val="nil"/>
          <w:bottom w:val="nil"/>
          <w:right w:val="nil"/>
          <w:between w:val="nil"/>
        </w:pBdr>
        <w:spacing w:after="0"/>
        <w:jc w:val="both"/>
        <w:rPr>
          <w:rFonts w:eastAsia="Times New Roman" w:cs="Times New Roman"/>
          <w:color w:val="000000"/>
          <w:szCs w:val="24"/>
        </w:rPr>
      </w:pPr>
      <w:r>
        <w:rPr>
          <w:rFonts w:eastAsia="Times New Roman" w:cs="Times New Roman"/>
          <w:b/>
          <w:color w:val="000000"/>
          <w:szCs w:val="24"/>
        </w:rPr>
        <w:t xml:space="preserve">Supplemental Table 3: </w:t>
      </w:r>
      <w:r>
        <w:rPr>
          <w:rFonts w:eastAsia="Times New Roman" w:cs="Times New Roman"/>
          <w:color w:val="000000"/>
          <w:szCs w:val="24"/>
        </w:rPr>
        <w:t>Organ dysfunction criteria (modified from Goldstein et al., 2005).</w:t>
      </w:r>
      <w:r w:rsidR="00A36ADC">
        <w:rPr>
          <w:rFonts w:eastAsia="Times New Roman" w:cs="Times New Roman"/>
          <w:color w:val="000000"/>
          <w:szCs w:val="24"/>
        </w:rPr>
        <w:t xml:space="preserve"> </w:t>
      </w:r>
      <w:r>
        <w:rPr>
          <w:rFonts w:eastAsia="Times New Roman" w:cs="Times New Roman"/>
          <w:color w:val="000000"/>
          <w:szCs w:val="24"/>
        </w:rPr>
        <w:t>*: Substantial modifications required for chart-based implementation. Causal attribution is impossible for fluid-refractory hypotension, and exam components (core-to-peripheral temperature gap and delayed capillary refill) cannot be checked retrospectively.  **: Radiological (bilateral infiltrates) and history components (acute onset and no evidence of left heart failure) unavailable. ***: Substantial modifications required for chart-based implementation. Proven need, causal attribution of FiO</w:t>
      </w:r>
      <w:r>
        <w:rPr>
          <w:rFonts w:eastAsia="Times New Roman" w:cs="Times New Roman"/>
          <w:color w:val="000000"/>
          <w:szCs w:val="24"/>
          <w:vertAlign w:val="subscript"/>
        </w:rPr>
        <w:t>2</w:t>
      </w:r>
      <w:r>
        <w:rPr>
          <w:rFonts w:eastAsia="Times New Roman" w:cs="Times New Roman"/>
          <w:color w:val="000000"/>
          <w:szCs w:val="24"/>
        </w:rPr>
        <w:t xml:space="preserve"> and SpO</w:t>
      </w:r>
      <w:r>
        <w:rPr>
          <w:rFonts w:eastAsia="Times New Roman" w:cs="Times New Roman"/>
          <w:color w:val="000000"/>
          <w:szCs w:val="24"/>
          <w:vertAlign w:val="subscript"/>
        </w:rPr>
        <w:t>2</w:t>
      </w:r>
      <w:r>
        <w:rPr>
          <w:rFonts w:eastAsia="Times New Roman" w:cs="Times New Roman"/>
          <w:color w:val="000000"/>
          <w:szCs w:val="24"/>
        </w:rPr>
        <w:t xml:space="preserve"> relationship, and non-elective nature of mechanical ventilation cannot be assessed retrospectively.</w:t>
      </w: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335"/>
      </w:tblGrid>
      <w:tr w:rsidR="00D202DC" w14:paraId="2FF424E0" w14:textId="77777777" w:rsidTr="00D87CDA">
        <w:tc>
          <w:tcPr>
            <w:tcW w:w="1965" w:type="dxa"/>
            <w:tcBorders>
              <w:top w:val="single" w:sz="12" w:space="0" w:color="000000"/>
              <w:right w:val="single" w:sz="12" w:space="0" w:color="000000"/>
            </w:tcBorders>
            <w:shd w:val="clear" w:color="auto" w:fill="auto"/>
            <w:tcMar>
              <w:top w:w="100" w:type="dxa"/>
              <w:left w:w="100" w:type="dxa"/>
              <w:bottom w:w="100" w:type="dxa"/>
              <w:right w:w="100" w:type="dxa"/>
            </w:tcMar>
          </w:tcPr>
          <w:p w14:paraId="7C815413"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Cardiovascular*</w:t>
            </w:r>
          </w:p>
        </w:tc>
        <w:tc>
          <w:tcPr>
            <w:tcW w:w="7335" w:type="dxa"/>
            <w:tcBorders>
              <w:top w:val="single" w:sz="12" w:space="0" w:color="000000"/>
              <w:left w:val="single" w:sz="12" w:space="0" w:color="000000"/>
            </w:tcBorders>
            <w:shd w:val="clear" w:color="auto" w:fill="auto"/>
            <w:tcMar>
              <w:top w:w="100" w:type="dxa"/>
              <w:left w:w="100" w:type="dxa"/>
              <w:bottom w:w="100" w:type="dxa"/>
              <w:right w:w="100" w:type="dxa"/>
            </w:tcMar>
          </w:tcPr>
          <w:p w14:paraId="08834B80" w14:textId="77777777" w:rsidR="00D202DC" w:rsidRPr="00673FB8" w:rsidRDefault="00D202DC" w:rsidP="00D87CDA">
            <w:pPr>
              <w:widowControl w:val="0"/>
              <w:pBdr>
                <w:top w:val="nil"/>
                <w:left w:val="nil"/>
                <w:bottom w:val="nil"/>
                <w:right w:val="nil"/>
                <w:between w:val="nil"/>
              </w:pBdr>
              <w:jc w:val="both"/>
              <w:rPr>
                <w:rFonts w:eastAsia="Times New Roman" w:cs="Times New Roman"/>
                <w:color w:val="000000"/>
                <w:szCs w:val="24"/>
              </w:rPr>
            </w:pPr>
            <w:r w:rsidRPr="00673FB8">
              <w:rPr>
                <w:rFonts w:eastAsia="Gungsuh" w:cs="Times New Roman"/>
                <w:color w:val="000000"/>
                <w:szCs w:val="24"/>
              </w:rPr>
              <w:t>Delivery of 40 ml/kg/hr of IV fluids during an hour-long period, any of: concurrent Systolic BP &lt; 74, 83, 90 mmHg (for patients 2-5, 6-12, or 13-17); IV dopamine of ≥  5 μg/kg/min; any IV Dobutamine, Epinephrine, or Norepinephrine.</w:t>
            </w:r>
          </w:p>
        </w:tc>
      </w:tr>
      <w:tr w:rsidR="00D202DC" w14:paraId="11437B08"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443761C4"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ARDS**</w:t>
            </w:r>
          </w:p>
        </w:tc>
        <w:tc>
          <w:tcPr>
            <w:tcW w:w="7335" w:type="dxa"/>
            <w:tcBorders>
              <w:left w:val="single" w:sz="12" w:space="0" w:color="000000"/>
            </w:tcBorders>
            <w:shd w:val="clear" w:color="auto" w:fill="auto"/>
            <w:tcMar>
              <w:top w:w="100" w:type="dxa"/>
              <w:left w:w="100" w:type="dxa"/>
              <w:bottom w:w="100" w:type="dxa"/>
              <w:right w:w="100" w:type="dxa"/>
            </w:tcMar>
          </w:tcPr>
          <w:p w14:paraId="1BAE857B"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PaO2/FiO</w:t>
            </w:r>
            <w:r>
              <w:rPr>
                <w:rFonts w:eastAsia="Times New Roman" w:cs="Times New Roman"/>
                <w:color w:val="000000"/>
                <w:szCs w:val="24"/>
                <w:vertAlign w:val="subscript"/>
              </w:rPr>
              <w:t>2</w:t>
            </w:r>
            <w:r>
              <w:rPr>
                <w:rFonts w:eastAsia="Times New Roman" w:cs="Times New Roman"/>
                <w:color w:val="000000"/>
                <w:szCs w:val="24"/>
              </w:rPr>
              <w:t xml:space="preserve"> &lt; 200 mmHg</w:t>
            </w:r>
          </w:p>
        </w:tc>
      </w:tr>
      <w:tr w:rsidR="00D202DC" w14:paraId="0F8E68B2"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64D38FFC"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Respiratory***</w:t>
            </w:r>
          </w:p>
        </w:tc>
        <w:tc>
          <w:tcPr>
            <w:tcW w:w="7335" w:type="dxa"/>
            <w:tcBorders>
              <w:left w:val="single" w:sz="12" w:space="0" w:color="000000"/>
            </w:tcBorders>
            <w:shd w:val="clear" w:color="auto" w:fill="auto"/>
            <w:tcMar>
              <w:top w:w="100" w:type="dxa"/>
              <w:left w:w="100" w:type="dxa"/>
              <w:bottom w:w="100" w:type="dxa"/>
              <w:right w:w="100" w:type="dxa"/>
            </w:tcMar>
          </w:tcPr>
          <w:p w14:paraId="2347AB96"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PaO2/FiO</w:t>
            </w:r>
            <w:r>
              <w:rPr>
                <w:rFonts w:eastAsia="Times New Roman" w:cs="Times New Roman"/>
                <w:color w:val="000000"/>
                <w:szCs w:val="24"/>
                <w:vertAlign w:val="subscript"/>
              </w:rPr>
              <w:t>2</w:t>
            </w:r>
            <w:r>
              <w:rPr>
                <w:rFonts w:eastAsia="Times New Roman" w:cs="Times New Roman"/>
                <w:color w:val="000000"/>
                <w:szCs w:val="24"/>
              </w:rPr>
              <w:t xml:space="preserve"> &lt; 300 mmHg, PaCO</w:t>
            </w:r>
            <w:r>
              <w:rPr>
                <w:rFonts w:eastAsia="Times New Roman" w:cs="Times New Roman"/>
                <w:color w:val="000000"/>
                <w:szCs w:val="24"/>
                <w:vertAlign w:val="subscript"/>
              </w:rPr>
              <w:t>2</w:t>
            </w:r>
            <w:r>
              <w:rPr>
                <w:rFonts w:eastAsia="Times New Roman" w:cs="Times New Roman"/>
                <w:color w:val="000000"/>
                <w:szCs w:val="24"/>
              </w:rPr>
              <w:t xml:space="preserve"> &gt; 65 mmHg, FiO</w:t>
            </w:r>
            <w:r>
              <w:rPr>
                <w:rFonts w:eastAsia="Times New Roman" w:cs="Times New Roman"/>
                <w:color w:val="000000"/>
                <w:szCs w:val="24"/>
                <w:vertAlign w:val="subscript"/>
              </w:rPr>
              <w:t>2</w:t>
            </w:r>
            <w:r>
              <w:rPr>
                <w:rFonts w:ascii="Gungsuh" w:eastAsia="Gungsuh" w:hAnsi="Gungsuh" w:cs="Gungsuh"/>
                <w:color w:val="000000"/>
                <w:szCs w:val="24"/>
              </w:rPr>
              <w:t xml:space="preserve"> ≥  0.50</w:t>
            </w:r>
          </w:p>
        </w:tc>
      </w:tr>
      <w:tr w:rsidR="00D202DC" w14:paraId="24CA6778"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655327EA"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Neurologic</w:t>
            </w:r>
          </w:p>
        </w:tc>
        <w:tc>
          <w:tcPr>
            <w:tcW w:w="7335" w:type="dxa"/>
            <w:tcBorders>
              <w:left w:val="single" w:sz="12" w:space="0" w:color="000000"/>
            </w:tcBorders>
            <w:shd w:val="clear" w:color="auto" w:fill="auto"/>
            <w:tcMar>
              <w:top w:w="100" w:type="dxa"/>
              <w:left w:w="100" w:type="dxa"/>
              <w:bottom w:w="100" w:type="dxa"/>
              <w:right w:w="100" w:type="dxa"/>
            </w:tcMar>
          </w:tcPr>
          <w:p w14:paraId="422F1F23" w14:textId="77777777" w:rsidR="00D202DC" w:rsidRPr="00673FB8" w:rsidRDefault="00D202DC" w:rsidP="00D87CDA">
            <w:pPr>
              <w:widowControl w:val="0"/>
              <w:pBdr>
                <w:top w:val="nil"/>
                <w:left w:val="nil"/>
                <w:bottom w:val="nil"/>
                <w:right w:val="nil"/>
                <w:between w:val="nil"/>
              </w:pBdr>
              <w:jc w:val="both"/>
              <w:rPr>
                <w:rFonts w:eastAsia="Times New Roman" w:cs="Times New Roman"/>
                <w:color w:val="000000"/>
                <w:szCs w:val="24"/>
              </w:rPr>
            </w:pPr>
            <w:r w:rsidRPr="00673FB8">
              <w:rPr>
                <w:rFonts w:eastAsia="Gungsuh" w:cs="Times New Roman"/>
                <w:color w:val="000000"/>
                <w:szCs w:val="24"/>
              </w:rPr>
              <w:t>Glasgow Coma Scale ≤ 11</w:t>
            </w:r>
          </w:p>
        </w:tc>
      </w:tr>
      <w:tr w:rsidR="00D202DC" w14:paraId="5017C59D"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03F033B3"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Hematologic</w:t>
            </w:r>
          </w:p>
        </w:tc>
        <w:tc>
          <w:tcPr>
            <w:tcW w:w="7335" w:type="dxa"/>
            <w:tcBorders>
              <w:left w:val="single" w:sz="12" w:space="0" w:color="000000"/>
            </w:tcBorders>
            <w:shd w:val="clear" w:color="auto" w:fill="auto"/>
            <w:tcMar>
              <w:top w:w="100" w:type="dxa"/>
              <w:left w:w="100" w:type="dxa"/>
              <w:bottom w:w="100" w:type="dxa"/>
              <w:right w:w="100" w:type="dxa"/>
            </w:tcMar>
          </w:tcPr>
          <w:p w14:paraId="30FC09FC"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Platelets “abnormal” or INR “abnormal”</w:t>
            </w:r>
          </w:p>
        </w:tc>
      </w:tr>
      <w:tr w:rsidR="00D202DC" w14:paraId="58A2B1AC"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3B04F34C"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Renal</w:t>
            </w:r>
          </w:p>
        </w:tc>
        <w:tc>
          <w:tcPr>
            <w:tcW w:w="7335" w:type="dxa"/>
            <w:tcBorders>
              <w:left w:val="single" w:sz="12" w:space="0" w:color="000000"/>
            </w:tcBorders>
            <w:shd w:val="clear" w:color="auto" w:fill="auto"/>
            <w:tcMar>
              <w:top w:w="100" w:type="dxa"/>
              <w:left w:w="100" w:type="dxa"/>
              <w:bottom w:w="100" w:type="dxa"/>
              <w:right w:w="100" w:type="dxa"/>
            </w:tcMar>
          </w:tcPr>
          <w:p w14:paraId="47F68D97"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Serum creatinine “abnormal”</w:t>
            </w:r>
          </w:p>
        </w:tc>
      </w:tr>
      <w:tr w:rsidR="00D202DC" w14:paraId="486758C0" w14:textId="77777777" w:rsidTr="00D87CDA">
        <w:tc>
          <w:tcPr>
            <w:tcW w:w="1965" w:type="dxa"/>
            <w:tcBorders>
              <w:right w:val="single" w:sz="12" w:space="0" w:color="000000"/>
            </w:tcBorders>
            <w:shd w:val="clear" w:color="auto" w:fill="auto"/>
            <w:tcMar>
              <w:top w:w="100" w:type="dxa"/>
              <w:left w:w="100" w:type="dxa"/>
              <w:bottom w:w="100" w:type="dxa"/>
              <w:right w:w="100" w:type="dxa"/>
            </w:tcMar>
          </w:tcPr>
          <w:p w14:paraId="7486E8D3"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lastRenderedPageBreak/>
              <w:t>Hepatic</w:t>
            </w:r>
          </w:p>
        </w:tc>
        <w:tc>
          <w:tcPr>
            <w:tcW w:w="7335" w:type="dxa"/>
            <w:tcBorders>
              <w:left w:val="single" w:sz="12" w:space="0" w:color="000000"/>
            </w:tcBorders>
            <w:shd w:val="clear" w:color="auto" w:fill="auto"/>
            <w:tcMar>
              <w:top w:w="100" w:type="dxa"/>
              <w:left w:w="100" w:type="dxa"/>
              <w:bottom w:w="100" w:type="dxa"/>
              <w:right w:w="100" w:type="dxa"/>
            </w:tcMar>
          </w:tcPr>
          <w:p w14:paraId="769EE295" w14:textId="77777777" w:rsidR="00D202DC" w:rsidRDefault="00D202DC" w:rsidP="00D87CDA">
            <w:pPr>
              <w:widowControl w:val="0"/>
              <w:pBdr>
                <w:top w:val="nil"/>
                <w:left w:val="nil"/>
                <w:bottom w:val="nil"/>
                <w:right w:val="nil"/>
                <w:between w:val="nil"/>
              </w:pBdr>
              <w:jc w:val="both"/>
              <w:rPr>
                <w:rFonts w:eastAsia="Times New Roman" w:cs="Times New Roman"/>
                <w:color w:val="000000"/>
                <w:szCs w:val="24"/>
              </w:rPr>
            </w:pPr>
            <w:r>
              <w:rPr>
                <w:rFonts w:eastAsia="Times New Roman" w:cs="Times New Roman"/>
                <w:color w:val="000000"/>
                <w:szCs w:val="24"/>
              </w:rPr>
              <w:t>Alanine transaminase “abnormal” or total bilirubin “abnormal”</w:t>
            </w:r>
          </w:p>
        </w:tc>
      </w:tr>
    </w:tbl>
    <w:p w14:paraId="3FC4A9DF" w14:textId="77777777" w:rsidR="00D202DC" w:rsidRDefault="00D202DC" w:rsidP="00D202DC">
      <w:pPr>
        <w:pBdr>
          <w:top w:val="nil"/>
          <w:left w:val="nil"/>
          <w:bottom w:val="nil"/>
          <w:right w:val="nil"/>
          <w:between w:val="nil"/>
        </w:pBdr>
        <w:jc w:val="both"/>
        <w:rPr>
          <w:rFonts w:eastAsia="Times New Roman" w:cs="Times New Roman"/>
          <w:szCs w:val="24"/>
        </w:rPr>
      </w:pPr>
    </w:p>
    <w:p w14:paraId="76B5ADF8" w14:textId="77777777" w:rsidR="00D202DC" w:rsidRDefault="00D202DC" w:rsidP="00D202DC">
      <w:pPr>
        <w:pBdr>
          <w:top w:val="nil"/>
          <w:left w:val="nil"/>
          <w:bottom w:val="nil"/>
          <w:right w:val="nil"/>
          <w:between w:val="nil"/>
        </w:pBdr>
        <w:jc w:val="both"/>
        <w:rPr>
          <w:rFonts w:eastAsia="Times New Roman" w:cs="Times New Roman"/>
          <w:szCs w:val="24"/>
        </w:rPr>
      </w:pPr>
    </w:p>
    <w:p w14:paraId="55A39B19" w14:textId="5390F8AE" w:rsidR="00D202DC" w:rsidRDefault="00D202DC" w:rsidP="00D202DC">
      <w:pPr>
        <w:spacing w:after="0"/>
        <w:jc w:val="both"/>
        <w:rPr>
          <w:rFonts w:eastAsia="Times New Roman" w:cs="Times New Roman"/>
          <w:szCs w:val="24"/>
        </w:rPr>
      </w:pPr>
      <w:r w:rsidRPr="00D202DC">
        <w:rPr>
          <w:rFonts w:eastAsia="Times New Roman" w:cs="Times New Roman"/>
          <w:b/>
          <w:szCs w:val="24"/>
        </w:rPr>
        <w:t>Supplementary Table 4</w:t>
      </w:r>
      <w:r>
        <w:rPr>
          <w:rFonts w:eastAsia="Times New Roman" w:cs="Times New Roman"/>
          <w:szCs w:val="24"/>
        </w:rPr>
        <w:t xml:space="preserve">.  ICD-9 codes used for “suspected infection” classification. </w:t>
      </w:r>
    </w:p>
    <w:tbl>
      <w:tblPr>
        <w:tblW w:w="4545" w:type="dxa"/>
        <w:tblBorders>
          <w:top w:val="nil"/>
          <w:left w:val="nil"/>
          <w:bottom w:val="nil"/>
          <w:right w:val="nil"/>
          <w:insideH w:val="nil"/>
          <w:insideV w:val="nil"/>
        </w:tblBorders>
        <w:tblLayout w:type="fixed"/>
        <w:tblLook w:val="0600" w:firstRow="0" w:lastRow="0" w:firstColumn="0" w:lastColumn="0" w:noHBand="1" w:noVBand="1"/>
      </w:tblPr>
      <w:tblGrid>
        <w:gridCol w:w="1500"/>
        <w:gridCol w:w="3045"/>
      </w:tblGrid>
      <w:tr w:rsidR="00D202DC" w14:paraId="09B6FBE3"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14:paraId="0081F7E3" w14:textId="77777777" w:rsidR="00D202DC" w:rsidRDefault="00D202DC" w:rsidP="00D87CDA">
            <w:pPr>
              <w:widowControl w:val="0"/>
              <w:rPr>
                <w:rFonts w:eastAsia="Times New Roman" w:cs="Times New Roman"/>
                <w:szCs w:val="24"/>
              </w:rPr>
            </w:pPr>
            <w:r>
              <w:rPr>
                <w:rFonts w:eastAsia="Times New Roman" w:cs="Times New Roman"/>
                <w:szCs w:val="24"/>
              </w:rPr>
              <w:t>ICD-9 code</w:t>
            </w:r>
          </w:p>
        </w:tc>
        <w:tc>
          <w:tcPr>
            <w:tcW w:w="304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bottom"/>
          </w:tcPr>
          <w:p w14:paraId="150F5EDD" w14:textId="77777777" w:rsidR="00D202DC" w:rsidRDefault="00D202DC" w:rsidP="00D87CDA">
            <w:pPr>
              <w:widowControl w:val="0"/>
              <w:rPr>
                <w:rFonts w:eastAsia="Times New Roman" w:cs="Times New Roman"/>
                <w:szCs w:val="24"/>
              </w:rPr>
            </w:pPr>
            <w:r>
              <w:rPr>
                <w:rFonts w:eastAsia="Times New Roman" w:cs="Times New Roman"/>
                <w:szCs w:val="24"/>
              </w:rPr>
              <w:t>Name</w:t>
            </w:r>
          </w:p>
        </w:tc>
      </w:tr>
      <w:tr w:rsidR="00D202DC" w14:paraId="26A723BE"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BE9E9E6" w14:textId="77777777" w:rsidR="00D202DC" w:rsidRDefault="00D202DC" w:rsidP="00D87CDA">
            <w:pPr>
              <w:widowControl w:val="0"/>
              <w:rPr>
                <w:rFonts w:eastAsia="Times New Roman" w:cs="Times New Roman"/>
                <w:szCs w:val="24"/>
              </w:rPr>
            </w:pPr>
            <w:r>
              <w:rPr>
                <w:rFonts w:eastAsia="Times New Roman" w:cs="Times New Roman"/>
                <w:szCs w:val="24"/>
              </w:rPr>
              <w:t>003.1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7BF081D" w14:textId="77777777" w:rsidR="00D202DC" w:rsidRDefault="00D202DC" w:rsidP="00D87CDA">
            <w:pPr>
              <w:widowControl w:val="0"/>
              <w:rPr>
                <w:rFonts w:eastAsia="Times New Roman" w:cs="Times New Roman"/>
                <w:szCs w:val="24"/>
              </w:rPr>
            </w:pPr>
            <w:r>
              <w:rPr>
                <w:rFonts w:eastAsia="Times New Roman" w:cs="Times New Roman"/>
                <w:szCs w:val="24"/>
              </w:rPr>
              <w:t>Salmonella septicemia</w:t>
            </w:r>
          </w:p>
        </w:tc>
      </w:tr>
      <w:tr w:rsidR="00D202DC" w14:paraId="7D6EE8F8"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512F661" w14:textId="77777777" w:rsidR="00D202DC" w:rsidRDefault="00D202DC" w:rsidP="00D87CDA">
            <w:pPr>
              <w:widowControl w:val="0"/>
              <w:rPr>
                <w:rFonts w:eastAsia="Times New Roman" w:cs="Times New Roman"/>
                <w:szCs w:val="24"/>
              </w:rPr>
            </w:pPr>
            <w:r>
              <w:rPr>
                <w:rFonts w:eastAsia="Times New Roman" w:cs="Times New Roman"/>
                <w:szCs w:val="24"/>
              </w:rPr>
              <w:t>038.0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82D694" w14:textId="77777777" w:rsidR="00D202DC" w:rsidRDefault="00D202DC" w:rsidP="00D87CDA">
            <w:pPr>
              <w:widowControl w:val="0"/>
              <w:rPr>
                <w:rFonts w:eastAsia="Times New Roman" w:cs="Times New Roman"/>
                <w:szCs w:val="24"/>
              </w:rPr>
            </w:pPr>
            <w:r>
              <w:rPr>
                <w:rFonts w:eastAsia="Times New Roman" w:cs="Times New Roman"/>
                <w:szCs w:val="24"/>
              </w:rPr>
              <w:t>Streptococcal septicemia</w:t>
            </w:r>
          </w:p>
        </w:tc>
      </w:tr>
      <w:tr w:rsidR="00D202DC" w14:paraId="79765917"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EC6004" w14:textId="77777777" w:rsidR="00D202DC" w:rsidRDefault="00D202DC" w:rsidP="00D87CDA">
            <w:pPr>
              <w:widowControl w:val="0"/>
              <w:rPr>
                <w:rFonts w:eastAsia="Times New Roman" w:cs="Times New Roman"/>
                <w:szCs w:val="24"/>
              </w:rPr>
            </w:pPr>
            <w:r>
              <w:rPr>
                <w:rFonts w:eastAsia="Times New Roman" w:cs="Times New Roman"/>
                <w:szCs w:val="24"/>
              </w:rPr>
              <w:t>038.10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12C3EE9" w14:textId="77777777" w:rsidR="00D202DC" w:rsidRDefault="00D202DC" w:rsidP="00D87CDA">
            <w:pPr>
              <w:widowControl w:val="0"/>
              <w:rPr>
                <w:rFonts w:eastAsia="Times New Roman" w:cs="Times New Roman"/>
                <w:szCs w:val="24"/>
              </w:rPr>
            </w:pPr>
            <w:r>
              <w:rPr>
                <w:rFonts w:eastAsia="Times New Roman" w:cs="Times New Roman"/>
                <w:szCs w:val="24"/>
              </w:rPr>
              <w:t>Staphylococcal septicemia, unspecified(038.10)</w:t>
            </w:r>
          </w:p>
        </w:tc>
      </w:tr>
      <w:tr w:rsidR="00D202DC" w14:paraId="5705876E" w14:textId="77777777" w:rsidTr="00D87CDA">
        <w:trPr>
          <w:trHeight w:val="74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C44CF80" w14:textId="77777777" w:rsidR="00D202DC" w:rsidRDefault="00D202DC" w:rsidP="00D87CDA">
            <w:pPr>
              <w:widowControl w:val="0"/>
              <w:rPr>
                <w:rFonts w:eastAsia="Times New Roman" w:cs="Times New Roman"/>
                <w:szCs w:val="24"/>
              </w:rPr>
            </w:pPr>
            <w:r>
              <w:rPr>
                <w:rFonts w:eastAsia="Times New Roman" w:cs="Times New Roman"/>
                <w:szCs w:val="24"/>
              </w:rPr>
              <w:t>038.11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6D93CFE" w14:textId="77777777" w:rsidR="00D202DC" w:rsidRDefault="00D202DC" w:rsidP="00D87CDA">
            <w:pPr>
              <w:widowControl w:val="0"/>
              <w:rPr>
                <w:rFonts w:eastAsia="Times New Roman" w:cs="Times New Roman"/>
                <w:szCs w:val="24"/>
              </w:rPr>
            </w:pPr>
            <w:r>
              <w:rPr>
                <w:rFonts w:eastAsia="Times New Roman" w:cs="Times New Roman"/>
                <w:szCs w:val="24"/>
              </w:rPr>
              <w:t>Methicillin susceptible Staphylococcus aureus septicemia</w:t>
            </w:r>
          </w:p>
        </w:tc>
      </w:tr>
      <w:tr w:rsidR="00D202DC" w14:paraId="6EC043D7" w14:textId="77777777" w:rsidTr="00D87CDA">
        <w:trPr>
          <w:trHeight w:val="74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A2978C8" w14:textId="77777777" w:rsidR="00D202DC" w:rsidRDefault="00D202DC" w:rsidP="00D87CDA">
            <w:pPr>
              <w:widowControl w:val="0"/>
              <w:rPr>
                <w:rFonts w:eastAsia="Times New Roman" w:cs="Times New Roman"/>
                <w:szCs w:val="24"/>
              </w:rPr>
            </w:pPr>
            <w:r>
              <w:rPr>
                <w:rFonts w:eastAsia="Times New Roman" w:cs="Times New Roman"/>
                <w:szCs w:val="24"/>
              </w:rPr>
              <w:t>038.12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40B40C2" w14:textId="77777777" w:rsidR="00D202DC" w:rsidRDefault="00D202DC" w:rsidP="00D87CDA">
            <w:pPr>
              <w:widowControl w:val="0"/>
              <w:rPr>
                <w:rFonts w:eastAsia="Times New Roman" w:cs="Times New Roman"/>
                <w:szCs w:val="24"/>
              </w:rPr>
            </w:pPr>
            <w:r>
              <w:rPr>
                <w:rFonts w:eastAsia="Times New Roman" w:cs="Times New Roman"/>
                <w:szCs w:val="24"/>
              </w:rPr>
              <w:t>Methicillin resistant Staphylococcus aureus septicemia</w:t>
            </w:r>
          </w:p>
        </w:tc>
      </w:tr>
      <w:tr w:rsidR="00D202DC" w14:paraId="6F340A9C"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0F78890" w14:textId="77777777" w:rsidR="00D202DC" w:rsidRDefault="00D202DC" w:rsidP="00D87CDA">
            <w:pPr>
              <w:widowControl w:val="0"/>
              <w:rPr>
                <w:rFonts w:eastAsia="Times New Roman" w:cs="Times New Roman"/>
                <w:szCs w:val="24"/>
              </w:rPr>
            </w:pPr>
            <w:r>
              <w:rPr>
                <w:rFonts w:eastAsia="Times New Roman" w:cs="Times New Roman"/>
                <w:szCs w:val="24"/>
              </w:rPr>
              <w:t>038.19</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33EE717" w14:textId="77777777" w:rsidR="00D202DC" w:rsidRDefault="00D202DC" w:rsidP="00D87CDA">
            <w:pPr>
              <w:widowControl w:val="0"/>
              <w:rPr>
                <w:rFonts w:eastAsia="Times New Roman" w:cs="Times New Roman"/>
                <w:szCs w:val="24"/>
              </w:rPr>
            </w:pPr>
            <w:r>
              <w:rPr>
                <w:rFonts w:eastAsia="Times New Roman" w:cs="Times New Roman"/>
                <w:szCs w:val="24"/>
              </w:rPr>
              <w:t>Other staphylococcal septicemia</w:t>
            </w:r>
          </w:p>
        </w:tc>
      </w:tr>
      <w:tr w:rsidR="00D202DC" w14:paraId="792BD6CC"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A87F7C9" w14:textId="77777777" w:rsidR="00D202DC" w:rsidRDefault="00D202DC" w:rsidP="00D87CDA">
            <w:pPr>
              <w:widowControl w:val="0"/>
              <w:rPr>
                <w:rFonts w:eastAsia="Times New Roman" w:cs="Times New Roman"/>
                <w:szCs w:val="24"/>
              </w:rPr>
            </w:pPr>
            <w:r>
              <w:rPr>
                <w:rFonts w:eastAsia="Times New Roman" w:cs="Times New Roman"/>
                <w:szCs w:val="24"/>
              </w:rPr>
              <w:t>038.2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D39B044" w14:textId="77777777" w:rsidR="00D202DC" w:rsidRDefault="00D202DC" w:rsidP="00D87CDA">
            <w:pPr>
              <w:widowControl w:val="0"/>
              <w:rPr>
                <w:rFonts w:eastAsia="Times New Roman" w:cs="Times New Roman"/>
                <w:szCs w:val="24"/>
              </w:rPr>
            </w:pPr>
            <w:r>
              <w:rPr>
                <w:rFonts w:eastAsia="Times New Roman" w:cs="Times New Roman"/>
                <w:szCs w:val="24"/>
              </w:rPr>
              <w:t>Pneumococcal septicemia</w:t>
            </w:r>
          </w:p>
        </w:tc>
      </w:tr>
      <w:tr w:rsidR="00D202DC" w14:paraId="6F282777"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DC55DC" w14:textId="77777777" w:rsidR="00D202DC" w:rsidRDefault="00D202DC" w:rsidP="00D87CDA">
            <w:pPr>
              <w:widowControl w:val="0"/>
              <w:rPr>
                <w:rFonts w:eastAsia="Times New Roman" w:cs="Times New Roman"/>
                <w:szCs w:val="24"/>
              </w:rPr>
            </w:pPr>
            <w:r>
              <w:rPr>
                <w:rFonts w:eastAsia="Times New Roman" w:cs="Times New Roman"/>
                <w:szCs w:val="24"/>
              </w:rPr>
              <w:t>038.3</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CD6953E" w14:textId="77777777" w:rsidR="00D202DC" w:rsidRDefault="00D202DC" w:rsidP="00D87CDA">
            <w:pPr>
              <w:widowControl w:val="0"/>
              <w:rPr>
                <w:rFonts w:eastAsia="Times New Roman" w:cs="Times New Roman"/>
                <w:szCs w:val="24"/>
              </w:rPr>
            </w:pPr>
            <w:r>
              <w:rPr>
                <w:rFonts w:eastAsia="Times New Roman" w:cs="Times New Roman"/>
                <w:szCs w:val="24"/>
              </w:rPr>
              <w:t>Septicemia due to anaerobes</w:t>
            </w:r>
          </w:p>
        </w:tc>
      </w:tr>
      <w:tr w:rsidR="00D202DC" w14:paraId="5BE01D75"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7EE60E" w14:textId="77777777" w:rsidR="00D202DC" w:rsidRDefault="00D202DC" w:rsidP="00D87CDA">
            <w:pPr>
              <w:widowControl w:val="0"/>
              <w:rPr>
                <w:rFonts w:eastAsia="Times New Roman" w:cs="Times New Roman"/>
                <w:szCs w:val="24"/>
              </w:rPr>
            </w:pPr>
            <w:r>
              <w:rPr>
                <w:rFonts w:eastAsia="Times New Roman" w:cs="Times New Roman"/>
                <w:szCs w:val="24"/>
              </w:rPr>
              <w:t>038.40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94CA199" w14:textId="77777777" w:rsidR="00D202DC" w:rsidRDefault="00D202DC" w:rsidP="00D87CDA">
            <w:pPr>
              <w:widowControl w:val="0"/>
              <w:rPr>
                <w:rFonts w:eastAsia="Times New Roman" w:cs="Times New Roman"/>
                <w:szCs w:val="24"/>
              </w:rPr>
            </w:pPr>
            <w:r>
              <w:rPr>
                <w:rFonts w:eastAsia="Times New Roman" w:cs="Times New Roman"/>
                <w:szCs w:val="24"/>
              </w:rPr>
              <w:t>Septicemia due to gram-negative organism, unspecified(038.40)</w:t>
            </w:r>
          </w:p>
        </w:tc>
      </w:tr>
      <w:tr w:rsidR="00D202DC" w14:paraId="19040846"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FD6F828" w14:textId="77777777" w:rsidR="00D202DC" w:rsidRDefault="00D202DC" w:rsidP="00D87CDA">
            <w:pPr>
              <w:widowControl w:val="0"/>
              <w:rPr>
                <w:rFonts w:eastAsia="Times New Roman" w:cs="Times New Roman"/>
                <w:szCs w:val="24"/>
              </w:rPr>
            </w:pPr>
            <w:r>
              <w:rPr>
                <w:rFonts w:eastAsia="Times New Roman" w:cs="Times New Roman"/>
                <w:szCs w:val="24"/>
              </w:rPr>
              <w:t>038.41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4FAEA87" w14:textId="77777777" w:rsidR="00D202DC" w:rsidRDefault="00D202DC" w:rsidP="00D87CDA">
            <w:pPr>
              <w:widowControl w:val="0"/>
              <w:rPr>
                <w:rFonts w:eastAsia="Times New Roman" w:cs="Times New Roman"/>
                <w:szCs w:val="24"/>
              </w:rPr>
            </w:pPr>
            <w:r>
              <w:rPr>
                <w:rFonts w:eastAsia="Times New Roman" w:cs="Times New Roman"/>
                <w:szCs w:val="24"/>
              </w:rPr>
              <w:t>Septicemia due to hemophilus influenzae</w:t>
            </w:r>
          </w:p>
        </w:tc>
      </w:tr>
      <w:tr w:rsidR="00D202DC" w14:paraId="76472679"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ABE26FE" w14:textId="77777777" w:rsidR="00D202DC" w:rsidRDefault="00D202DC" w:rsidP="00D87CDA">
            <w:pPr>
              <w:widowControl w:val="0"/>
              <w:rPr>
                <w:rFonts w:eastAsia="Times New Roman" w:cs="Times New Roman"/>
                <w:szCs w:val="24"/>
              </w:rPr>
            </w:pPr>
            <w:r>
              <w:rPr>
                <w:rFonts w:eastAsia="Times New Roman" w:cs="Times New Roman"/>
                <w:szCs w:val="24"/>
              </w:rPr>
              <w:lastRenderedPageBreak/>
              <w:t>038.42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BEAB5A3" w14:textId="77777777" w:rsidR="00D202DC" w:rsidRDefault="00D202DC" w:rsidP="00D87CDA">
            <w:pPr>
              <w:widowControl w:val="0"/>
              <w:rPr>
                <w:rFonts w:eastAsia="Times New Roman" w:cs="Times New Roman"/>
                <w:szCs w:val="24"/>
              </w:rPr>
            </w:pPr>
            <w:r>
              <w:rPr>
                <w:rFonts w:eastAsia="Times New Roman" w:cs="Times New Roman"/>
                <w:szCs w:val="24"/>
              </w:rPr>
              <w:t>Septicemia due to escherichia coli</w:t>
            </w:r>
          </w:p>
        </w:tc>
      </w:tr>
      <w:tr w:rsidR="00D202DC" w14:paraId="18B5CFF6"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9BDE54" w14:textId="77777777" w:rsidR="00D202DC" w:rsidRDefault="00D202DC" w:rsidP="00D87CDA">
            <w:pPr>
              <w:widowControl w:val="0"/>
              <w:rPr>
                <w:rFonts w:eastAsia="Times New Roman" w:cs="Times New Roman"/>
                <w:szCs w:val="24"/>
              </w:rPr>
            </w:pPr>
            <w:r>
              <w:rPr>
                <w:rFonts w:eastAsia="Times New Roman" w:cs="Times New Roman"/>
                <w:szCs w:val="24"/>
              </w:rPr>
              <w:t>038.43</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0AD056C" w14:textId="77777777" w:rsidR="00D202DC" w:rsidRDefault="00D202DC" w:rsidP="00D87CDA">
            <w:pPr>
              <w:widowControl w:val="0"/>
              <w:rPr>
                <w:rFonts w:eastAsia="Times New Roman" w:cs="Times New Roman"/>
                <w:szCs w:val="24"/>
              </w:rPr>
            </w:pPr>
            <w:r>
              <w:rPr>
                <w:rFonts w:eastAsia="Times New Roman" w:cs="Times New Roman"/>
                <w:szCs w:val="24"/>
              </w:rPr>
              <w:t>Septicemia due to pseudomonas</w:t>
            </w:r>
          </w:p>
        </w:tc>
      </w:tr>
      <w:tr w:rsidR="00D202DC" w14:paraId="48840A99"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1F7CE09" w14:textId="77777777" w:rsidR="00D202DC" w:rsidRDefault="00D202DC" w:rsidP="00D87CDA">
            <w:pPr>
              <w:widowControl w:val="0"/>
              <w:rPr>
                <w:rFonts w:eastAsia="Times New Roman" w:cs="Times New Roman"/>
                <w:szCs w:val="24"/>
              </w:rPr>
            </w:pPr>
            <w:r>
              <w:rPr>
                <w:rFonts w:eastAsia="Times New Roman" w:cs="Times New Roman"/>
                <w:szCs w:val="24"/>
              </w:rPr>
              <w:t>038.44</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AA7F58D" w14:textId="77777777" w:rsidR="00D202DC" w:rsidRDefault="00D202DC" w:rsidP="00D87CDA">
            <w:pPr>
              <w:widowControl w:val="0"/>
              <w:rPr>
                <w:rFonts w:eastAsia="Times New Roman" w:cs="Times New Roman"/>
                <w:szCs w:val="24"/>
              </w:rPr>
            </w:pPr>
            <w:r>
              <w:rPr>
                <w:rFonts w:eastAsia="Times New Roman" w:cs="Times New Roman"/>
                <w:szCs w:val="24"/>
              </w:rPr>
              <w:t>Septicemia due to serratia</w:t>
            </w:r>
          </w:p>
        </w:tc>
      </w:tr>
      <w:tr w:rsidR="00D202DC" w14:paraId="5EB26F3F"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C976A66" w14:textId="77777777" w:rsidR="00D202DC" w:rsidRDefault="00D202DC" w:rsidP="00D87CDA">
            <w:pPr>
              <w:widowControl w:val="0"/>
              <w:rPr>
                <w:rFonts w:eastAsia="Times New Roman" w:cs="Times New Roman"/>
                <w:szCs w:val="24"/>
              </w:rPr>
            </w:pPr>
            <w:r>
              <w:rPr>
                <w:rFonts w:eastAsia="Times New Roman" w:cs="Times New Roman"/>
                <w:szCs w:val="24"/>
              </w:rPr>
              <w:t>038.49</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7D9843A" w14:textId="77777777" w:rsidR="00D202DC" w:rsidRDefault="00D202DC" w:rsidP="00D87CDA">
            <w:pPr>
              <w:widowControl w:val="0"/>
              <w:rPr>
                <w:rFonts w:eastAsia="Times New Roman" w:cs="Times New Roman"/>
                <w:szCs w:val="24"/>
              </w:rPr>
            </w:pPr>
            <w:r>
              <w:rPr>
                <w:rFonts w:eastAsia="Times New Roman" w:cs="Times New Roman"/>
                <w:szCs w:val="24"/>
              </w:rPr>
              <w:t>Other septicemia due to gram-negative organisms</w:t>
            </w:r>
          </w:p>
        </w:tc>
      </w:tr>
      <w:tr w:rsidR="00D202DC" w14:paraId="778D43C5"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E62BD58" w14:textId="77777777" w:rsidR="00D202DC" w:rsidRDefault="00D202DC" w:rsidP="00D87CDA">
            <w:pPr>
              <w:widowControl w:val="0"/>
              <w:rPr>
                <w:rFonts w:eastAsia="Times New Roman" w:cs="Times New Roman"/>
                <w:szCs w:val="24"/>
              </w:rPr>
            </w:pPr>
            <w:r>
              <w:rPr>
                <w:rFonts w:eastAsia="Times New Roman" w:cs="Times New Roman"/>
                <w:szCs w:val="24"/>
              </w:rPr>
              <w:t>038.8</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D06C3AB" w14:textId="77777777" w:rsidR="00D202DC" w:rsidRDefault="00D202DC" w:rsidP="00D87CDA">
            <w:pPr>
              <w:widowControl w:val="0"/>
              <w:rPr>
                <w:rFonts w:eastAsia="Times New Roman" w:cs="Times New Roman"/>
                <w:szCs w:val="24"/>
              </w:rPr>
            </w:pPr>
            <w:r>
              <w:rPr>
                <w:rFonts w:eastAsia="Times New Roman" w:cs="Times New Roman"/>
                <w:szCs w:val="24"/>
              </w:rPr>
              <w:t>Other specified septicemias</w:t>
            </w:r>
          </w:p>
        </w:tc>
      </w:tr>
      <w:tr w:rsidR="00D202DC" w14:paraId="11809C77"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16DD5CE" w14:textId="77777777" w:rsidR="00D202DC" w:rsidRDefault="00D202DC" w:rsidP="00D87CDA">
            <w:pPr>
              <w:widowControl w:val="0"/>
              <w:rPr>
                <w:rFonts w:eastAsia="Times New Roman" w:cs="Times New Roman"/>
                <w:szCs w:val="24"/>
              </w:rPr>
            </w:pPr>
            <w:r>
              <w:rPr>
                <w:rFonts w:eastAsia="Times New Roman" w:cs="Times New Roman"/>
                <w:szCs w:val="24"/>
              </w:rPr>
              <w:t>038.9</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DAFEF6A" w14:textId="77777777" w:rsidR="00D202DC" w:rsidRDefault="00D202DC" w:rsidP="00D87CDA">
            <w:pPr>
              <w:widowControl w:val="0"/>
              <w:rPr>
                <w:rFonts w:eastAsia="Times New Roman" w:cs="Times New Roman"/>
                <w:szCs w:val="24"/>
              </w:rPr>
            </w:pPr>
            <w:r>
              <w:rPr>
                <w:rFonts w:eastAsia="Times New Roman" w:cs="Times New Roman"/>
                <w:szCs w:val="24"/>
              </w:rPr>
              <w:t>Unspecified septicemia</w:t>
            </w:r>
          </w:p>
        </w:tc>
      </w:tr>
      <w:tr w:rsidR="00D202DC" w14:paraId="078F16FD"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DFF2FEA" w14:textId="77777777" w:rsidR="00D202DC" w:rsidRDefault="00D202DC" w:rsidP="00D87CDA">
            <w:pPr>
              <w:widowControl w:val="0"/>
              <w:rPr>
                <w:rFonts w:eastAsia="Times New Roman" w:cs="Times New Roman"/>
                <w:szCs w:val="24"/>
              </w:rPr>
            </w:pPr>
            <w:r>
              <w:rPr>
                <w:rFonts w:eastAsia="Times New Roman" w:cs="Times New Roman"/>
                <w:szCs w:val="24"/>
              </w:rPr>
              <w:t>054.5</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1DDDDB5" w14:textId="77777777" w:rsidR="00D202DC" w:rsidRDefault="00D202DC" w:rsidP="00D87CDA">
            <w:pPr>
              <w:widowControl w:val="0"/>
              <w:rPr>
                <w:rFonts w:eastAsia="Times New Roman" w:cs="Times New Roman"/>
                <w:szCs w:val="24"/>
              </w:rPr>
            </w:pPr>
            <w:r>
              <w:rPr>
                <w:rFonts w:eastAsia="Times New Roman" w:cs="Times New Roman"/>
                <w:szCs w:val="24"/>
              </w:rPr>
              <w:t>Herpetic septicemia</w:t>
            </w:r>
          </w:p>
        </w:tc>
      </w:tr>
      <w:tr w:rsidR="00D202DC" w14:paraId="6BC9F28E"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7719E29" w14:textId="77777777" w:rsidR="00D202DC" w:rsidRDefault="00D202DC" w:rsidP="00D87CDA">
            <w:pPr>
              <w:widowControl w:val="0"/>
              <w:rPr>
                <w:rFonts w:eastAsia="Times New Roman" w:cs="Times New Roman"/>
                <w:szCs w:val="24"/>
              </w:rPr>
            </w:pPr>
            <w:r>
              <w:rPr>
                <w:rFonts w:eastAsia="Times New Roman" w:cs="Times New Roman"/>
                <w:szCs w:val="24"/>
              </w:rPr>
              <w:t>415.12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CCD51D9" w14:textId="77777777" w:rsidR="00D202DC" w:rsidRDefault="00D202DC" w:rsidP="00D87CDA">
            <w:pPr>
              <w:widowControl w:val="0"/>
              <w:rPr>
                <w:rFonts w:eastAsia="Times New Roman" w:cs="Times New Roman"/>
                <w:szCs w:val="24"/>
              </w:rPr>
            </w:pPr>
            <w:r>
              <w:rPr>
                <w:rFonts w:eastAsia="Times New Roman" w:cs="Times New Roman"/>
                <w:szCs w:val="24"/>
              </w:rPr>
              <w:t>Septic pulmonary embolism</w:t>
            </w:r>
          </w:p>
        </w:tc>
      </w:tr>
      <w:tr w:rsidR="00D202DC" w14:paraId="1346E2DA"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D6B3430" w14:textId="77777777" w:rsidR="00D202DC" w:rsidRDefault="00D202DC" w:rsidP="00D87CDA">
            <w:pPr>
              <w:widowControl w:val="0"/>
              <w:rPr>
                <w:rFonts w:eastAsia="Times New Roman" w:cs="Times New Roman"/>
                <w:szCs w:val="24"/>
              </w:rPr>
            </w:pPr>
            <w:r>
              <w:rPr>
                <w:rFonts w:eastAsia="Times New Roman" w:cs="Times New Roman"/>
                <w:szCs w:val="24"/>
              </w:rPr>
              <w:t>422.92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4BDDFFD" w14:textId="77777777" w:rsidR="00D202DC" w:rsidRDefault="00D202DC" w:rsidP="00D87CDA">
            <w:pPr>
              <w:widowControl w:val="0"/>
              <w:rPr>
                <w:rFonts w:eastAsia="Times New Roman" w:cs="Times New Roman"/>
                <w:szCs w:val="24"/>
              </w:rPr>
            </w:pPr>
            <w:r>
              <w:rPr>
                <w:rFonts w:eastAsia="Times New Roman" w:cs="Times New Roman"/>
                <w:szCs w:val="24"/>
              </w:rPr>
              <w:t>Septic myocarditis</w:t>
            </w:r>
          </w:p>
        </w:tc>
      </w:tr>
      <w:tr w:rsidR="00D202DC" w14:paraId="26DE9964"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7974ED" w14:textId="77777777" w:rsidR="00D202DC" w:rsidRDefault="00D202DC" w:rsidP="00D87CDA">
            <w:pPr>
              <w:widowControl w:val="0"/>
              <w:rPr>
                <w:rFonts w:eastAsia="Times New Roman" w:cs="Times New Roman"/>
                <w:szCs w:val="24"/>
              </w:rPr>
            </w:pPr>
            <w:r>
              <w:rPr>
                <w:rFonts w:eastAsia="Times New Roman" w:cs="Times New Roman"/>
                <w:szCs w:val="24"/>
              </w:rPr>
              <w:t>449</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B87769F" w14:textId="77777777" w:rsidR="00D202DC" w:rsidRDefault="00D202DC" w:rsidP="00D87CDA">
            <w:pPr>
              <w:widowControl w:val="0"/>
              <w:rPr>
                <w:rFonts w:eastAsia="Times New Roman" w:cs="Times New Roman"/>
                <w:szCs w:val="24"/>
              </w:rPr>
            </w:pPr>
            <w:r>
              <w:rPr>
                <w:rFonts w:eastAsia="Times New Roman" w:cs="Times New Roman"/>
                <w:szCs w:val="24"/>
              </w:rPr>
              <w:t>Septic arterial embolism</w:t>
            </w:r>
          </w:p>
        </w:tc>
      </w:tr>
      <w:tr w:rsidR="00D202DC" w14:paraId="1C5DEAEB" w14:textId="77777777" w:rsidTr="00D87CDA">
        <w:trPr>
          <w:trHeight w:val="74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4AF4CD2" w14:textId="77777777" w:rsidR="00D202DC" w:rsidRDefault="00D202DC" w:rsidP="00D87CDA">
            <w:pPr>
              <w:widowControl w:val="0"/>
              <w:rPr>
                <w:rFonts w:eastAsia="Times New Roman" w:cs="Times New Roman"/>
                <w:szCs w:val="24"/>
              </w:rPr>
            </w:pPr>
            <w:r>
              <w:rPr>
                <w:rFonts w:eastAsia="Times New Roman" w:cs="Times New Roman"/>
                <w:szCs w:val="24"/>
              </w:rPr>
              <w:t>670.20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422F6AC" w14:textId="77777777" w:rsidR="00D202DC" w:rsidRDefault="00D202DC" w:rsidP="00D87CDA">
            <w:pPr>
              <w:widowControl w:val="0"/>
              <w:rPr>
                <w:rFonts w:eastAsia="Times New Roman" w:cs="Times New Roman"/>
                <w:szCs w:val="24"/>
              </w:rPr>
            </w:pPr>
            <w:r>
              <w:rPr>
                <w:rFonts w:eastAsia="Times New Roman" w:cs="Times New Roman"/>
                <w:szCs w:val="24"/>
              </w:rPr>
              <w:t>Puerperal sepsis, unspecified as to episode of care or not applicable</w:t>
            </w:r>
          </w:p>
        </w:tc>
      </w:tr>
      <w:tr w:rsidR="00D202DC" w14:paraId="7EE7E6B4" w14:textId="77777777" w:rsidTr="00D87CDA">
        <w:trPr>
          <w:trHeight w:val="74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A0A0951" w14:textId="77777777" w:rsidR="00D202DC" w:rsidRDefault="00D202DC" w:rsidP="00D87CDA">
            <w:pPr>
              <w:widowControl w:val="0"/>
              <w:rPr>
                <w:rFonts w:eastAsia="Times New Roman" w:cs="Times New Roman"/>
                <w:szCs w:val="24"/>
              </w:rPr>
            </w:pPr>
            <w:r>
              <w:rPr>
                <w:rFonts w:eastAsia="Times New Roman" w:cs="Times New Roman"/>
                <w:szCs w:val="24"/>
              </w:rPr>
              <w:t>670.22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E14615C" w14:textId="77777777" w:rsidR="00D202DC" w:rsidRDefault="00D202DC" w:rsidP="00D87CDA">
            <w:pPr>
              <w:widowControl w:val="0"/>
              <w:rPr>
                <w:rFonts w:eastAsia="Times New Roman" w:cs="Times New Roman"/>
                <w:szCs w:val="24"/>
              </w:rPr>
            </w:pPr>
            <w:r>
              <w:rPr>
                <w:rFonts w:eastAsia="Times New Roman" w:cs="Times New Roman"/>
                <w:szCs w:val="24"/>
              </w:rPr>
              <w:t>Puerperal sepsis, delivered, with mention of postpartum complication(670.22)</w:t>
            </w:r>
          </w:p>
        </w:tc>
      </w:tr>
      <w:tr w:rsidR="00D202DC" w14:paraId="0EC4E65A" w14:textId="77777777" w:rsidTr="00D87CDA">
        <w:trPr>
          <w:trHeight w:val="74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18A70E4" w14:textId="77777777" w:rsidR="00D202DC" w:rsidRDefault="00D202DC" w:rsidP="00D87CDA">
            <w:pPr>
              <w:widowControl w:val="0"/>
              <w:rPr>
                <w:rFonts w:eastAsia="Times New Roman" w:cs="Times New Roman"/>
                <w:szCs w:val="24"/>
              </w:rPr>
            </w:pPr>
            <w:r>
              <w:rPr>
                <w:rFonts w:eastAsia="Times New Roman" w:cs="Times New Roman"/>
                <w:szCs w:val="24"/>
              </w:rPr>
              <w:t>670.24</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719AB13" w14:textId="77777777" w:rsidR="00D202DC" w:rsidRDefault="00D202DC" w:rsidP="00D87CDA">
            <w:pPr>
              <w:widowControl w:val="0"/>
              <w:rPr>
                <w:rFonts w:eastAsia="Times New Roman" w:cs="Times New Roman"/>
                <w:szCs w:val="24"/>
              </w:rPr>
            </w:pPr>
            <w:r>
              <w:rPr>
                <w:rFonts w:eastAsia="Times New Roman" w:cs="Times New Roman"/>
                <w:szCs w:val="24"/>
              </w:rPr>
              <w:t>Puerperal sepsis, postpartum condition or complication(670.24)</w:t>
            </w:r>
          </w:p>
        </w:tc>
      </w:tr>
      <w:tr w:rsidR="00D202DC" w14:paraId="3675EC13" w14:textId="77777777" w:rsidTr="00D87CDA">
        <w:trPr>
          <w:trHeight w:val="96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C5B422" w14:textId="77777777" w:rsidR="00D202DC" w:rsidRDefault="00D202DC" w:rsidP="00D87CDA">
            <w:pPr>
              <w:widowControl w:val="0"/>
              <w:rPr>
                <w:rFonts w:eastAsia="Times New Roman" w:cs="Times New Roman"/>
                <w:szCs w:val="24"/>
              </w:rPr>
            </w:pPr>
            <w:r>
              <w:rPr>
                <w:rFonts w:eastAsia="Times New Roman" w:cs="Times New Roman"/>
                <w:szCs w:val="24"/>
              </w:rPr>
              <w:t>670.34</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59C40FC" w14:textId="77777777" w:rsidR="00D202DC" w:rsidRDefault="00D202DC" w:rsidP="00D87CDA">
            <w:pPr>
              <w:widowControl w:val="0"/>
              <w:rPr>
                <w:rFonts w:eastAsia="Times New Roman" w:cs="Times New Roman"/>
                <w:szCs w:val="24"/>
              </w:rPr>
            </w:pPr>
            <w:r>
              <w:rPr>
                <w:rFonts w:eastAsia="Times New Roman" w:cs="Times New Roman"/>
                <w:szCs w:val="24"/>
              </w:rPr>
              <w:t xml:space="preserve">Puerperal septic thrombophlebitis, postpartum condition or </w:t>
            </w:r>
            <w:r>
              <w:rPr>
                <w:rFonts w:eastAsia="Times New Roman" w:cs="Times New Roman"/>
                <w:szCs w:val="24"/>
              </w:rPr>
              <w:lastRenderedPageBreak/>
              <w:t>complication(670.34)</w:t>
            </w:r>
          </w:p>
        </w:tc>
      </w:tr>
      <w:tr w:rsidR="00D202DC" w14:paraId="1E764E47" w14:textId="77777777" w:rsidTr="00D87CDA">
        <w:trPr>
          <w:trHeight w:val="96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4EE5749" w14:textId="77777777" w:rsidR="00D202DC" w:rsidRDefault="00D202DC" w:rsidP="00D87CDA">
            <w:pPr>
              <w:widowControl w:val="0"/>
              <w:rPr>
                <w:rFonts w:eastAsia="Times New Roman" w:cs="Times New Roman"/>
                <w:szCs w:val="24"/>
              </w:rPr>
            </w:pPr>
            <w:r>
              <w:rPr>
                <w:rFonts w:eastAsia="Times New Roman" w:cs="Times New Roman"/>
                <w:szCs w:val="24"/>
              </w:rPr>
              <w:lastRenderedPageBreak/>
              <w:t>673.31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697892D" w14:textId="77777777" w:rsidR="00D202DC" w:rsidRDefault="00D202DC" w:rsidP="00D87CDA">
            <w:pPr>
              <w:widowControl w:val="0"/>
              <w:rPr>
                <w:rFonts w:eastAsia="Times New Roman" w:cs="Times New Roman"/>
                <w:szCs w:val="24"/>
              </w:rPr>
            </w:pPr>
            <w:r>
              <w:rPr>
                <w:rFonts w:eastAsia="Times New Roman" w:cs="Times New Roman"/>
                <w:szCs w:val="24"/>
              </w:rPr>
              <w:t>Obstetrical pyemic and septic embolism, delivered, with or without mention of antepartum condition(673.31)</w:t>
            </w:r>
          </w:p>
        </w:tc>
      </w:tr>
      <w:tr w:rsidR="00D202DC" w14:paraId="6588352F"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BA5C5D9" w14:textId="77777777" w:rsidR="00D202DC" w:rsidRDefault="00D202DC" w:rsidP="00D87CDA">
            <w:pPr>
              <w:widowControl w:val="0"/>
              <w:rPr>
                <w:rFonts w:eastAsia="Times New Roman" w:cs="Times New Roman"/>
                <w:szCs w:val="24"/>
              </w:rPr>
            </w:pPr>
            <w:r>
              <w:rPr>
                <w:rFonts w:eastAsia="Times New Roman" w:cs="Times New Roman"/>
                <w:szCs w:val="24"/>
              </w:rPr>
              <w:t>771.81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1A3D751" w14:textId="77777777" w:rsidR="00D202DC" w:rsidRDefault="00D202DC" w:rsidP="00D87CDA">
            <w:pPr>
              <w:widowControl w:val="0"/>
              <w:rPr>
                <w:rFonts w:eastAsia="Times New Roman" w:cs="Times New Roman"/>
                <w:szCs w:val="24"/>
              </w:rPr>
            </w:pPr>
            <w:r>
              <w:rPr>
                <w:rFonts w:eastAsia="Times New Roman" w:cs="Times New Roman"/>
                <w:szCs w:val="24"/>
              </w:rPr>
              <w:t>Septicemia of newborn</w:t>
            </w:r>
          </w:p>
        </w:tc>
      </w:tr>
      <w:tr w:rsidR="00D202DC" w14:paraId="4DE7C332"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56D4875" w14:textId="77777777" w:rsidR="00D202DC" w:rsidRDefault="00D202DC" w:rsidP="00D87CDA">
            <w:pPr>
              <w:widowControl w:val="0"/>
              <w:rPr>
                <w:rFonts w:eastAsia="Times New Roman" w:cs="Times New Roman"/>
                <w:szCs w:val="24"/>
              </w:rPr>
            </w:pPr>
            <w:r>
              <w:rPr>
                <w:rFonts w:eastAsia="Times New Roman" w:cs="Times New Roman"/>
                <w:szCs w:val="24"/>
              </w:rPr>
              <w:t>785.52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C817810" w14:textId="77777777" w:rsidR="00D202DC" w:rsidRDefault="00D202DC" w:rsidP="00D87CDA">
            <w:pPr>
              <w:widowControl w:val="0"/>
              <w:rPr>
                <w:rFonts w:eastAsia="Times New Roman" w:cs="Times New Roman"/>
                <w:szCs w:val="24"/>
              </w:rPr>
            </w:pPr>
            <w:r>
              <w:rPr>
                <w:rFonts w:eastAsia="Times New Roman" w:cs="Times New Roman"/>
                <w:szCs w:val="24"/>
              </w:rPr>
              <w:t>Septic shock</w:t>
            </w:r>
          </w:p>
        </w:tc>
      </w:tr>
      <w:tr w:rsidR="00D202DC" w14:paraId="0A726283"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F3836A5" w14:textId="77777777" w:rsidR="00D202DC" w:rsidRDefault="00D202DC" w:rsidP="00D87CDA">
            <w:pPr>
              <w:widowControl w:val="0"/>
              <w:rPr>
                <w:rFonts w:eastAsia="Times New Roman" w:cs="Times New Roman"/>
                <w:szCs w:val="24"/>
              </w:rPr>
            </w:pPr>
            <w:r>
              <w:rPr>
                <w:rFonts w:eastAsia="Times New Roman" w:cs="Times New Roman"/>
                <w:szCs w:val="24"/>
              </w:rPr>
              <w:t>995.90</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A953DD8" w14:textId="77777777" w:rsidR="00D202DC" w:rsidRDefault="00D202DC" w:rsidP="00D87CDA">
            <w:pPr>
              <w:widowControl w:val="0"/>
              <w:rPr>
                <w:rFonts w:eastAsia="Times New Roman" w:cs="Times New Roman"/>
                <w:szCs w:val="24"/>
              </w:rPr>
            </w:pPr>
            <w:r>
              <w:rPr>
                <w:rFonts w:eastAsia="Times New Roman" w:cs="Times New Roman"/>
                <w:szCs w:val="24"/>
              </w:rPr>
              <w:t>Systemic inflammatory response syndrome, unspecified(995.90)</w:t>
            </w:r>
          </w:p>
        </w:tc>
      </w:tr>
      <w:tr w:rsidR="00D202DC" w14:paraId="0350DD64"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139E34D" w14:textId="77777777" w:rsidR="00D202DC" w:rsidRDefault="00D202DC" w:rsidP="00D87CDA">
            <w:pPr>
              <w:widowControl w:val="0"/>
              <w:rPr>
                <w:rFonts w:eastAsia="Times New Roman" w:cs="Times New Roman"/>
                <w:szCs w:val="24"/>
              </w:rPr>
            </w:pPr>
            <w:r>
              <w:rPr>
                <w:rFonts w:eastAsia="Times New Roman" w:cs="Times New Roman"/>
                <w:szCs w:val="24"/>
              </w:rPr>
              <w:t>995.91</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4D1E528" w14:textId="77777777" w:rsidR="00D202DC" w:rsidRDefault="00D202DC" w:rsidP="00D87CDA">
            <w:pPr>
              <w:widowControl w:val="0"/>
              <w:rPr>
                <w:rFonts w:eastAsia="Times New Roman" w:cs="Times New Roman"/>
                <w:szCs w:val="24"/>
              </w:rPr>
            </w:pPr>
            <w:r>
              <w:rPr>
                <w:rFonts w:eastAsia="Times New Roman" w:cs="Times New Roman"/>
                <w:szCs w:val="24"/>
              </w:rPr>
              <w:t>Sepsis</w:t>
            </w:r>
          </w:p>
        </w:tc>
      </w:tr>
      <w:tr w:rsidR="00D202DC" w14:paraId="5365D26F" w14:textId="77777777" w:rsidTr="00D87CDA">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049FF19" w14:textId="77777777" w:rsidR="00D202DC" w:rsidRDefault="00D202DC" w:rsidP="00D87CDA">
            <w:pPr>
              <w:widowControl w:val="0"/>
              <w:rPr>
                <w:rFonts w:eastAsia="Times New Roman" w:cs="Times New Roman"/>
                <w:szCs w:val="24"/>
              </w:rPr>
            </w:pPr>
            <w:r>
              <w:rPr>
                <w:rFonts w:eastAsia="Times New Roman" w:cs="Times New Roman"/>
                <w:szCs w:val="24"/>
              </w:rPr>
              <w:t>995.92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1CC3DA6" w14:textId="77777777" w:rsidR="00D202DC" w:rsidRDefault="00D202DC" w:rsidP="00D87CDA">
            <w:pPr>
              <w:widowControl w:val="0"/>
              <w:rPr>
                <w:rFonts w:eastAsia="Times New Roman" w:cs="Times New Roman"/>
                <w:szCs w:val="24"/>
              </w:rPr>
            </w:pPr>
            <w:r>
              <w:rPr>
                <w:rFonts w:eastAsia="Times New Roman" w:cs="Times New Roman"/>
                <w:szCs w:val="24"/>
              </w:rPr>
              <w:t>Severe sepsis</w:t>
            </w:r>
          </w:p>
        </w:tc>
      </w:tr>
      <w:tr w:rsidR="00D202DC" w14:paraId="24A4B61C" w14:textId="77777777" w:rsidTr="00D87CDA">
        <w:trPr>
          <w:trHeight w:val="96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446D0F5" w14:textId="77777777" w:rsidR="00D202DC" w:rsidRDefault="00D202DC" w:rsidP="00D87CDA">
            <w:pPr>
              <w:widowControl w:val="0"/>
              <w:rPr>
                <w:rFonts w:eastAsia="Times New Roman" w:cs="Times New Roman"/>
                <w:szCs w:val="24"/>
              </w:rPr>
            </w:pPr>
            <w:r>
              <w:rPr>
                <w:rFonts w:eastAsia="Times New Roman" w:cs="Times New Roman"/>
                <w:szCs w:val="24"/>
              </w:rPr>
              <w:t>995.93</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BCAF84F" w14:textId="77777777" w:rsidR="00D202DC" w:rsidRDefault="00D202DC" w:rsidP="00D87CDA">
            <w:pPr>
              <w:widowControl w:val="0"/>
              <w:rPr>
                <w:rFonts w:eastAsia="Times New Roman" w:cs="Times New Roman"/>
                <w:szCs w:val="24"/>
              </w:rPr>
            </w:pPr>
            <w:r>
              <w:rPr>
                <w:rFonts w:eastAsia="Times New Roman" w:cs="Times New Roman"/>
                <w:szCs w:val="24"/>
              </w:rPr>
              <w:t>Systemic inflammatory response syndrome due to noninfectious process without acute organ dysfunction</w:t>
            </w:r>
          </w:p>
        </w:tc>
      </w:tr>
      <w:tr w:rsidR="00D202DC" w14:paraId="6079E46A" w14:textId="77777777" w:rsidTr="00D87CDA">
        <w:trPr>
          <w:trHeight w:val="96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DEB079E" w14:textId="77777777" w:rsidR="00D202DC" w:rsidRDefault="00D202DC" w:rsidP="00D87CDA">
            <w:pPr>
              <w:widowControl w:val="0"/>
              <w:rPr>
                <w:rFonts w:eastAsia="Times New Roman" w:cs="Times New Roman"/>
                <w:szCs w:val="24"/>
              </w:rPr>
            </w:pPr>
            <w:r>
              <w:rPr>
                <w:rFonts w:eastAsia="Times New Roman" w:cs="Times New Roman"/>
                <w:szCs w:val="24"/>
              </w:rPr>
              <w:t>995.94</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C902220" w14:textId="77777777" w:rsidR="00D202DC" w:rsidRDefault="00D202DC" w:rsidP="00D87CDA">
            <w:pPr>
              <w:widowControl w:val="0"/>
              <w:rPr>
                <w:rFonts w:eastAsia="Times New Roman" w:cs="Times New Roman"/>
                <w:szCs w:val="24"/>
              </w:rPr>
            </w:pPr>
            <w:r>
              <w:rPr>
                <w:rFonts w:eastAsia="Times New Roman" w:cs="Times New Roman"/>
                <w:szCs w:val="24"/>
              </w:rPr>
              <w:t>Systemic inflammatory response syndrome due to noninfectious process with acute organ dysfunction</w:t>
            </w:r>
          </w:p>
        </w:tc>
      </w:tr>
      <w:tr w:rsidR="00D202DC" w14:paraId="049C17BB" w14:textId="77777777" w:rsidTr="00D87CDA">
        <w:trPr>
          <w:trHeight w:val="52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F3C9897" w14:textId="77777777" w:rsidR="00D202DC" w:rsidRDefault="00D202DC" w:rsidP="00D87CDA">
            <w:pPr>
              <w:widowControl w:val="0"/>
              <w:rPr>
                <w:rFonts w:eastAsia="Times New Roman" w:cs="Times New Roman"/>
                <w:szCs w:val="24"/>
              </w:rPr>
            </w:pPr>
            <w:r>
              <w:rPr>
                <w:rFonts w:eastAsia="Times New Roman" w:cs="Times New Roman"/>
                <w:szCs w:val="24"/>
              </w:rPr>
              <w:t>998.02</w:t>
            </w:r>
          </w:p>
        </w:tc>
        <w:tc>
          <w:tcPr>
            <w:tcW w:w="30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2B6A9C8" w14:textId="77777777" w:rsidR="00D202DC" w:rsidRDefault="00D202DC" w:rsidP="00D87CDA">
            <w:pPr>
              <w:widowControl w:val="0"/>
              <w:rPr>
                <w:rFonts w:eastAsia="Times New Roman" w:cs="Times New Roman"/>
                <w:szCs w:val="24"/>
              </w:rPr>
            </w:pPr>
            <w:r>
              <w:rPr>
                <w:rFonts w:eastAsia="Times New Roman" w:cs="Times New Roman"/>
                <w:szCs w:val="24"/>
              </w:rPr>
              <w:t>Postoperative shock, septic(998.02)</w:t>
            </w:r>
          </w:p>
        </w:tc>
      </w:tr>
    </w:tbl>
    <w:p w14:paraId="73470BA4" w14:textId="77777777" w:rsidR="00D202DC" w:rsidRDefault="00D202DC" w:rsidP="00D202DC">
      <w:pPr>
        <w:jc w:val="both"/>
        <w:rPr>
          <w:rFonts w:eastAsia="Times New Roman" w:cs="Times New Roman"/>
          <w:b/>
          <w:szCs w:val="24"/>
          <w:highlight w:val="white"/>
        </w:rPr>
      </w:pPr>
    </w:p>
    <w:p w14:paraId="079680F4" w14:textId="77777777" w:rsidR="00D202DC" w:rsidRDefault="00D202DC" w:rsidP="00D202DC">
      <w:pPr>
        <w:jc w:val="both"/>
        <w:rPr>
          <w:rFonts w:eastAsia="Times New Roman" w:cs="Times New Roman"/>
          <w:b/>
          <w:szCs w:val="24"/>
          <w:highlight w:val="white"/>
        </w:rPr>
      </w:pPr>
    </w:p>
    <w:p w14:paraId="7B65BC41" w14:textId="77777777" w:rsidR="00DE23E8" w:rsidRPr="001549D3" w:rsidRDefault="00DE23E8" w:rsidP="00654E8F">
      <w:pPr>
        <w:spacing w:before="240"/>
      </w:pP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1E0E" w14:textId="77777777" w:rsidR="00907EAE" w:rsidRDefault="00907EAE" w:rsidP="00117666">
      <w:pPr>
        <w:spacing w:after="0"/>
      </w:pPr>
      <w:r>
        <w:separator/>
      </w:r>
    </w:p>
  </w:endnote>
  <w:endnote w:type="continuationSeparator" w:id="0">
    <w:p w14:paraId="7424E4A4" w14:textId="77777777" w:rsidR="00907EAE" w:rsidRDefault="00907EA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612C5E2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6ADC">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" filled="f" stroked="f" strokeweight=".5pt">
              <v:textbox style="mso-fit-shape-to-text:t">
                <w:txbxContent>
                  <w:p w14:paraId="50BC4D33" w14:textId="612C5E23"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6ADC">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4DD2FF4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6ADC">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" filled="f" stroked="f" strokeweight=".5pt">
              <v:textbox style="mso-fit-shape-to-text:t">
                <w:txbxContent>
                  <w:p w14:paraId="570F0D09" w14:textId="4DD2FF40"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36ADC">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3DAF" w14:textId="77777777" w:rsidR="00907EAE" w:rsidRDefault="00907EAE" w:rsidP="00117666">
      <w:pPr>
        <w:spacing w:after="0"/>
      </w:pPr>
      <w:r>
        <w:separator/>
      </w:r>
    </w:p>
  </w:footnote>
  <w:footnote w:type="continuationSeparator" w:id="0">
    <w:p w14:paraId="5AE56633" w14:textId="77777777" w:rsidR="00907EAE" w:rsidRDefault="00907EA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12FA"/>
    <w:rsid w:val="00034304"/>
    <w:rsid w:val="00035434"/>
    <w:rsid w:val="00052A14"/>
    <w:rsid w:val="00077D53"/>
    <w:rsid w:val="000B15EF"/>
    <w:rsid w:val="00105FD9"/>
    <w:rsid w:val="00117666"/>
    <w:rsid w:val="001549D3"/>
    <w:rsid w:val="00160065"/>
    <w:rsid w:val="00177D84"/>
    <w:rsid w:val="00267D18"/>
    <w:rsid w:val="00274347"/>
    <w:rsid w:val="002868E2"/>
    <w:rsid w:val="002869C3"/>
    <w:rsid w:val="002936E4"/>
    <w:rsid w:val="002B4A57"/>
    <w:rsid w:val="002C74CA"/>
    <w:rsid w:val="003123F4"/>
    <w:rsid w:val="00352D9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07EAE"/>
    <w:rsid w:val="009151AA"/>
    <w:rsid w:val="0093429D"/>
    <w:rsid w:val="00943573"/>
    <w:rsid w:val="00964134"/>
    <w:rsid w:val="00970F7D"/>
    <w:rsid w:val="009716D4"/>
    <w:rsid w:val="00994A3D"/>
    <w:rsid w:val="009C2B12"/>
    <w:rsid w:val="00A174D9"/>
    <w:rsid w:val="00A36ADC"/>
    <w:rsid w:val="00AA4D24"/>
    <w:rsid w:val="00AB6715"/>
    <w:rsid w:val="00B1671E"/>
    <w:rsid w:val="00B25EB8"/>
    <w:rsid w:val="00B37F4D"/>
    <w:rsid w:val="00C52A7B"/>
    <w:rsid w:val="00C56BAF"/>
    <w:rsid w:val="00C679AA"/>
    <w:rsid w:val="00C75972"/>
    <w:rsid w:val="00CD066B"/>
    <w:rsid w:val="00CE4FEE"/>
    <w:rsid w:val="00D060CF"/>
    <w:rsid w:val="00D202DC"/>
    <w:rsid w:val="00DB59C3"/>
    <w:rsid w:val="00DC259A"/>
    <w:rsid w:val="00DE23E8"/>
    <w:rsid w:val="00DF710A"/>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47B68-3FBC-4E93-892D-0ADB8525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6</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Giorgia Aprile</cp:lastModifiedBy>
  <cp:revision>2</cp:revision>
  <cp:lastPrinted>2013-10-03T12:51:00Z</cp:lastPrinted>
  <dcterms:created xsi:type="dcterms:W3CDTF">2019-10-02T09:35:00Z</dcterms:created>
  <dcterms:modified xsi:type="dcterms:W3CDTF">2019-10-02T09:35:00Z</dcterms:modified>
</cp:coreProperties>
</file>