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DB3" w:rsidRPr="007B56DC" w:rsidRDefault="00094DB3" w:rsidP="00094DB3">
      <w:pPr>
        <w:widowControl/>
        <w:wordWrap/>
        <w:autoSpaceDE/>
        <w:autoSpaceDN/>
        <w:spacing w:line="480" w:lineRule="auto"/>
        <w:jc w:val="center"/>
        <w:rPr>
          <w:rFonts w:ascii="Times New Roman"/>
          <w:b/>
          <w:i/>
          <w:sz w:val="32"/>
          <w:szCs w:val="32"/>
        </w:rPr>
      </w:pPr>
      <w:r w:rsidRPr="007B56DC">
        <w:rPr>
          <w:rFonts w:ascii="Times New Roman"/>
          <w:b/>
          <w:i/>
          <w:sz w:val="32"/>
          <w:szCs w:val="32"/>
        </w:rPr>
        <w:t>Supplementary Material</w:t>
      </w:r>
    </w:p>
    <w:p w:rsidR="009C22CF" w:rsidRPr="007B56DC" w:rsidRDefault="009C22CF" w:rsidP="009C22CF">
      <w:pPr>
        <w:spacing w:line="480" w:lineRule="auto"/>
        <w:jc w:val="center"/>
        <w:rPr>
          <w:rFonts w:ascii="Times New Roman"/>
          <w:b/>
          <w:sz w:val="32"/>
          <w:szCs w:val="32"/>
        </w:rPr>
      </w:pPr>
      <w:r w:rsidRPr="007B56DC">
        <w:rPr>
          <w:rFonts w:ascii="Times New Roman"/>
          <w:b/>
          <w:sz w:val="32"/>
          <w:szCs w:val="32"/>
        </w:rPr>
        <w:t>Title: AtPR5K2, a PR5-Like Receptor Kinase, Modulates Plant Responses to Drought Stress by Phosphorylating Protein Phosphatase 2Cs</w:t>
      </w:r>
    </w:p>
    <w:p w:rsidR="00094DB3" w:rsidRPr="007B56DC" w:rsidRDefault="00094DB3" w:rsidP="00094DB3">
      <w:pPr>
        <w:widowControl/>
        <w:wordWrap/>
        <w:autoSpaceDE/>
        <w:autoSpaceDN/>
        <w:spacing w:line="480" w:lineRule="auto"/>
        <w:rPr>
          <w:rFonts w:ascii="Times New Roman"/>
          <w:sz w:val="24"/>
        </w:rPr>
      </w:pPr>
    </w:p>
    <w:p w:rsidR="009C22CF" w:rsidRPr="007B56DC" w:rsidRDefault="009C22CF" w:rsidP="009C22CF">
      <w:pPr>
        <w:widowControl/>
        <w:wordWrap/>
        <w:autoSpaceDE/>
        <w:autoSpaceDN/>
        <w:spacing w:after="160" w:line="480" w:lineRule="auto"/>
        <w:rPr>
          <w:rFonts w:ascii="Times New Roman" w:eastAsia="맑은 고딕" w:hAnsi="맑은 고딕"/>
          <w:sz w:val="24"/>
          <w:szCs w:val="22"/>
        </w:rPr>
      </w:pPr>
      <w:r w:rsidRPr="007B56DC">
        <w:rPr>
          <w:rFonts w:ascii="Times New Roman" w:eastAsia="맑은 고딕" w:hAnsi="맑은 고딕"/>
          <w:sz w:val="24"/>
          <w:szCs w:val="22"/>
        </w:rPr>
        <w:t>Dongwon Baek</w:t>
      </w:r>
      <w:r w:rsidRPr="007B56DC">
        <w:rPr>
          <w:rFonts w:ascii="Times New Roman" w:eastAsia="맑은 고딕" w:hAnsi="맑은 고딕"/>
          <w:sz w:val="24"/>
          <w:szCs w:val="22"/>
          <w:vertAlign w:val="superscript"/>
        </w:rPr>
        <w:t xml:space="preserve">a, </w:t>
      </w:r>
      <w:r w:rsidRPr="007B56DC">
        <w:rPr>
          <w:rFonts w:ascii="Times New Roman" w:eastAsia="맑은 고딕" w:hAnsi="맑은 고딕"/>
          <w:sz w:val="24"/>
          <w:szCs w:val="22"/>
        </w:rPr>
        <w:t>†</w:t>
      </w:r>
      <w:r w:rsidRPr="007B56DC">
        <w:rPr>
          <w:rFonts w:ascii="Times New Roman" w:eastAsia="맑은 고딕" w:hAnsi="맑은 고딕"/>
          <w:sz w:val="24"/>
          <w:szCs w:val="22"/>
        </w:rPr>
        <w:t>, Min Chul Kim</w:t>
      </w:r>
      <w:r w:rsidRPr="007B56DC">
        <w:rPr>
          <w:rFonts w:ascii="Times New Roman" w:eastAsia="맑은 고딕" w:hAnsi="맑은 고딕"/>
          <w:sz w:val="24"/>
          <w:szCs w:val="22"/>
          <w:vertAlign w:val="superscript"/>
        </w:rPr>
        <w:t xml:space="preserve">a, b, </w:t>
      </w:r>
      <w:r w:rsidRPr="007B56DC">
        <w:rPr>
          <w:rFonts w:ascii="Times New Roman" w:eastAsia="맑은 고딕" w:hAnsi="맑은 고딕"/>
          <w:sz w:val="24"/>
          <w:szCs w:val="22"/>
        </w:rPr>
        <w:t>†</w:t>
      </w:r>
      <w:r w:rsidRPr="007B56DC">
        <w:rPr>
          <w:rFonts w:ascii="Times New Roman" w:eastAsia="맑은 고딕" w:hAnsi="맑은 고딕"/>
          <w:sz w:val="24"/>
          <w:szCs w:val="22"/>
        </w:rPr>
        <w:t>, Dhinesh Kumar</w:t>
      </w:r>
      <w:r w:rsidRPr="007B56DC">
        <w:rPr>
          <w:rFonts w:ascii="Times New Roman" w:eastAsia="맑은 고딕" w:hAnsi="맑은 고딕"/>
          <w:sz w:val="24"/>
          <w:szCs w:val="22"/>
          <w:vertAlign w:val="superscript"/>
        </w:rPr>
        <w:t xml:space="preserve">a, c, </w:t>
      </w:r>
      <w:r w:rsidRPr="007B56DC">
        <w:rPr>
          <w:rFonts w:ascii="Times New Roman" w:eastAsia="맑은 고딕" w:hAnsi="맑은 고딕"/>
          <w:sz w:val="24"/>
          <w:szCs w:val="22"/>
        </w:rPr>
        <w:t>†</w:t>
      </w:r>
      <w:r w:rsidRPr="007B56DC">
        <w:rPr>
          <w:rFonts w:ascii="Times New Roman" w:eastAsia="맑은 고딕" w:hAnsi="맑은 고딕"/>
          <w:sz w:val="24"/>
          <w:szCs w:val="22"/>
        </w:rPr>
        <w:t>, Bokyung Park</w:t>
      </w:r>
      <w:r w:rsidRPr="007B56DC">
        <w:rPr>
          <w:rFonts w:ascii="Times New Roman" w:eastAsia="맑은 고딕" w:hAnsi="맑은 고딕"/>
          <w:sz w:val="24"/>
          <w:szCs w:val="22"/>
          <w:vertAlign w:val="superscript"/>
        </w:rPr>
        <w:t>d</w:t>
      </w:r>
      <w:r w:rsidRPr="007B56DC">
        <w:rPr>
          <w:rFonts w:ascii="Times New Roman" w:eastAsia="맑은 고딕" w:hAnsi="맑은 고딕"/>
          <w:sz w:val="24"/>
          <w:szCs w:val="22"/>
        </w:rPr>
        <w:t xml:space="preserve">, </w:t>
      </w:r>
      <w:r w:rsidRPr="007B56DC">
        <w:rPr>
          <w:rFonts w:ascii="Times New Roman" w:eastAsia="맑은 고딕"/>
          <w:sz w:val="24"/>
        </w:rPr>
        <w:t>Mi Sun Cheong</w:t>
      </w:r>
      <w:r w:rsidRPr="007B56DC">
        <w:rPr>
          <w:rFonts w:ascii="Times New Roman" w:eastAsia="맑은 고딕"/>
          <w:sz w:val="24"/>
          <w:vertAlign w:val="superscript"/>
        </w:rPr>
        <w:t>e</w:t>
      </w:r>
      <w:r w:rsidRPr="007B56DC">
        <w:rPr>
          <w:rFonts w:ascii="Times New Roman" w:eastAsia="맑은 고딕"/>
          <w:sz w:val="24"/>
        </w:rPr>
        <w:t>,</w:t>
      </w:r>
      <w:r w:rsidRPr="007B56DC">
        <w:rPr>
          <w:rFonts w:ascii="Times New Roman" w:eastAsia="맑은 고딕" w:hAnsi="맑은 고딕"/>
          <w:sz w:val="24"/>
          <w:szCs w:val="22"/>
        </w:rPr>
        <w:t xml:space="preserve"> Wonkyun Choi</w:t>
      </w:r>
      <w:r w:rsidRPr="007B56DC">
        <w:rPr>
          <w:rFonts w:ascii="Times New Roman" w:eastAsia="맑은 고딕" w:hAnsi="맑은 고딕"/>
          <w:sz w:val="24"/>
          <w:szCs w:val="22"/>
          <w:vertAlign w:val="superscript"/>
        </w:rPr>
        <w:t>f</w:t>
      </w:r>
      <w:r w:rsidRPr="007B56DC">
        <w:rPr>
          <w:rFonts w:ascii="Times New Roman" w:eastAsia="맑은 고딕" w:hAnsi="맑은 고딕"/>
          <w:sz w:val="24"/>
          <w:szCs w:val="22"/>
        </w:rPr>
        <w:t>, Hyeong Cheol Park</w:t>
      </w:r>
      <w:r w:rsidRPr="007B56DC">
        <w:rPr>
          <w:rFonts w:ascii="Times New Roman" w:eastAsia="맑은 고딕" w:hAnsi="맑은 고딕"/>
          <w:sz w:val="24"/>
          <w:szCs w:val="22"/>
          <w:vertAlign w:val="superscript"/>
        </w:rPr>
        <w:t>f</w:t>
      </w:r>
      <w:r w:rsidRPr="007B56DC">
        <w:rPr>
          <w:rFonts w:ascii="Times New Roman" w:eastAsia="맑은 고딕" w:hAnsi="맑은 고딕"/>
          <w:sz w:val="24"/>
          <w:szCs w:val="22"/>
        </w:rPr>
        <w:t>, Hyun Jin Chun</w:t>
      </w:r>
      <w:r w:rsidRPr="007B56DC">
        <w:rPr>
          <w:rFonts w:ascii="Times New Roman" w:eastAsia="맑은 고딕" w:hAnsi="맑은 고딕"/>
          <w:sz w:val="24"/>
          <w:szCs w:val="22"/>
          <w:vertAlign w:val="superscript"/>
        </w:rPr>
        <w:t>b</w:t>
      </w:r>
      <w:r w:rsidRPr="007B56DC">
        <w:rPr>
          <w:rFonts w:ascii="Times New Roman" w:eastAsia="맑은 고딕" w:hAnsi="맑은 고딕"/>
          <w:sz w:val="24"/>
          <w:szCs w:val="22"/>
        </w:rPr>
        <w:t>, Sang Yeol Lee</w:t>
      </w:r>
      <w:r w:rsidRPr="007B56DC">
        <w:rPr>
          <w:rFonts w:ascii="Times New Roman" w:eastAsia="맑은 고딕" w:hAnsi="맑은 고딕"/>
          <w:sz w:val="24"/>
          <w:szCs w:val="22"/>
          <w:vertAlign w:val="superscript"/>
        </w:rPr>
        <w:t>a</w:t>
      </w:r>
      <w:r w:rsidRPr="007B56DC">
        <w:rPr>
          <w:rFonts w:ascii="Times New Roman" w:eastAsia="맑은 고딕" w:hAnsi="맑은 고딕"/>
          <w:sz w:val="24"/>
          <w:szCs w:val="22"/>
        </w:rPr>
        <w:t>,</w:t>
      </w:r>
      <w:r w:rsidRPr="007B56DC">
        <w:rPr>
          <w:rFonts w:ascii="맑은 고딕" w:eastAsia="맑은 고딕" w:hAnsi="맑은 고딕"/>
          <w:szCs w:val="22"/>
        </w:rPr>
        <w:t xml:space="preserve"> </w:t>
      </w:r>
      <w:r w:rsidRPr="007B56DC">
        <w:rPr>
          <w:rFonts w:ascii="Times New Roman" w:eastAsia="맑은 고딕" w:hAnsi="맑은 고딕"/>
          <w:sz w:val="24"/>
          <w:szCs w:val="22"/>
        </w:rPr>
        <w:t>Ray A. Bressan</w:t>
      </w:r>
      <w:r w:rsidRPr="007B56DC">
        <w:rPr>
          <w:rFonts w:ascii="Times New Roman" w:eastAsia="맑은 고딕" w:hAnsi="맑은 고딕"/>
          <w:sz w:val="24"/>
          <w:szCs w:val="22"/>
          <w:vertAlign w:val="superscript"/>
        </w:rPr>
        <w:t>g</w:t>
      </w:r>
      <w:r w:rsidRPr="007B56DC">
        <w:rPr>
          <w:rFonts w:ascii="Times New Roman" w:eastAsia="맑은 고딕" w:hAnsi="맑은 고딕"/>
          <w:sz w:val="24"/>
          <w:szCs w:val="22"/>
        </w:rPr>
        <w:t>, Jae-Yean Kim</w:t>
      </w:r>
      <w:r w:rsidRPr="007B56DC">
        <w:rPr>
          <w:rFonts w:ascii="Times New Roman" w:eastAsia="맑은 고딕" w:hAnsi="맑은 고딕"/>
          <w:sz w:val="24"/>
          <w:szCs w:val="22"/>
          <w:vertAlign w:val="superscript"/>
        </w:rPr>
        <w:t xml:space="preserve">a, </w:t>
      </w:r>
      <w:r w:rsidRPr="007B56DC">
        <w:rPr>
          <w:rFonts w:ascii="Times New Roman" w:eastAsia="맑은 고딕" w:hAnsi="맑은 고딕"/>
          <w:sz w:val="24"/>
          <w:szCs w:val="22"/>
        </w:rPr>
        <w:t>*, Dae-Jin Yun</w:t>
      </w:r>
      <w:r w:rsidRPr="007B56DC">
        <w:rPr>
          <w:rFonts w:ascii="Times New Roman" w:eastAsia="맑은 고딕" w:hAnsi="맑은 고딕"/>
          <w:sz w:val="24"/>
          <w:szCs w:val="22"/>
          <w:vertAlign w:val="superscript"/>
        </w:rPr>
        <w:t xml:space="preserve">d, </w:t>
      </w:r>
      <w:r w:rsidRPr="007B56DC">
        <w:rPr>
          <w:rFonts w:ascii="Times New Roman" w:eastAsia="맑은 고딕" w:hAnsi="맑은 고딕"/>
          <w:sz w:val="24"/>
          <w:szCs w:val="22"/>
        </w:rPr>
        <w:t>*</w:t>
      </w:r>
    </w:p>
    <w:p w:rsidR="00094DB3" w:rsidRPr="007B56DC" w:rsidRDefault="00094DB3" w:rsidP="00094DB3">
      <w:pPr>
        <w:widowControl/>
        <w:wordWrap/>
        <w:autoSpaceDE/>
        <w:autoSpaceDN/>
        <w:spacing w:line="480" w:lineRule="auto"/>
        <w:rPr>
          <w:rFonts w:ascii="Times New Roman"/>
          <w:sz w:val="24"/>
        </w:rPr>
      </w:pPr>
    </w:p>
    <w:p w:rsidR="007E08A2" w:rsidRPr="007B56DC" w:rsidRDefault="007E08A2" w:rsidP="007E08A2">
      <w:pPr>
        <w:widowControl/>
        <w:wordWrap/>
        <w:autoSpaceDE/>
        <w:autoSpaceDN/>
        <w:spacing w:after="160" w:line="480" w:lineRule="auto"/>
        <w:rPr>
          <w:rFonts w:ascii="Times New Roman" w:eastAsia="맑은 고딕" w:hAnsi="맑은 고딕"/>
          <w:sz w:val="24"/>
          <w:szCs w:val="22"/>
        </w:rPr>
      </w:pPr>
      <w:r w:rsidRPr="007B56DC">
        <w:rPr>
          <w:rFonts w:ascii="Times New Roman" w:eastAsia="맑은 고딕" w:hAnsi="맑은 고딕"/>
          <w:sz w:val="24"/>
          <w:szCs w:val="22"/>
        </w:rPr>
        <w:t>* Corresponding author:</w:t>
      </w:r>
    </w:p>
    <w:p w:rsidR="007E08A2" w:rsidRPr="007B56DC" w:rsidRDefault="007E08A2" w:rsidP="007E08A2">
      <w:pPr>
        <w:widowControl/>
        <w:wordWrap/>
        <w:autoSpaceDE/>
        <w:autoSpaceDN/>
        <w:spacing w:after="160" w:line="480" w:lineRule="auto"/>
        <w:rPr>
          <w:rFonts w:ascii="Times New Roman" w:eastAsia="맑은 고딕" w:hAnsi="맑은 고딕"/>
          <w:sz w:val="24"/>
          <w:szCs w:val="22"/>
        </w:rPr>
      </w:pPr>
      <w:r w:rsidRPr="007B56DC">
        <w:rPr>
          <w:rFonts w:ascii="Times New Roman" w:eastAsia="맑은 고딕"/>
          <w:sz w:val="24"/>
        </w:rPr>
        <w:t>Department of Biomedical Science and Engineering, Konkuk University, Seoul 05029, Korea</w:t>
      </w:r>
      <w:r w:rsidRPr="007B56DC">
        <w:rPr>
          <w:rFonts w:ascii="Times New Roman" w:eastAsia="맑은 고딕" w:hAnsi="맑은 고딕"/>
          <w:sz w:val="24"/>
          <w:szCs w:val="22"/>
        </w:rPr>
        <w:t xml:space="preserve"> Phone: +82 2 450 0583</w:t>
      </w:r>
    </w:p>
    <w:p w:rsidR="007E08A2" w:rsidRPr="007B56DC" w:rsidRDefault="007E08A2" w:rsidP="007E08A2">
      <w:pPr>
        <w:widowControl/>
        <w:wordWrap/>
        <w:autoSpaceDE/>
        <w:autoSpaceDN/>
        <w:spacing w:after="160" w:line="480" w:lineRule="auto"/>
        <w:rPr>
          <w:rFonts w:ascii="Times New Roman" w:eastAsia="맑은 고딕"/>
          <w:sz w:val="24"/>
          <w:u w:val="single"/>
        </w:rPr>
      </w:pPr>
      <w:r w:rsidRPr="007B56DC">
        <w:rPr>
          <w:rFonts w:ascii="Times New Roman" w:eastAsia="맑은 고딕" w:hAnsi="맑은 고딕"/>
          <w:sz w:val="24"/>
          <w:szCs w:val="22"/>
        </w:rPr>
        <w:t>E-Mail: Jae-Yean Kim (kimjy@gnu.ac.kr), Dae-Jin Yun (</w:t>
      </w:r>
      <w:hyperlink r:id="rId7" w:history="1">
        <w:r w:rsidRPr="007B56DC">
          <w:rPr>
            <w:rFonts w:ascii="Times New Roman" w:eastAsia="맑은 고딕"/>
            <w:sz w:val="24"/>
            <w:u w:val="single"/>
          </w:rPr>
          <w:t>djyun@konkuk.ac.kr</w:t>
        </w:r>
      </w:hyperlink>
      <w:r w:rsidRPr="007B56DC">
        <w:rPr>
          <w:rFonts w:ascii="Times New Roman" w:eastAsia="맑은 고딕"/>
          <w:sz w:val="24"/>
          <w:u w:val="single"/>
        </w:rPr>
        <w:t>)</w:t>
      </w:r>
    </w:p>
    <w:p w:rsidR="007E08A2" w:rsidRPr="007B56DC" w:rsidRDefault="007E08A2" w:rsidP="007E08A2">
      <w:pPr>
        <w:widowControl/>
        <w:wordWrap/>
        <w:autoSpaceDE/>
        <w:autoSpaceDN/>
        <w:spacing w:after="160" w:line="480" w:lineRule="auto"/>
        <w:rPr>
          <w:rFonts w:ascii="Times New Roman" w:eastAsia="맑은 고딕" w:hAnsi="맑은 고딕"/>
          <w:sz w:val="24"/>
          <w:szCs w:val="22"/>
        </w:rPr>
      </w:pPr>
    </w:p>
    <w:p w:rsidR="007E08A2" w:rsidRPr="007B56DC" w:rsidRDefault="007E08A2" w:rsidP="007E08A2">
      <w:pPr>
        <w:widowControl/>
        <w:wordWrap/>
        <w:autoSpaceDE/>
        <w:autoSpaceDN/>
        <w:spacing w:after="160" w:line="480" w:lineRule="auto"/>
        <w:rPr>
          <w:rFonts w:ascii="Times New Roman" w:eastAsia="맑은 고딕" w:hAnsi="맑은 고딕"/>
          <w:sz w:val="24"/>
          <w:szCs w:val="22"/>
        </w:rPr>
      </w:pPr>
      <w:r w:rsidRPr="007B56DC">
        <w:rPr>
          <w:rFonts w:ascii="Times New Roman" w:eastAsia="맑은 고딕" w:hAnsi="맑은 고딕"/>
          <w:sz w:val="24"/>
          <w:szCs w:val="22"/>
        </w:rPr>
        <w:t>†</w:t>
      </w:r>
      <w:r w:rsidRPr="007B56DC">
        <w:rPr>
          <w:rFonts w:ascii="Times New Roman" w:eastAsia="맑은 고딕" w:hAnsi="맑은 고딕"/>
          <w:sz w:val="24"/>
          <w:szCs w:val="22"/>
        </w:rPr>
        <w:t xml:space="preserve"> These authors contributed equally to this work.</w:t>
      </w:r>
    </w:p>
    <w:p w:rsidR="00094DB3" w:rsidRPr="007B56DC" w:rsidRDefault="00094DB3">
      <w:pPr>
        <w:widowControl/>
        <w:wordWrap/>
        <w:autoSpaceDE/>
        <w:autoSpaceDN/>
        <w:spacing w:after="200" w:line="276" w:lineRule="auto"/>
        <w:rPr>
          <w:rFonts w:ascii="Times New Roman"/>
          <w:sz w:val="24"/>
        </w:rPr>
      </w:pPr>
    </w:p>
    <w:p w:rsidR="00094DB3" w:rsidRPr="007B56DC" w:rsidRDefault="00094DB3" w:rsidP="00094DB3">
      <w:pPr>
        <w:widowControl/>
        <w:wordWrap/>
        <w:autoSpaceDE/>
        <w:autoSpaceDN/>
        <w:spacing w:after="200" w:line="276" w:lineRule="auto"/>
        <w:rPr>
          <w:rFonts w:ascii="Times New Roman"/>
          <w:b/>
          <w:sz w:val="24"/>
        </w:rPr>
      </w:pPr>
      <w:r w:rsidRPr="007B56DC">
        <w:rPr>
          <w:rFonts w:ascii="Times New Roman"/>
          <w:sz w:val="24"/>
        </w:rPr>
        <w:br w:type="page"/>
      </w:r>
      <w:r w:rsidRPr="007B56DC">
        <w:rPr>
          <w:rFonts w:ascii="Times New Roman"/>
          <w:b/>
          <w:sz w:val="24"/>
        </w:rPr>
        <w:lastRenderedPageBreak/>
        <w:t>1. Supplementary Figures and Tables</w:t>
      </w:r>
    </w:p>
    <w:p w:rsidR="00094DB3" w:rsidRPr="007B56DC" w:rsidRDefault="00094DB3" w:rsidP="00094DB3">
      <w:pPr>
        <w:widowControl/>
        <w:wordWrap/>
        <w:autoSpaceDE/>
        <w:autoSpaceDN/>
        <w:spacing w:after="200" w:line="276" w:lineRule="auto"/>
        <w:rPr>
          <w:rFonts w:ascii="Times New Roman"/>
          <w:b/>
          <w:sz w:val="24"/>
        </w:rPr>
      </w:pPr>
      <w:r w:rsidRPr="007B56DC">
        <w:rPr>
          <w:rFonts w:ascii="Times New Roman"/>
          <w:b/>
          <w:sz w:val="24"/>
        </w:rPr>
        <w:t xml:space="preserve">1. </w:t>
      </w:r>
      <w:r w:rsidRPr="007B56DC">
        <w:rPr>
          <w:rFonts w:ascii="Times New Roman" w:hint="eastAsia"/>
          <w:b/>
          <w:sz w:val="24"/>
        </w:rPr>
        <w:t xml:space="preserve">1. </w:t>
      </w:r>
      <w:r w:rsidRPr="007B56DC">
        <w:rPr>
          <w:rFonts w:ascii="Times New Roman"/>
          <w:b/>
          <w:sz w:val="24"/>
        </w:rPr>
        <w:t>Supplementary Figures</w:t>
      </w:r>
    </w:p>
    <w:p w:rsidR="00094DB3" w:rsidRPr="007B56DC" w:rsidRDefault="00094DB3">
      <w:pPr>
        <w:widowControl/>
        <w:wordWrap/>
        <w:autoSpaceDE/>
        <w:autoSpaceDN/>
        <w:spacing w:after="200" w:line="276" w:lineRule="auto"/>
        <w:rPr>
          <w:rFonts w:ascii="Times New Roman"/>
          <w:sz w:val="24"/>
        </w:rPr>
      </w:pPr>
    </w:p>
    <w:p w:rsidR="00094DB3" w:rsidRPr="007B56DC" w:rsidRDefault="00695E23" w:rsidP="00094DB3">
      <w:pPr>
        <w:spacing w:line="480" w:lineRule="auto"/>
        <w:rPr>
          <w:rFonts w:ascii="Times New Roman"/>
          <w:sz w:val="24"/>
        </w:rPr>
      </w:pPr>
      <w:r w:rsidRPr="007B56DC">
        <w:rPr>
          <w:rFonts w:ascii="Times New Roman"/>
          <w:noProof/>
          <w:sz w:val="24"/>
        </w:rPr>
        <w:drawing>
          <wp:inline distT="0" distB="0" distL="0" distR="0" wp14:anchorId="27DBE9B4" wp14:editId="3AA15371">
            <wp:extent cx="2880360" cy="3060192"/>
            <wp:effectExtent l="0" t="0" r="0" b="698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3060192"/>
                    </a:xfrm>
                    <a:prstGeom prst="rect">
                      <a:avLst/>
                    </a:prstGeom>
                  </pic:spPr>
                </pic:pic>
              </a:graphicData>
            </a:graphic>
          </wp:inline>
        </w:drawing>
      </w:r>
    </w:p>
    <w:p w:rsidR="00695E23" w:rsidRPr="007B56DC" w:rsidRDefault="00695E23" w:rsidP="00695E23">
      <w:pPr>
        <w:spacing w:line="480" w:lineRule="auto"/>
        <w:rPr>
          <w:rFonts w:ascii="Times New Roman"/>
          <w:b/>
          <w:sz w:val="24"/>
        </w:rPr>
      </w:pPr>
      <w:r w:rsidRPr="007B56DC">
        <w:rPr>
          <w:rFonts w:ascii="Times New Roman"/>
          <w:b/>
          <w:sz w:val="24"/>
        </w:rPr>
        <w:t xml:space="preserve">Supplementary Figure 1. </w:t>
      </w:r>
      <w:r w:rsidRPr="007B56DC">
        <w:rPr>
          <w:rFonts w:ascii="Times New Roman"/>
          <w:sz w:val="24"/>
        </w:rPr>
        <w:t>Structural organization of the AtPR5K proteins.</w:t>
      </w:r>
    </w:p>
    <w:p w:rsidR="008B425C" w:rsidRDefault="00695E23" w:rsidP="00695E23">
      <w:pPr>
        <w:spacing w:line="480" w:lineRule="auto"/>
        <w:rPr>
          <w:rFonts w:ascii="Times New Roman"/>
          <w:sz w:val="24"/>
        </w:rPr>
      </w:pPr>
      <w:r w:rsidRPr="007B56DC">
        <w:rPr>
          <w:rFonts w:ascii="Times New Roman"/>
          <w:sz w:val="24"/>
        </w:rPr>
        <w:t xml:space="preserve">(A) Conserved domains of the AtPR5Ks. (B) Alignment of the amino acid sequences of the AtPR5Ks. The gene locus numbers of the individual sequences are as follows: AtPR5K1, </w:t>
      </w:r>
      <w:r w:rsidRPr="007B56DC">
        <w:rPr>
          <w:rFonts w:ascii="Times New Roman"/>
          <w:i/>
          <w:sz w:val="24"/>
        </w:rPr>
        <w:t>At5g38280</w:t>
      </w:r>
      <w:r w:rsidRPr="007B56DC">
        <w:rPr>
          <w:rFonts w:ascii="Times New Roman"/>
          <w:sz w:val="24"/>
        </w:rPr>
        <w:t xml:space="preserve">; AtPR5K2, </w:t>
      </w:r>
      <w:r w:rsidRPr="007B56DC">
        <w:rPr>
          <w:rFonts w:ascii="Times New Roman"/>
          <w:i/>
          <w:sz w:val="24"/>
        </w:rPr>
        <w:t>At4g18250</w:t>
      </w:r>
      <w:r w:rsidRPr="007B56DC">
        <w:rPr>
          <w:rFonts w:ascii="Times New Roman"/>
          <w:sz w:val="24"/>
        </w:rPr>
        <w:t xml:space="preserve">; AtPR5K3, </w:t>
      </w:r>
      <w:r w:rsidRPr="007B56DC">
        <w:rPr>
          <w:rFonts w:ascii="Times New Roman"/>
          <w:i/>
          <w:sz w:val="24"/>
        </w:rPr>
        <w:t>At1g70250</w:t>
      </w:r>
      <w:r w:rsidRPr="007B56DC">
        <w:rPr>
          <w:rFonts w:ascii="Times New Roman"/>
          <w:sz w:val="24"/>
        </w:rPr>
        <w:t>, respectively.</w:t>
      </w:r>
    </w:p>
    <w:p w:rsidR="008B425C" w:rsidRDefault="008B425C">
      <w:pPr>
        <w:widowControl/>
        <w:wordWrap/>
        <w:autoSpaceDE/>
        <w:autoSpaceDN/>
        <w:spacing w:after="200" w:line="276" w:lineRule="auto"/>
        <w:rPr>
          <w:rFonts w:ascii="Times New Roman"/>
          <w:sz w:val="24"/>
        </w:rPr>
      </w:pPr>
      <w:r>
        <w:rPr>
          <w:rFonts w:ascii="Times New Roman"/>
          <w:sz w:val="24"/>
        </w:rPr>
        <w:br w:type="page"/>
      </w:r>
    </w:p>
    <w:p w:rsidR="008B425C" w:rsidRDefault="008B425C" w:rsidP="008B425C">
      <w:pPr>
        <w:spacing w:line="480" w:lineRule="auto"/>
        <w:rPr>
          <w:rFonts w:ascii="Times New Roman"/>
          <w:sz w:val="24"/>
        </w:rPr>
      </w:pPr>
      <w:r>
        <w:rPr>
          <w:rFonts w:ascii="Times New Roman"/>
          <w:noProof/>
          <w:sz w:val="24"/>
        </w:rPr>
        <w:lastRenderedPageBreak/>
        <w:drawing>
          <wp:inline distT="0" distB="0" distL="0" distR="0" wp14:anchorId="60254A30" wp14:editId="119C0422">
            <wp:extent cx="5731510" cy="1686560"/>
            <wp:effectExtent l="0" t="0" r="2540" b="889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5K express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686560"/>
                    </a:xfrm>
                    <a:prstGeom prst="rect">
                      <a:avLst/>
                    </a:prstGeom>
                  </pic:spPr>
                </pic:pic>
              </a:graphicData>
            </a:graphic>
          </wp:inline>
        </w:drawing>
      </w:r>
    </w:p>
    <w:p w:rsidR="008B425C" w:rsidRPr="008B425C" w:rsidRDefault="008B425C" w:rsidP="008B425C">
      <w:pPr>
        <w:spacing w:line="480" w:lineRule="auto"/>
        <w:rPr>
          <w:rFonts w:ascii="Times New Roman"/>
          <w:sz w:val="24"/>
        </w:rPr>
      </w:pPr>
      <w:r w:rsidRPr="008B425C">
        <w:rPr>
          <w:rFonts w:ascii="Times New Roman"/>
          <w:b/>
          <w:sz w:val="24"/>
        </w:rPr>
        <w:t>Supplementary Figure 2</w:t>
      </w:r>
      <w:r w:rsidRPr="008B425C">
        <w:rPr>
          <w:rFonts w:ascii="Times New Roman" w:hint="eastAsia"/>
          <w:b/>
          <w:sz w:val="24"/>
        </w:rPr>
        <w:t>.</w:t>
      </w:r>
      <w:r w:rsidRPr="008B425C">
        <w:rPr>
          <w:rFonts w:ascii="Times New Roman" w:hint="eastAsia"/>
          <w:sz w:val="24"/>
        </w:rPr>
        <w:t xml:space="preserve"> </w:t>
      </w:r>
      <w:r w:rsidRPr="008B425C">
        <w:rPr>
          <w:rFonts w:ascii="Times New Roman"/>
          <w:sz w:val="24"/>
        </w:rPr>
        <w:t>Comparison of e</w:t>
      </w:r>
      <w:r w:rsidRPr="008B425C">
        <w:rPr>
          <w:rFonts w:ascii="Times New Roman" w:hint="eastAsia"/>
          <w:sz w:val="24"/>
        </w:rPr>
        <w:t xml:space="preserve">xpression </w:t>
      </w:r>
      <w:r w:rsidRPr="008B425C">
        <w:rPr>
          <w:rFonts w:ascii="Times New Roman"/>
          <w:sz w:val="24"/>
        </w:rPr>
        <w:t xml:space="preserve">patterns </w:t>
      </w:r>
      <w:r w:rsidRPr="008B425C">
        <w:rPr>
          <w:rFonts w:ascii="Times New Roman" w:hint="eastAsia"/>
          <w:sz w:val="24"/>
        </w:rPr>
        <w:t xml:space="preserve">of </w:t>
      </w:r>
      <w:r w:rsidRPr="008B425C">
        <w:rPr>
          <w:rFonts w:ascii="Times New Roman"/>
          <w:i/>
          <w:sz w:val="24"/>
        </w:rPr>
        <w:t>AtPR5K1</w:t>
      </w:r>
      <w:r w:rsidRPr="008B425C">
        <w:rPr>
          <w:rFonts w:ascii="Times New Roman"/>
          <w:sz w:val="24"/>
        </w:rPr>
        <w:t xml:space="preserve">, </w:t>
      </w:r>
      <w:r w:rsidRPr="008B425C">
        <w:rPr>
          <w:rFonts w:ascii="Times New Roman"/>
          <w:i/>
          <w:sz w:val="24"/>
        </w:rPr>
        <w:t>AtPR5K2</w:t>
      </w:r>
      <w:r w:rsidRPr="008B425C">
        <w:rPr>
          <w:rFonts w:ascii="Times New Roman"/>
          <w:sz w:val="24"/>
        </w:rPr>
        <w:t xml:space="preserve">, and </w:t>
      </w:r>
      <w:r w:rsidRPr="008B425C">
        <w:rPr>
          <w:rFonts w:ascii="Times New Roman"/>
          <w:i/>
          <w:sz w:val="24"/>
        </w:rPr>
        <w:t>AtPR5K3</w:t>
      </w:r>
      <w:r w:rsidRPr="008B425C">
        <w:rPr>
          <w:rFonts w:ascii="Times New Roman"/>
          <w:sz w:val="24"/>
        </w:rPr>
        <w:t xml:space="preserve">. </w:t>
      </w:r>
    </w:p>
    <w:p w:rsidR="008B425C" w:rsidRPr="008B425C" w:rsidRDefault="008B425C" w:rsidP="008B425C">
      <w:pPr>
        <w:spacing w:line="480" w:lineRule="auto"/>
        <w:rPr>
          <w:rFonts w:ascii="Times New Roman"/>
          <w:sz w:val="24"/>
        </w:rPr>
      </w:pPr>
      <w:r w:rsidRPr="008B425C">
        <w:rPr>
          <w:rFonts w:ascii="Times New Roman"/>
          <w:sz w:val="24"/>
        </w:rPr>
        <w:t>E</w:t>
      </w:r>
      <w:r w:rsidRPr="008B425C">
        <w:rPr>
          <w:rFonts w:ascii="Times New Roman" w:hint="eastAsia"/>
          <w:sz w:val="24"/>
        </w:rPr>
        <w:t xml:space="preserve">xpression </w:t>
      </w:r>
      <w:r w:rsidRPr="008B425C">
        <w:rPr>
          <w:rFonts w:ascii="Times New Roman"/>
          <w:sz w:val="24"/>
        </w:rPr>
        <w:t xml:space="preserve">patterns </w:t>
      </w:r>
      <w:r w:rsidRPr="008B425C">
        <w:rPr>
          <w:rFonts w:ascii="Times New Roman" w:hint="eastAsia"/>
          <w:sz w:val="24"/>
        </w:rPr>
        <w:t xml:space="preserve">of </w:t>
      </w:r>
      <w:r w:rsidRPr="008B425C">
        <w:rPr>
          <w:rFonts w:ascii="Times New Roman"/>
          <w:i/>
          <w:sz w:val="24"/>
        </w:rPr>
        <w:t>AtPR5K1</w:t>
      </w:r>
      <w:r w:rsidRPr="008B425C">
        <w:rPr>
          <w:rFonts w:ascii="Times New Roman"/>
          <w:sz w:val="24"/>
        </w:rPr>
        <w:t xml:space="preserve">, </w:t>
      </w:r>
      <w:r w:rsidRPr="008B425C">
        <w:rPr>
          <w:rFonts w:ascii="Times New Roman"/>
          <w:i/>
          <w:sz w:val="24"/>
        </w:rPr>
        <w:t>AtPR5K2</w:t>
      </w:r>
      <w:r w:rsidRPr="008B425C">
        <w:rPr>
          <w:rFonts w:ascii="Times New Roman"/>
          <w:sz w:val="24"/>
        </w:rPr>
        <w:t xml:space="preserve">, and </w:t>
      </w:r>
      <w:r w:rsidRPr="008B425C">
        <w:rPr>
          <w:rFonts w:ascii="Times New Roman"/>
          <w:i/>
          <w:sz w:val="24"/>
        </w:rPr>
        <w:t>AtPR5K3</w:t>
      </w:r>
      <w:r w:rsidRPr="008B425C">
        <w:rPr>
          <w:rFonts w:ascii="Times New Roman"/>
          <w:sz w:val="24"/>
        </w:rPr>
        <w:t xml:space="preserve"> </w:t>
      </w:r>
      <w:r w:rsidRPr="008B425C">
        <w:rPr>
          <w:rFonts w:ascii="Times New Roman" w:hint="eastAsia"/>
          <w:sz w:val="24"/>
        </w:rPr>
        <w:t>in developmental tissues</w:t>
      </w:r>
      <w:r w:rsidRPr="008B425C">
        <w:rPr>
          <w:rFonts w:ascii="Times New Roman"/>
          <w:sz w:val="24"/>
        </w:rPr>
        <w:t xml:space="preserve"> using </w:t>
      </w:r>
      <w:r w:rsidRPr="008B425C">
        <w:rPr>
          <w:rFonts w:ascii="Times New Roman"/>
          <w:i/>
          <w:sz w:val="24"/>
        </w:rPr>
        <w:t>Arabidopsis</w:t>
      </w:r>
      <w:r w:rsidRPr="008B425C">
        <w:rPr>
          <w:rFonts w:ascii="Times New Roman"/>
          <w:sz w:val="24"/>
        </w:rPr>
        <w:t xml:space="preserve"> eFP Browser at BAR website (</w:t>
      </w:r>
      <w:hyperlink r:id="rId10" w:history="1">
        <w:r w:rsidRPr="008B425C">
          <w:rPr>
            <w:rStyle w:val="a6"/>
            <w:rFonts w:ascii="Times New Roman"/>
            <w:color w:val="auto"/>
            <w:sz w:val="24"/>
          </w:rPr>
          <w:t>http://bar.utoronto.ca/efp/cgi-bin/efpWeb.cgi</w:t>
        </w:r>
      </w:hyperlink>
      <w:r w:rsidRPr="008B425C">
        <w:rPr>
          <w:rFonts w:ascii="Times New Roman"/>
          <w:sz w:val="24"/>
        </w:rPr>
        <w:t>).</w:t>
      </w:r>
    </w:p>
    <w:p w:rsidR="00695E23" w:rsidRPr="008B425C" w:rsidRDefault="00695E23" w:rsidP="00695E23">
      <w:pPr>
        <w:spacing w:line="480" w:lineRule="auto"/>
        <w:rPr>
          <w:rFonts w:ascii="Times New Roman"/>
          <w:sz w:val="24"/>
        </w:rPr>
      </w:pPr>
    </w:p>
    <w:p w:rsidR="00094DB3" w:rsidRPr="007B56DC" w:rsidRDefault="00094DB3" w:rsidP="00094DB3">
      <w:pPr>
        <w:widowControl/>
        <w:wordWrap/>
        <w:autoSpaceDE/>
        <w:autoSpaceDN/>
        <w:jc w:val="left"/>
        <w:rPr>
          <w:rFonts w:ascii="Times New Roman"/>
          <w:sz w:val="24"/>
        </w:rPr>
      </w:pPr>
      <w:r w:rsidRPr="007B56DC">
        <w:rPr>
          <w:rFonts w:ascii="Times New Roman"/>
          <w:sz w:val="24"/>
        </w:rPr>
        <w:br w:type="page"/>
      </w:r>
    </w:p>
    <w:p w:rsidR="00094DB3" w:rsidRPr="007B56DC" w:rsidRDefault="00695E23" w:rsidP="00094DB3">
      <w:pPr>
        <w:spacing w:line="480" w:lineRule="auto"/>
        <w:rPr>
          <w:rFonts w:ascii="Times New Roman"/>
          <w:sz w:val="24"/>
        </w:rPr>
      </w:pPr>
      <w:r w:rsidRPr="007B56DC">
        <w:rPr>
          <w:rFonts w:ascii="Times New Roman"/>
          <w:noProof/>
          <w:sz w:val="24"/>
        </w:rPr>
        <w:lastRenderedPageBreak/>
        <w:drawing>
          <wp:inline distT="0" distB="0" distL="0" distR="0" wp14:anchorId="5A0AE09A" wp14:editId="6E5769E1">
            <wp:extent cx="3060192" cy="2880360"/>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2880360"/>
                    </a:xfrm>
                    <a:prstGeom prst="rect">
                      <a:avLst/>
                    </a:prstGeom>
                  </pic:spPr>
                </pic:pic>
              </a:graphicData>
            </a:graphic>
          </wp:inline>
        </w:drawing>
      </w:r>
    </w:p>
    <w:p w:rsidR="00695E23" w:rsidRPr="007B56DC" w:rsidRDefault="00695E23" w:rsidP="00695E23">
      <w:pPr>
        <w:spacing w:line="480" w:lineRule="auto"/>
        <w:rPr>
          <w:rFonts w:ascii="Times New Roman"/>
          <w:sz w:val="24"/>
        </w:rPr>
      </w:pPr>
      <w:r w:rsidRPr="007B56DC">
        <w:rPr>
          <w:rFonts w:ascii="Times New Roman"/>
          <w:b/>
          <w:sz w:val="24"/>
        </w:rPr>
        <w:t xml:space="preserve">Supplementary Figure </w:t>
      </w:r>
      <w:r w:rsidR="000E1272">
        <w:rPr>
          <w:rFonts w:ascii="Times New Roman"/>
          <w:b/>
          <w:sz w:val="24"/>
        </w:rPr>
        <w:t>3</w:t>
      </w:r>
      <w:r w:rsidRPr="007B56DC">
        <w:rPr>
          <w:rFonts w:ascii="Times New Roman"/>
          <w:b/>
          <w:sz w:val="24"/>
        </w:rPr>
        <w:t xml:space="preserve">. </w:t>
      </w:r>
      <w:r w:rsidRPr="007B56DC">
        <w:rPr>
          <w:rFonts w:ascii="Times New Roman"/>
          <w:sz w:val="24"/>
        </w:rPr>
        <w:t xml:space="preserve">Identification of </w:t>
      </w:r>
      <w:r w:rsidRPr="007B56DC">
        <w:rPr>
          <w:rFonts w:ascii="Times New Roman"/>
          <w:i/>
          <w:sz w:val="24"/>
        </w:rPr>
        <w:t>atpr5k1-1</w:t>
      </w:r>
      <w:r w:rsidRPr="007B56DC">
        <w:rPr>
          <w:rFonts w:ascii="Times New Roman"/>
          <w:sz w:val="24"/>
        </w:rPr>
        <w:t xml:space="preserve">, </w:t>
      </w:r>
      <w:r w:rsidRPr="007B56DC">
        <w:rPr>
          <w:rFonts w:ascii="Times New Roman"/>
          <w:i/>
          <w:sz w:val="24"/>
        </w:rPr>
        <w:t>atpr5k2-1</w:t>
      </w:r>
      <w:r w:rsidRPr="007B56DC">
        <w:rPr>
          <w:rFonts w:ascii="Times New Roman"/>
          <w:sz w:val="24"/>
        </w:rPr>
        <w:t xml:space="preserve">, and </w:t>
      </w:r>
      <w:r w:rsidRPr="007B56DC">
        <w:rPr>
          <w:rFonts w:ascii="Times New Roman"/>
          <w:i/>
          <w:sz w:val="24"/>
        </w:rPr>
        <w:t>atpr5k3-1</w:t>
      </w:r>
      <w:r w:rsidRPr="007B56DC">
        <w:rPr>
          <w:rFonts w:ascii="Times New Roman"/>
          <w:sz w:val="24"/>
        </w:rPr>
        <w:t xml:space="preserve"> mutants.</w:t>
      </w:r>
    </w:p>
    <w:p w:rsidR="00695E23" w:rsidRPr="007B56DC" w:rsidRDefault="00695E23" w:rsidP="00695E23">
      <w:pPr>
        <w:spacing w:line="480" w:lineRule="auto"/>
        <w:rPr>
          <w:rFonts w:ascii="Times New Roman"/>
          <w:sz w:val="24"/>
        </w:rPr>
      </w:pPr>
      <w:r w:rsidRPr="007B56DC">
        <w:rPr>
          <w:rFonts w:ascii="Times New Roman"/>
          <w:sz w:val="24"/>
        </w:rPr>
        <w:t xml:space="preserve">(A) Scheme of the </w:t>
      </w:r>
      <w:r w:rsidRPr="007B56DC">
        <w:rPr>
          <w:rFonts w:ascii="Times New Roman"/>
          <w:i/>
          <w:sz w:val="24"/>
        </w:rPr>
        <w:t>AtPR5K1</w:t>
      </w:r>
      <w:r w:rsidRPr="007B56DC">
        <w:rPr>
          <w:rFonts w:ascii="Times New Roman"/>
          <w:sz w:val="24"/>
        </w:rPr>
        <w:t xml:space="preserve">, </w:t>
      </w:r>
      <w:r w:rsidRPr="007B56DC">
        <w:rPr>
          <w:rFonts w:ascii="Times New Roman"/>
          <w:i/>
          <w:sz w:val="24"/>
        </w:rPr>
        <w:t>AtPR5K2</w:t>
      </w:r>
      <w:r w:rsidRPr="007B56DC">
        <w:rPr>
          <w:rFonts w:ascii="Times New Roman"/>
          <w:sz w:val="24"/>
        </w:rPr>
        <w:t xml:space="preserve">, and </w:t>
      </w:r>
      <w:r w:rsidRPr="007B56DC">
        <w:rPr>
          <w:rFonts w:ascii="Times New Roman"/>
          <w:i/>
          <w:sz w:val="24"/>
        </w:rPr>
        <w:t>AtPR5K3</w:t>
      </w:r>
      <w:r w:rsidRPr="007B56DC">
        <w:rPr>
          <w:rFonts w:ascii="Times New Roman"/>
          <w:sz w:val="24"/>
        </w:rPr>
        <w:t xml:space="preserve"> genes and the T-DNA insertions in the respective mutant lines. Boxes indicate exons, while lines indicate introns. LP and RP are gene-specific primers described in Supplementary Table 1, which were used for the diagnostic PCR analysis. (B) Genotyping of the </w:t>
      </w:r>
      <w:r w:rsidRPr="007B56DC">
        <w:rPr>
          <w:rFonts w:ascii="Times New Roman"/>
          <w:i/>
          <w:sz w:val="24"/>
        </w:rPr>
        <w:t>atpr5k1-1</w:t>
      </w:r>
      <w:r w:rsidRPr="007B56DC">
        <w:rPr>
          <w:rFonts w:ascii="Times New Roman"/>
          <w:sz w:val="24"/>
        </w:rPr>
        <w:t xml:space="preserve">, </w:t>
      </w:r>
      <w:r w:rsidRPr="007B56DC">
        <w:rPr>
          <w:rFonts w:ascii="Times New Roman"/>
          <w:i/>
          <w:sz w:val="24"/>
        </w:rPr>
        <w:t>atpr5k2-1</w:t>
      </w:r>
      <w:r w:rsidRPr="007B56DC">
        <w:rPr>
          <w:rFonts w:ascii="Times New Roman"/>
          <w:sz w:val="24"/>
        </w:rPr>
        <w:t xml:space="preserve">, and </w:t>
      </w:r>
      <w:r w:rsidRPr="007B56DC">
        <w:rPr>
          <w:rFonts w:ascii="Times New Roman"/>
          <w:i/>
          <w:sz w:val="24"/>
        </w:rPr>
        <w:t>atpr5k3-1</w:t>
      </w:r>
      <w:r w:rsidRPr="007B56DC">
        <w:rPr>
          <w:rFonts w:ascii="Times New Roman"/>
          <w:sz w:val="24"/>
        </w:rPr>
        <w:t xml:space="preserve"> mutants using a diagnostic PCR analysis. LB indicates left border primer specific to the T-DNA. WT, wild type. (C) RT-PCR analysis of </w:t>
      </w:r>
      <w:r w:rsidRPr="007B56DC">
        <w:rPr>
          <w:rFonts w:ascii="Times New Roman"/>
          <w:i/>
          <w:sz w:val="24"/>
        </w:rPr>
        <w:t>AtPR5K1</w:t>
      </w:r>
      <w:r w:rsidRPr="007B56DC">
        <w:rPr>
          <w:rFonts w:ascii="Times New Roman"/>
          <w:sz w:val="24"/>
        </w:rPr>
        <w:t xml:space="preserve">, </w:t>
      </w:r>
      <w:r w:rsidRPr="007B56DC">
        <w:rPr>
          <w:rFonts w:ascii="Times New Roman"/>
          <w:i/>
          <w:sz w:val="24"/>
        </w:rPr>
        <w:t>AtPR5K2</w:t>
      </w:r>
      <w:r w:rsidRPr="007B56DC">
        <w:rPr>
          <w:rFonts w:ascii="Times New Roman"/>
          <w:sz w:val="24"/>
        </w:rPr>
        <w:t xml:space="preserve">, and </w:t>
      </w:r>
      <w:r w:rsidRPr="007B56DC">
        <w:rPr>
          <w:rFonts w:ascii="Times New Roman"/>
          <w:i/>
          <w:sz w:val="24"/>
        </w:rPr>
        <w:t>AtPR5K3</w:t>
      </w:r>
      <w:r w:rsidRPr="007B56DC">
        <w:rPr>
          <w:rFonts w:ascii="Times New Roman"/>
          <w:sz w:val="24"/>
        </w:rPr>
        <w:t xml:space="preserve"> expression in each mutant. PCR reactions were performed using the gene-specific primers described in Supplementary Table 1. </w:t>
      </w:r>
      <w:r w:rsidRPr="007B56DC">
        <w:rPr>
          <w:rFonts w:ascii="Times New Roman"/>
          <w:i/>
          <w:sz w:val="24"/>
        </w:rPr>
        <w:t>TUBULIN2</w:t>
      </w:r>
      <w:r w:rsidRPr="007B56DC">
        <w:rPr>
          <w:rFonts w:ascii="Times New Roman"/>
          <w:sz w:val="24"/>
        </w:rPr>
        <w:t xml:space="preserve"> was used as a loading control.</w:t>
      </w:r>
    </w:p>
    <w:p w:rsidR="00094DB3" w:rsidRPr="007B56DC" w:rsidRDefault="00094DB3" w:rsidP="00094DB3">
      <w:pPr>
        <w:widowControl/>
        <w:wordWrap/>
        <w:autoSpaceDE/>
        <w:autoSpaceDN/>
        <w:jc w:val="left"/>
        <w:rPr>
          <w:rFonts w:ascii="Times New Roman"/>
          <w:sz w:val="24"/>
        </w:rPr>
      </w:pPr>
      <w:r w:rsidRPr="007B56DC">
        <w:rPr>
          <w:rFonts w:ascii="Times New Roman"/>
          <w:sz w:val="24"/>
        </w:rPr>
        <w:br w:type="page"/>
      </w:r>
    </w:p>
    <w:p w:rsidR="00094DB3" w:rsidRPr="007B56DC" w:rsidRDefault="00695E23" w:rsidP="00094DB3">
      <w:pPr>
        <w:spacing w:line="480" w:lineRule="auto"/>
        <w:rPr>
          <w:rFonts w:ascii="Times New Roman"/>
          <w:sz w:val="24"/>
        </w:rPr>
      </w:pPr>
      <w:r w:rsidRPr="007B56DC">
        <w:rPr>
          <w:rFonts w:ascii="Times New Roman"/>
          <w:noProof/>
          <w:sz w:val="24"/>
        </w:rPr>
        <w:lastRenderedPageBreak/>
        <w:drawing>
          <wp:inline distT="0" distB="0" distL="0" distR="0" wp14:anchorId="2A85D932" wp14:editId="6BEA21C3">
            <wp:extent cx="3060192" cy="2700528"/>
            <wp:effectExtent l="0" t="0" r="6985" b="508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192" cy="2700528"/>
                    </a:xfrm>
                    <a:prstGeom prst="rect">
                      <a:avLst/>
                    </a:prstGeom>
                  </pic:spPr>
                </pic:pic>
              </a:graphicData>
            </a:graphic>
          </wp:inline>
        </w:drawing>
      </w:r>
    </w:p>
    <w:p w:rsidR="00695E23" w:rsidRPr="007B56DC" w:rsidRDefault="00695E23" w:rsidP="00695E23">
      <w:pPr>
        <w:spacing w:line="480" w:lineRule="auto"/>
        <w:rPr>
          <w:rFonts w:ascii="Times New Roman"/>
          <w:sz w:val="24"/>
        </w:rPr>
      </w:pPr>
      <w:r w:rsidRPr="007B56DC">
        <w:rPr>
          <w:rFonts w:ascii="Times New Roman"/>
          <w:b/>
          <w:sz w:val="24"/>
        </w:rPr>
        <w:t xml:space="preserve">Supplementary Figure </w:t>
      </w:r>
      <w:r w:rsidR="000E1272">
        <w:rPr>
          <w:rFonts w:ascii="Times New Roman"/>
          <w:b/>
          <w:sz w:val="24"/>
        </w:rPr>
        <w:t>4</w:t>
      </w:r>
      <w:r w:rsidRPr="007B56DC">
        <w:rPr>
          <w:rFonts w:ascii="Times New Roman"/>
          <w:b/>
          <w:sz w:val="24"/>
        </w:rPr>
        <w:t xml:space="preserve">. </w:t>
      </w:r>
      <w:r w:rsidRPr="007B56DC">
        <w:rPr>
          <w:rFonts w:ascii="Times New Roman"/>
          <w:sz w:val="24"/>
        </w:rPr>
        <w:t xml:space="preserve">The phenotypes of the </w:t>
      </w:r>
      <w:r w:rsidRPr="007B56DC">
        <w:rPr>
          <w:rFonts w:ascii="Times New Roman"/>
          <w:i/>
          <w:sz w:val="24"/>
        </w:rPr>
        <w:t>atpr5k1-1</w:t>
      </w:r>
      <w:r w:rsidRPr="007B56DC">
        <w:rPr>
          <w:rFonts w:ascii="Times New Roman"/>
          <w:sz w:val="24"/>
        </w:rPr>
        <w:t xml:space="preserve"> and </w:t>
      </w:r>
      <w:r w:rsidRPr="007B56DC">
        <w:rPr>
          <w:rFonts w:ascii="Times New Roman"/>
          <w:i/>
          <w:sz w:val="24"/>
        </w:rPr>
        <w:t>atpr5k3-1</w:t>
      </w:r>
      <w:r w:rsidRPr="007B56DC">
        <w:rPr>
          <w:rFonts w:ascii="Times New Roman"/>
          <w:sz w:val="24"/>
        </w:rPr>
        <w:t xml:space="preserve"> mutants in response to drought and ABA stresses. </w:t>
      </w:r>
    </w:p>
    <w:p w:rsidR="003E35C5" w:rsidRPr="007B56DC" w:rsidRDefault="00695E23" w:rsidP="00695E23">
      <w:pPr>
        <w:widowControl/>
        <w:wordWrap/>
        <w:autoSpaceDE/>
        <w:autoSpaceDN/>
        <w:spacing w:line="480" w:lineRule="auto"/>
        <w:jc w:val="left"/>
        <w:rPr>
          <w:rFonts w:ascii="Times New Roman"/>
          <w:sz w:val="24"/>
        </w:rPr>
      </w:pPr>
      <w:r w:rsidRPr="007B56DC">
        <w:rPr>
          <w:rFonts w:ascii="Times New Roman"/>
          <w:sz w:val="24"/>
        </w:rPr>
        <w:t xml:space="preserve">(A) Wild-type (WT), </w:t>
      </w:r>
      <w:r w:rsidRPr="007B56DC">
        <w:rPr>
          <w:rFonts w:ascii="Times New Roman"/>
          <w:i/>
          <w:sz w:val="24"/>
        </w:rPr>
        <w:t>atpr5k2-1</w:t>
      </w:r>
      <w:r w:rsidRPr="007B56DC">
        <w:rPr>
          <w:rFonts w:ascii="Times New Roman"/>
          <w:sz w:val="24"/>
        </w:rPr>
        <w:t xml:space="preserve">, and </w:t>
      </w:r>
      <w:r w:rsidRPr="007B56DC">
        <w:rPr>
          <w:rFonts w:ascii="Times New Roman"/>
          <w:i/>
          <w:sz w:val="24"/>
        </w:rPr>
        <w:t>atpr5k3-1</w:t>
      </w:r>
      <w:r w:rsidRPr="007B56DC">
        <w:rPr>
          <w:rFonts w:ascii="Times New Roman"/>
          <w:sz w:val="24"/>
        </w:rPr>
        <w:t xml:space="preserve"> plants were grown in soil with sufficient water for three weeks (upper panel). Water was then withheld from the plants for 13 days (middle), after which the plants were re-watered for one day (bottom). The survival rates of the WT, </w:t>
      </w:r>
      <w:r w:rsidRPr="007B56DC">
        <w:rPr>
          <w:rFonts w:ascii="Times New Roman"/>
          <w:i/>
          <w:sz w:val="24"/>
        </w:rPr>
        <w:t>atpr5k2-1</w:t>
      </w:r>
      <w:r w:rsidRPr="007B56DC">
        <w:rPr>
          <w:rFonts w:ascii="Times New Roman"/>
          <w:sz w:val="24"/>
        </w:rPr>
        <w:t xml:space="preserve">, and </w:t>
      </w:r>
      <w:r w:rsidRPr="007B56DC">
        <w:rPr>
          <w:rFonts w:ascii="Times New Roman"/>
          <w:i/>
          <w:sz w:val="24"/>
        </w:rPr>
        <w:t>atpr5k3-1</w:t>
      </w:r>
      <w:r w:rsidRPr="007B56DC">
        <w:rPr>
          <w:rFonts w:ascii="Times New Roman"/>
          <w:sz w:val="24"/>
        </w:rPr>
        <w:t xml:space="preserve"> plants under drought conditions were assessed </w:t>
      </w:r>
      <w:r w:rsidR="007840AB" w:rsidRPr="007B56DC">
        <w:rPr>
          <w:rFonts w:ascii="Times New Roman"/>
          <w:sz w:val="24"/>
        </w:rPr>
        <w:t>from</w:t>
      </w:r>
      <w:r w:rsidRPr="007B56DC">
        <w:rPr>
          <w:rFonts w:ascii="Times New Roman"/>
          <w:sz w:val="24"/>
        </w:rPr>
        <w:t xml:space="preserve"> four replicates (n = 48). (B) Transpirational water loss was measured in four-week-old WT, </w:t>
      </w:r>
      <w:r w:rsidRPr="007B56DC">
        <w:rPr>
          <w:rFonts w:ascii="Times New Roman"/>
          <w:i/>
          <w:sz w:val="24"/>
        </w:rPr>
        <w:t>atpr5k2-1</w:t>
      </w:r>
      <w:r w:rsidRPr="007B56DC">
        <w:rPr>
          <w:rFonts w:ascii="Times New Roman"/>
          <w:sz w:val="24"/>
        </w:rPr>
        <w:t xml:space="preserve">, and </w:t>
      </w:r>
      <w:r w:rsidRPr="007B56DC">
        <w:rPr>
          <w:rFonts w:ascii="Times New Roman"/>
          <w:i/>
          <w:sz w:val="24"/>
        </w:rPr>
        <w:t xml:space="preserve">atpr5k3-1 </w:t>
      </w:r>
      <w:r w:rsidRPr="007B56DC">
        <w:rPr>
          <w:rFonts w:ascii="Times New Roman"/>
          <w:sz w:val="24"/>
        </w:rPr>
        <w:t xml:space="preserve">plants. The fresh weights were measured at the indicated time points, and water loss was normalized relative to a percentage of their initial fresh weight. </w:t>
      </w:r>
      <w:r w:rsidR="007840AB" w:rsidRPr="007B56DC">
        <w:rPr>
          <w:rFonts w:ascii="Times New Roman"/>
          <w:sz w:val="24"/>
        </w:rPr>
        <w:t>Error bars indicate the standard deviation from three independent experiments</w:t>
      </w:r>
      <w:r w:rsidRPr="007B56DC">
        <w:rPr>
          <w:rFonts w:ascii="Times New Roman"/>
          <w:sz w:val="24"/>
        </w:rPr>
        <w:t xml:space="preserve">. (C) WT, </w:t>
      </w:r>
      <w:r w:rsidRPr="007B56DC">
        <w:rPr>
          <w:rFonts w:ascii="Times New Roman"/>
          <w:i/>
          <w:sz w:val="24"/>
        </w:rPr>
        <w:t>atpr5k2-1</w:t>
      </w:r>
      <w:r w:rsidRPr="007B56DC">
        <w:rPr>
          <w:rFonts w:ascii="Times New Roman"/>
          <w:sz w:val="24"/>
        </w:rPr>
        <w:t xml:space="preserve">, and </w:t>
      </w:r>
      <w:r w:rsidRPr="007B56DC">
        <w:rPr>
          <w:rFonts w:ascii="Times New Roman"/>
          <w:i/>
          <w:sz w:val="24"/>
        </w:rPr>
        <w:t>atpr5k3-1</w:t>
      </w:r>
      <w:r w:rsidRPr="007B56DC">
        <w:rPr>
          <w:rFonts w:ascii="Times New Roman"/>
          <w:sz w:val="24"/>
        </w:rPr>
        <w:t xml:space="preserve"> plants were germinated on 1/2 MS containing different concentrations of ABA for five days, after which their phenotypes were photographed. </w:t>
      </w:r>
      <w:r w:rsidR="007840AB" w:rsidRPr="007B56DC">
        <w:rPr>
          <w:rFonts w:ascii="Times New Roman"/>
          <w:sz w:val="24"/>
        </w:rPr>
        <w:t>The ABA sensitivity analysis were performed in triplicate by using at least 50 seeds from each line in each experiment.</w:t>
      </w:r>
      <w:r w:rsidR="003C0BFB" w:rsidRPr="007B56DC">
        <w:rPr>
          <w:rFonts w:ascii="Times New Roman"/>
          <w:sz w:val="24"/>
        </w:rPr>
        <w:t xml:space="preserve"> </w:t>
      </w:r>
      <w:r w:rsidRPr="007B56DC">
        <w:rPr>
          <w:rFonts w:ascii="Times New Roman"/>
          <w:sz w:val="24"/>
        </w:rPr>
        <w:t xml:space="preserve">(D) The cotyledon greening of the WT, </w:t>
      </w:r>
      <w:r w:rsidRPr="007B56DC">
        <w:rPr>
          <w:rFonts w:ascii="Times New Roman"/>
          <w:i/>
          <w:sz w:val="24"/>
        </w:rPr>
        <w:t>atpr5k2-1</w:t>
      </w:r>
      <w:r w:rsidRPr="007B56DC">
        <w:rPr>
          <w:rFonts w:ascii="Times New Roman"/>
          <w:sz w:val="24"/>
        </w:rPr>
        <w:t xml:space="preserve">, and </w:t>
      </w:r>
      <w:r w:rsidRPr="007B56DC">
        <w:rPr>
          <w:rFonts w:ascii="Times New Roman"/>
          <w:i/>
          <w:sz w:val="24"/>
        </w:rPr>
        <w:t>atpr5k3-1</w:t>
      </w:r>
      <w:r w:rsidRPr="007B56DC">
        <w:rPr>
          <w:rFonts w:ascii="Times New Roman"/>
          <w:sz w:val="24"/>
        </w:rPr>
        <w:t xml:space="preserve"> seedlings depicted in (C) was assessed. </w:t>
      </w:r>
      <w:r w:rsidR="007840AB" w:rsidRPr="007B56DC">
        <w:rPr>
          <w:rFonts w:ascii="Times New Roman"/>
          <w:sz w:val="24"/>
        </w:rPr>
        <w:t>Cotyledon greening was determined as a percentage of the seeds plated (n = 50). Error bars indicate the standard deviation from three independent experiments.</w:t>
      </w:r>
      <w:r w:rsidRPr="007B56DC">
        <w:rPr>
          <w:rFonts w:ascii="Times New Roman"/>
          <w:sz w:val="24"/>
        </w:rPr>
        <w:t xml:space="preserve"> </w:t>
      </w:r>
    </w:p>
    <w:p w:rsidR="003E35C5" w:rsidRPr="007B56DC" w:rsidRDefault="003E35C5">
      <w:pPr>
        <w:widowControl/>
        <w:wordWrap/>
        <w:autoSpaceDE/>
        <w:autoSpaceDN/>
        <w:spacing w:after="200" w:line="276" w:lineRule="auto"/>
        <w:rPr>
          <w:rFonts w:ascii="Times New Roman"/>
          <w:sz w:val="24"/>
        </w:rPr>
      </w:pPr>
      <w:r w:rsidRPr="007B56DC">
        <w:rPr>
          <w:rFonts w:ascii="Times New Roman"/>
          <w:sz w:val="24"/>
        </w:rPr>
        <w:br w:type="page"/>
      </w:r>
    </w:p>
    <w:p w:rsidR="003E35C5" w:rsidRPr="007B56DC" w:rsidRDefault="003E35C5" w:rsidP="00695E23">
      <w:pPr>
        <w:widowControl/>
        <w:wordWrap/>
        <w:autoSpaceDE/>
        <w:autoSpaceDN/>
        <w:spacing w:line="480" w:lineRule="auto"/>
        <w:jc w:val="left"/>
        <w:rPr>
          <w:rFonts w:ascii="Times New Roman"/>
          <w:sz w:val="24"/>
        </w:rPr>
      </w:pPr>
      <w:r w:rsidRPr="007B56DC">
        <w:rPr>
          <w:rFonts w:ascii="Times New Roman"/>
          <w:noProof/>
          <w:sz w:val="24"/>
        </w:rPr>
        <w:lastRenderedPageBreak/>
        <w:drawing>
          <wp:inline distT="0" distB="0" distL="0" distR="0" wp14:anchorId="101E2470" wp14:editId="6F68940F">
            <wp:extent cx="2161032" cy="1438656"/>
            <wp:effectExtent l="0" t="0" r="0"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D29B expression-drough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1032" cy="1438656"/>
                    </a:xfrm>
                    <a:prstGeom prst="rect">
                      <a:avLst/>
                    </a:prstGeom>
                  </pic:spPr>
                </pic:pic>
              </a:graphicData>
            </a:graphic>
          </wp:inline>
        </w:drawing>
      </w:r>
    </w:p>
    <w:p w:rsidR="003E35C5" w:rsidRPr="007B56DC" w:rsidRDefault="003E35C5" w:rsidP="003E35C5">
      <w:pPr>
        <w:spacing w:line="480" w:lineRule="auto"/>
        <w:rPr>
          <w:rFonts w:ascii="Times New Roman"/>
          <w:sz w:val="24"/>
        </w:rPr>
      </w:pPr>
      <w:r w:rsidRPr="007B56DC">
        <w:rPr>
          <w:rFonts w:ascii="Times New Roman" w:hint="eastAsia"/>
          <w:b/>
          <w:sz w:val="24"/>
        </w:rPr>
        <w:t>Supplemental Figure</w:t>
      </w:r>
      <w:r w:rsidRPr="007B56DC">
        <w:rPr>
          <w:rFonts w:ascii="Times New Roman"/>
          <w:b/>
          <w:sz w:val="24"/>
        </w:rPr>
        <w:t xml:space="preserve"> </w:t>
      </w:r>
      <w:r w:rsidR="000E1272">
        <w:rPr>
          <w:rFonts w:ascii="Times New Roman"/>
          <w:b/>
          <w:sz w:val="24"/>
        </w:rPr>
        <w:t>5</w:t>
      </w:r>
      <w:r w:rsidRPr="007B56DC">
        <w:rPr>
          <w:rFonts w:ascii="Times New Roman" w:hint="eastAsia"/>
          <w:b/>
          <w:sz w:val="24"/>
        </w:rPr>
        <w:t>.</w:t>
      </w:r>
      <w:r w:rsidRPr="007B56DC">
        <w:rPr>
          <w:rFonts w:ascii="Times New Roman" w:hint="eastAsia"/>
          <w:sz w:val="24"/>
        </w:rPr>
        <w:t xml:space="preserve"> Expression of </w:t>
      </w:r>
      <w:r w:rsidRPr="007B56DC">
        <w:rPr>
          <w:rFonts w:ascii="Times New Roman"/>
          <w:i/>
          <w:sz w:val="24"/>
        </w:rPr>
        <w:t>RD29B</w:t>
      </w:r>
      <w:r w:rsidRPr="007B56DC">
        <w:rPr>
          <w:rFonts w:ascii="Times New Roman" w:hint="eastAsia"/>
          <w:sz w:val="24"/>
        </w:rPr>
        <w:t xml:space="preserve"> in </w:t>
      </w:r>
      <w:r w:rsidRPr="007B56DC">
        <w:rPr>
          <w:rFonts w:ascii="Times New Roman"/>
          <w:sz w:val="24"/>
        </w:rPr>
        <w:t xml:space="preserve">WT and </w:t>
      </w:r>
      <w:r w:rsidRPr="007B56DC">
        <w:rPr>
          <w:rFonts w:ascii="Times New Roman"/>
          <w:i/>
          <w:sz w:val="24"/>
        </w:rPr>
        <w:t>atpr5k2-1</w:t>
      </w:r>
      <w:r w:rsidRPr="007B56DC">
        <w:rPr>
          <w:rFonts w:ascii="Times New Roman"/>
          <w:sz w:val="24"/>
        </w:rPr>
        <w:t xml:space="preserve"> plants under </w:t>
      </w:r>
      <w:r w:rsidRPr="007B56DC">
        <w:rPr>
          <w:rFonts w:ascii="Times New Roman" w:hint="eastAsia"/>
          <w:sz w:val="24"/>
        </w:rPr>
        <w:t>drought stress</w:t>
      </w:r>
      <w:r w:rsidRPr="007B56DC">
        <w:rPr>
          <w:rFonts w:ascii="Times New Roman"/>
          <w:sz w:val="24"/>
        </w:rPr>
        <w:t xml:space="preserve"> condition</w:t>
      </w:r>
      <w:r w:rsidRPr="007B56DC">
        <w:rPr>
          <w:rFonts w:ascii="Times New Roman" w:hint="eastAsia"/>
          <w:sz w:val="24"/>
        </w:rPr>
        <w:t xml:space="preserve">. </w:t>
      </w:r>
    </w:p>
    <w:p w:rsidR="003E35C5" w:rsidRPr="007B56DC" w:rsidRDefault="003E35C5" w:rsidP="003E35C5">
      <w:pPr>
        <w:spacing w:line="480" w:lineRule="auto"/>
        <w:rPr>
          <w:rFonts w:ascii="Times New Roman"/>
          <w:sz w:val="24"/>
        </w:rPr>
      </w:pPr>
      <w:r w:rsidRPr="007B56DC">
        <w:rPr>
          <w:rFonts w:ascii="Times New Roman"/>
          <w:sz w:val="24"/>
        </w:rPr>
        <w:t xml:space="preserve">The ten-day-old seedlings of WT and </w:t>
      </w:r>
      <w:r w:rsidRPr="007B56DC">
        <w:rPr>
          <w:rFonts w:ascii="Times New Roman"/>
          <w:i/>
          <w:sz w:val="24"/>
        </w:rPr>
        <w:t>atpr5k2-1</w:t>
      </w:r>
      <w:r w:rsidRPr="007B56DC">
        <w:rPr>
          <w:rFonts w:ascii="Times New Roman"/>
          <w:sz w:val="24"/>
        </w:rPr>
        <w:t xml:space="preserve"> mutant grown on 1/2 MS medium under long-day condition (Light 16 h/Dark 8 h). Total RNA extracted from WT and </w:t>
      </w:r>
      <w:r w:rsidRPr="007B56DC">
        <w:rPr>
          <w:rFonts w:ascii="Times New Roman"/>
          <w:i/>
          <w:sz w:val="24"/>
        </w:rPr>
        <w:t>atpr5k2-1</w:t>
      </w:r>
      <w:r w:rsidRPr="007B56DC">
        <w:rPr>
          <w:rFonts w:ascii="Times New Roman"/>
          <w:sz w:val="24"/>
        </w:rPr>
        <w:t xml:space="preserve"> seedlings over one-hour dehydration. The expression of </w:t>
      </w:r>
      <w:r w:rsidRPr="007B56DC">
        <w:rPr>
          <w:rFonts w:ascii="Times New Roman"/>
          <w:i/>
          <w:sz w:val="24"/>
        </w:rPr>
        <w:t>TUBULIN2</w:t>
      </w:r>
      <w:r w:rsidRPr="007B56DC">
        <w:rPr>
          <w:rFonts w:ascii="Times New Roman"/>
          <w:sz w:val="24"/>
        </w:rPr>
        <w:t xml:space="preserve"> was used as an internal control for normalization. </w:t>
      </w:r>
      <w:r w:rsidR="007B56DC" w:rsidRPr="0070610E">
        <w:rPr>
          <w:rFonts w:ascii="Times New Roman"/>
          <w:color w:val="FF0000"/>
          <w:sz w:val="24"/>
        </w:rPr>
        <w:t xml:space="preserve">Error bars represent the </w:t>
      </w:r>
      <w:r w:rsidR="007B56DC" w:rsidRPr="0070610E">
        <w:rPr>
          <w:rFonts w:ascii="맑은 고딕" w:eastAsia="맑은 고딕" w:hAnsi="맑은 고딕" w:hint="eastAsia"/>
          <w:color w:val="FF0000"/>
          <w:sz w:val="24"/>
        </w:rPr>
        <w:t>±</w:t>
      </w:r>
      <w:r w:rsidR="007B56DC" w:rsidRPr="0070610E">
        <w:rPr>
          <w:rFonts w:ascii="Times New Roman"/>
          <w:color w:val="FF0000"/>
          <w:sz w:val="24"/>
        </w:rPr>
        <w:t>SD from three independent experiments.</w:t>
      </w:r>
      <w:r w:rsidR="007B56DC" w:rsidRPr="007B56DC">
        <w:rPr>
          <w:rFonts w:ascii="Times New Roman"/>
          <w:sz w:val="24"/>
        </w:rPr>
        <w:t xml:space="preserve"> </w:t>
      </w:r>
      <w:r w:rsidRPr="007B56DC">
        <w:rPr>
          <w:rFonts w:ascii="Times New Roman"/>
          <w:sz w:val="24"/>
        </w:rPr>
        <w:t xml:space="preserve">Asterisks represent significant differences from the value of 0min time (**, p-value ≤ 0.01, Student’s </w:t>
      </w:r>
      <w:r w:rsidRPr="007B56DC">
        <w:rPr>
          <w:rFonts w:ascii="Times New Roman"/>
          <w:i/>
          <w:sz w:val="24"/>
        </w:rPr>
        <w:t>t</w:t>
      </w:r>
      <w:r w:rsidRPr="007B56DC">
        <w:rPr>
          <w:rFonts w:ascii="Times New Roman"/>
          <w:sz w:val="24"/>
        </w:rPr>
        <w:t>-test).</w:t>
      </w:r>
    </w:p>
    <w:p w:rsidR="003E35C5" w:rsidRPr="007B56DC" w:rsidRDefault="003E35C5" w:rsidP="00695E23">
      <w:pPr>
        <w:widowControl/>
        <w:wordWrap/>
        <w:autoSpaceDE/>
        <w:autoSpaceDN/>
        <w:spacing w:line="480" w:lineRule="auto"/>
        <w:jc w:val="left"/>
        <w:rPr>
          <w:rFonts w:ascii="Times New Roman"/>
          <w:sz w:val="24"/>
        </w:rPr>
      </w:pPr>
    </w:p>
    <w:p w:rsidR="00094DB3" w:rsidRPr="007B56DC" w:rsidRDefault="00094DB3" w:rsidP="00695E23">
      <w:pPr>
        <w:widowControl/>
        <w:wordWrap/>
        <w:autoSpaceDE/>
        <w:autoSpaceDN/>
        <w:spacing w:line="480" w:lineRule="auto"/>
        <w:jc w:val="left"/>
        <w:rPr>
          <w:rFonts w:ascii="Times New Roman"/>
          <w:sz w:val="24"/>
        </w:rPr>
      </w:pPr>
      <w:r w:rsidRPr="007B56DC">
        <w:rPr>
          <w:rFonts w:ascii="Times New Roman"/>
          <w:sz w:val="24"/>
        </w:rPr>
        <w:br w:type="page"/>
      </w:r>
    </w:p>
    <w:p w:rsidR="00094DB3" w:rsidRPr="007B56DC" w:rsidRDefault="00695E23" w:rsidP="00094DB3">
      <w:pPr>
        <w:widowControl/>
        <w:wordWrap/>
        <w:autoSpaceDE/>
        <w:autoSpaceDN/>
        <w:spacing w:line="480" w:lineRule="auto"/>
        <w:rPr>
          <w:rFonts w:ascii="Times New Roman"/>
          <w:sz w:val="24"/>
        </w:rPr>
      </w:pPr>
      <w:r w:rsidRPr="007B56DC">
        <w:rPr>
          <w:rFonts w:ascii="Times New Roman"/>
          <w:noProof/>
          <w:sz w:val="24"/>
        </w:rPr>
        <w:lastRenderedPageBreak/>
        <w:drawing>
          <wp:inline distT="0" distB="0" distL="0" distR="0" wp14:anchorId="1A04E635" wp14:editId="49004251">
            <wp:extent cx="3060192" cy="1078992"/>
            <wp:effectExtent l="0" t="0" r="6985" b="698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192" cy="1078992"/>
                    </a:xfrm>
                    <a:prstGeom prst="rect">
                      <a:avLst/>
                    </a:prstGeom>
                  </pic:spPr>
                </pic:pic>
              </a:graphicData>
            </a:graphic>
          </wp:inline>
        </w:drawing>
      </w:r>
    </w:p>
    <w:p w:rsidR="00695E23" w:rsidRPr="007B56DC" w:rsidRDefault="00695E23" w:rsidP="00695E23">
      <w:pPr>
        <w:spacing w:line="480" w:lineRule="auto"/>
        <w:rPr>
          <w:rFonts w:ascii="Times New Roman"/>
          <w:sz w:val="24"/>
        </w:rPr>
      </w:pPr>
      <w:r w:rsidRPr="007B56DC">
        <w:rPr>
          <w:rFonts w:ascii="Times New Roman"/>
          <w:b/>
          <w:sz w:val="24"/>
        </w:rPr>
        <w:t xml:space="preserve">Supplementary Figure </w:t>
      </w:r>
      <w:r w:rsidR="000E1272">
        <w:rPr>
          <w:rFonts w:ascii="Times New Roman"/>
          <w:b/>
          <w:sz w:val="24"/>
        </w:rPr>
        <w:t>6</w:t>
      </w:r>
      <w:r w:rsidRPr="007B56DC">
        <w:rPr>
          <w:rFonts w:ascii="Times New Roman"/>
          <w:b/>
          <w:sz w:val="24"/>
        </w:rPr>
        <w:t xml:space="preserve">. </w:t>
      </w:r>
      <w:r w:rsidRPr="007B56DC">
        <w:rPr>
          <w:rFonts w:ascii="Times New Roman"/>
          <w:sz w:val="24"/>
        </w:rPr>
        <w:t xml:space="preserve">Expression of </w:t>
      </w:r>
      <w:r w:rsidRPr="007B56DC">
        <w:rPr>
          <w:rFonts w:ascii="Times New Roman"/>
          <w:i/>
          <w:sz w:val="24"/>
        </w:rPr>
        <w:t>AtPR5K2</w:t>
      </w:r>
      <w:r w:rsidRPr="007B56DC">
        <w:rPr>
          <w:rFonts w:ascii="Times New Roman"/>
          <w:sz w:val="24"/>
        </w:rPr>
        <w:t xml:space="preserve"> in </w:t>
      </w:r>
      <w:r w:rsidR="00267FFB" w:rsidRPr="007B56DC">
        <w:rPr>
          <w:rFonts w:ascii="Times New Roman"/>
          <w:sz w:val="24"/>
        </w:rPr>
        <w:t>AtPR5K2-OX</w:t>
      </w:r>
      <w:r w:rsidR="00267FFB" w:rsidRPr="007B56DC">
        <w:rPr>
          <w:rFonts w:ascii="Times New Roman"/>
          <w:sz w:val="24"/>
        </w:rPr>
        <w:t xml:space="preserve"> </w:t>
      </w:r>
      <w:r w:rsidRPr="007B56DC">
        <w:rPr>
          <w:rFonts w:ascii="Times New Roman"/>
          <w:sz w:val="24"/>
        </w:rPr>
        <w:t>plants.</w:t>
      </w:r>
    </w:p>
    <w:p w:rsidR="00695E23" w:rsidRPr="007B56DC" w:rsidRDefault="00695E23" w:rsidP="00695E23">
      <w:pPr>
        <w:spacing w:line="480" w:lineRule="auto"/>
        <w:rPr>
          <w:rFonts w:ascii="Times New Roman"/>
          <w:sz w:val="24"/>
        </w:rPr>
      </w:pPr>
      <w:r w:rsidRPr="007B56DC">
        <w:rPr>
          <w:rFonts w:ascii="Times New Roman"/>
          <w:sz w:val="24"/>
        </w:rPr>
        <w:t xml:space="preserve">RT-PCR analysis of WT, </w:t>
      </w:r>
      <w:r w:rsidRPr="007B56DC">
        <w:rPr>
          <w:rFonts w:ascii="Times New Roman"/>
          <w:i/>
          <w:sz w:val="24"/>
        </w:rPr>
        <w:t>atpr5k2-1</w:t>
      </w:r>
      <w:r w:rsidRPr="007B56DC">
        <w:rPr>
          <w:rFonts w:ascii="Times New Roman"/>
          <w:sz w:val="24"/>
        </w:rPr>
        <w:t xml:space="preserve">, and </w:t>
      </w:r>
      <w:r w:rsidRPr="007B56DC">
        <w:rPr>
          <w:rFonts w:ascii="Times New Roman"/>
          <w:i/>
          <w:sz w:val="24"/>
        </w:rPr>
        <w:t>AtPR5K2</w:t>
      </w:r>
      <w:r w:rsidRPr="007B56DC">
        <w:rPr>
          <w:rFonts w:ascii="Times New Roman"/>
          <w:sz w:val="24"/>
        </w:rPr>
        <w:t xml:space="preserve"> overexpressing transgenic plants (AtPR5K2-OX). PCR reactions were performed using the gene-specific primers descr</w:t>
      </w:r>
      <w:bookmarkStart w:id="0" w:name="_GoBack"/>
      <w:bookmarkEnd w:id="0"/>
      <w:r w:rsidRPr="007B56DC">
        <w:rPr>
          <w:rFonts w:ascii="Times New Roman"/>
          <w:sz w:val="24"/>
        </w:rPr>
        <w:t xml:space="preserve">ibed in Supplementary Table 1. </w:t>
      </w:r>
      <w:r w:rsidRPr="007B56DC">
        <w:rPr>
          <w:rFonts w:ascii="Times New Roman"/>
          <w:i/>
          <w:sz w:val="24"/>
        </w:rPr>
        <w:t>TUBULIN2</w:t>
      </w:r>
      <w:r w:rsidRPr="007B56DC">
        <w:rPr>
          <w:rFonts w:ascii="Times New Roman"/>
          <w:sz w:val="24"/>
        </w:rPr>
        <w:t xml:space="preserve"> was used as a loading control.</w:t>
      </w:r>
    </w:p>
    <w:p w:rsidR="003E35C5" w:rsidRPr="007B56DC" w:rsidRDefault="003E35C5" w:rsidP="00695E23">
      <w:pPr>
        <w:spacing w:line="480" w:lineRule="auto"/>
        <w:rPr>
          <w:rFonts w:ascii="Times New Roman"/>
          <w:sz w:val="24"/>
        </w:rPr>
      </w:pPr>
    </w:p>
    <w:p w:rsidR="003E35C5" w:rsidRPr="007B56DC" w:rsidRDefault="003E35C5">
      <w:pPr>
        <w:widowControl/>
        <w:wordWrap/>
        <w:autoSpaceDE/>
        <w:autoSpaceDN/>
        <w:spacing w:after="200" w:line="276" w:lineRule="auto"/>
        <w:rPr>
          <w:rFonts w:ascii="Times New Roman"/>
          <w:sz w:val="24"/>
        </w:rPr>
      </w:pPr>
      <w:r w:rsidRPr="007B56DC">
        <w:rPr>
          <w:rFonts w:ascii="Times New Roman"/>
          <w:sz w:val="24"/>
        </w:rPr>
        <w:br w:type="page"/>
      </w:r>
    </w:p>
    <w:p w:rsidR="003E35C5" w:rsidRPr="007B56DC" w:rsidRDefault="003E35C5" w:rsidP="00695E23">
      <w:pPr>
        <w:spacing w:line="480" w:lineRule="auto"/>
        <w:rPr>
          <w:rFonts w:ascii="Times New Roman"/>
          <w:sz w:val="24"/>
        </w:rPr>
      </w:pPr>
      <w:r w:rsidRPr="007B56DC">
        <w:rPr>
          <w:rFonts w:ascii="Times New Roman"/>
          <w:noProof/>
          <w:sz w:val="24"/>
        </w:rPr>
        <w:lastRenderedPageBreak/>
        <w:drawing>
          <wp:inline distT="0" distB="0" distL="0" distR="0" wp14:anchorId="29FCE6B5" wp14:editId="662B79F4">
            <wp:extent cx="3060192" cy="1831848"/>
            <wp:effectExtent l="0" t="0" r="698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omatal aper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192" cy="1831848"/>
                    </a:xfrm>
                    <a:prstGeom prst="rect">
                      <a:avLst/>
                    </a:prstGeom>
                  </pic:spPr>
                </pic:pic>
              </a:graphicData>
            </a:graphic>
          </wp:inline>
        </w:drawing>
      </w:r>
    </w:p>
    <w:p w:rsidR="003E35C5" w:rsidRPr="007B56DC" w:rsidRDefault="003E35C5" w:rsidP="003E35C5">
      <w:pPr>
        <w:spacing w:line="480" w:lineRule="auto"/>
        <w:rPr>
          <w:rFonts w:ascii="Times New Roman"/>
          <w:sz w:val="24"/>
        </w:rPr>
      </w:pPr>
      <w:r w:rsidRPr="007B56DC">
        <w:rPr>
          <w:rFonts w:ascii="Times New Roman"/>
          <w:b/>
          <w:sz w:val="24"/>
        </w:rPr>
        <w:t xml:space="preserve">Supplementary Figure </w:t>
      </w:r>
      <w:r w:rsidR="000E1272">
        <w:rPr>
          <w:rFonts w:ascii="Times New Roman"/>
          <w:b/>
          <w:sz w:val="24"/>
        </w:rPr>
        <w:t>7</w:t>
      </w:r>
      <w:r w:rsidRPr="007B56DC">
        <w:rPr>
          <w:rFonts w:ascii="Times New Roman"/>
          <w:b/>
          <w:sz w:val="24"/>
        </w:rPr>
        <w:t>.</w:t>
      </w:r>
      <w:r w:rsidR="00267FFB">
        <w:rPr>
          <w:rFonts w:ascii="Times New Roman"/>
          <w:sz w:val="24"/>
        </w:rPr>
        <w:t xml:space="preserve"> AtPR5K2 mediated </w:t>
      </w:r>
      <w:r w:rsidRPr="007B56DC">
        <w:rPr>
          <w:rFonts w:ascii="Times New Roman"/>
          <w:sz w:val="24"/>
        </w:rPr>
        <w:t xml:space="preserve">stomatal closure </w:t>
      </w:r>
      <w:r w:rsidR="00267FFB">
        <w:rPr>
          <w:rFonts w:ascii="Times New Roman"/>
          <w:sz w:val="24"/>
        </w:rPr>
        <w:t xml:space="preserve">in </w:t>
      </w:r>
      <w:r w:rsidRPr="007B56DC">
        <w:rPr>
          <w:rFonts w:ascii="Times New Roman"/>
          <w:sz w:val="24"/>
        </w:rPr>
        <w:t xml:space="preserve">response </w:t>
      </w:r>
      <w:r w:rsidR="00267FFB">
        <w:rPr>
          <w:rFonts w:ascii="Times New Roman"/>
          <w:sz w:val="24"/>
        </w:rPr>
        <w:t>to</w:t>
      </w:r>
      <w:r w:rsidRPr="007B56DC">
        <w:rPr>
          <w:rFonts w:ascii="Times New Roman"/>
          <w:sz w:val="24"/>
        </w:rPr>
        <w:t xml:space="preserve"> exogenous ABA.</w:t>
      </w:r>
    </w:p>
    <w:p w:rsidR="003E35C5" w:rsidRPr="007B56DC" w:rsidRDefault="003E35C5" w:rsidP="003E35C5">
      <w:pPr>
        <w:spacing w:line="480" w:lineRule="auto"/>
        <w:rPr>
          <w:rFonts w:ascii="Times New Roman"/>
          <w:sz w:val="24"/>
        </w:rPr>
      </w:pPr>
      <w:r w:rsidRPr="007B56DC">
        <w:rPr>
          <w:rFonts w:ascii="Times New Roman"/>
          <w:sz w:val="24"/>
        </w:rPr>
        <w:t xml:space="preserve">(A) Stomatal closure before and after exogenous ABA treatment was assessed in the leaf epidermis of WT, </w:t>
      </w:r>
      <w:r w:rsidRPr="007B56DC">
        <w:rPr>
          <w:rFonts w:ascii="Times New Roman"/>
          <w:i/>
          <w:sz w:val="24"/>
        </w:rPr>
        <w:t>atpr5k2-1</w:t>
      </w:r>
      <w:r w:rsidRPr="007B56DC">
        <w:rPr>
          <w:rFonts w:ascii="Times New Roman"/>
          <w:sz w:val="24"/>
        </w:rPr>
        <w:t xml:space="preserve"> and AtPR5K2-OX plants. Leaves of ten-day-old WT, </w:t>
      </w:r>
      <w:r w:rsidRPr="007B56DC">
        <w:rPr>
          <w:rFonts w:ascii="Times New Roman"/>
          <w:i/>
          <w:sz w:val="24"/>
        </w:rPr>
        <w:t>atpr5k2-1</w:t>
      </w:r>
      <w:r w:rsidRPr="007B56DC">
        <w:rPr>
          <w:rFonts w:ascii="Times New Roman"/>
          <w:sz w:val="24"/>
        </w:rPr>
        <w:t xml:space="preserve">, and AtPR5K2-OX plants were incubated in stomatal opening solution for 2 h and treated to 1/2 MS liquid medium without (-ABA; 0 µM ABA) or with (+ABA; 5 µM ABA) ABA for 2 h. Stomatal closure in the leaf epidermis were observed using scanning microscopy. Scale bar indicates 50 µm. (B) Measurement of stomatal aperture (width/length) in WT, </w:t>
      </w:r>
      <w:r w:rsidRPr="007B56DC">
        <w:rPr>
          <w:rFonts w:ascii="Times New Roman"/>
          <w:i/>
          <w:sz w:val="24"/>
        </w:rPr>
        <w:t>atpr5k2-1</w:t>
      </w:r>
      <w:r w:rsidRPr="007B56DC">
        <w:rPr>
          <w:rFonts w:ascii="Times New Roman"/>
          <w:sz w:val="24"/>
        </w:rPr>
        <w:t xml:space="preserve"> and AtPR5K2-OX plants before and after ABA treatment. At least 50 guard cells from each sample were measured. Error bars represent the SD from three independent experiments. Asterisks represent significant differences from the WT (*, 0.01 &lt;p-value ≤ 0.01, Student’s t-test).</w:t>
      </w:r>
    </w:p>
    <w:p w:rsidR="003E35C5" w:rsidRPr="007B56DC" w:rsidRDefault="003E35C5" w:rsidP="00695E23">
      <w:pPr>
        <w:spacing w:line="480" w:lineRule="auto"/>
        <w:rPr>
          <w:rFonts w:ascii="Times New Roman"/>
          <w:sz w:val="24"/>
        </w:rPr>
      </w:pPr>
    </w:p>
    <w:p w:rsidR="00094DB3" w:rsidRPr="007B56DC" w:rsidRDefault="00094DB3" w:rsidP="00094DB3">
      <w:pPr>
        <w:widowControl/>
        <w:wordWrap/>
        <w:autoSpaceDE/>
        <w:autoSpaceDN/>
        <w:jc w:val="left"/>
        <w:rPr>
          <w:rFonts w:ascii="Times New Roman"/>
          <w:sz w:val="24"/>
        </w:rPr>
      </w:pPr>
      <w:r w:rsidRPr="007B56DC">
        <w:rPr>
          <w:rFonts w:ascii="Times New Roman"/>
          <w:sz w:val="24"/>
        </w:rPr>
        <w:br w:type="page"/>
      </w:r>
    </w:p>
    <w:p w:rsidR="00094DB3" w:rsidRPr="007B56DC" w:rsidRDefault="00695E23" w:rsidP="00094DB3">
      <w:pPr>
        <w:widowControl/>
        <w:wordWrap/>
        <w:autoSpaceDE/>
        <w:autoSpaceDN/>
        <w:spacing w:line="480" w:lineRule="auto"/>
        <w:rPr>
          <w:rFonts w:ascii="Times New Roman"/>
          <w:sz w:val="24"/>
        </w:rPr>
      </w:pPr>
      <w:r w:rsidRPr="007B56DC">
        <w:rPr>
          <w:rFonts w:ascii="Times New Roman"/>
          <w:noProof/>
          <w:sz w:val="24"/>
        </w:rPr>
        <w:lastRenderedPageBreak/>
        <w:drawing>
          <wp:inline distT="0" distB="0" distL="0" distR="0" wp14:anchorId="2CF27B6E" wp14:editId="6D75F31D">
            <wp:extent cx="3060192" cy="2700528"/>
            <wp:effectExtent l="0" t="0" r="6985" b="508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192" cy="2700528"/>
                    </a:xfrm>
                    <a:prstGeom prst="rect">
                      <a:avLst/>
                    </a:prstGeom>
                  </pic:spPr>
                </pic:pic>
              </a:graphicData>
            </a:graphic>
          </wp:inline>
        </w:drawing>
      </w:r>
    </w:p>
    <w:p w:rsidR="00695E23" w:rsidRPr="007B56DC" w:rsidRDefault="00695E23" w:rsidP="00695E23">
      <w:pPr>
        <w:spacing w:line="480" w:lineRule="auto"/>
        <w:rPr>
          <w:rFonts w:ascii="Times New Roman"/>
          <w:b/>
          <w:sz w:val="24"/>
        </w:rPr>
      </w:pPr>
      <w:r w:rsidRPr="007B56DC">
        <w:rPr>
          <w:rFonts w:ascii="Times New Roman"/>
          <w:b/>
          <w:sz w:val="24"/>
        </w:rPr>
        <w:t xml:space="preserve">Supplementary Figure </w:t>
      </w:r>
      <w:r w:rsidR="000E1272">
        <w:rPr>
          <w:rFonts w:ascii="Times New Roman"/>
          <w:b/>
          <w:sz w:val="24"/>
        </w:rPr>
        <w:t>8</w:t>
      </w:r>
      <w:r w:rsidRPr="007B56DC">
        <w:rPr>
          <w:rFonts w:ascii="Times New Roman"/>
          <w:b/>
          <w:sz w:val="24"/>
        </w:rPr>
        <w:t xml:space="preserve">. </w:t>
      </w:r>
      <w:r w:rsidRPr="007B56DC">
        <w:rPr>
          <w:rFonts w:ascii="Times New Roman"/>
          <w:sz w:val="24"/>
        </w:rPr>
        <w:t xml:space="preserve">The phenotypes of </w:t>
      </w:r>
      <w:r w:rsidRPr="007B56DC">
        <w:rPr>
          <w:rFonts w:ascii="Times New Roman"/>
          <w:i/>
          <w:sz w:val="24"/>
        </w:rPr>
        <w:t>atpr5k2-1</w:t>
      </w:r>
      <w:r w:rsidRPr="007B56DC">
        <w:rPr>
          <w:rFonts w:ascii="Times New Roman"/>
          <w:sz w:val="24"/>
        </w:rPr>
        <w:t xml:space="preserve"> mutant and </w:t>
      </w:r>
      <w:r w:rsidR="00267FFB">
        <w:rPr>
          <w:rFonts w:ascii="Times New Roman"/>
          <w:sz w:val="24"/>
        </w:rPr>
        <w:t>AtPR5K2-OX</w:t>
      </w:r>
      <w:r w:rsidRPr="007B56DC">
        <w:rPr>
          <w:rFonts w:ascii="Times New Roman"/>
          <w:sz w:val="24"/>
        </w:rPr>
        <w:t xml:space="preserve"> plants in response to various abiotic stresses.</w:t>
      </w:r>
      <w:r w:rsidRPr="007B56DC">
        <w:rPr>
          <w:rFonts w:ascii="Times New Roman"/>
          <w:b/>
          <w:sz w:val="24"/>
        </w:rPr>
        <w:t xml:space="preserve"> </w:t>
      </w:r>
    </w:p>
    <w:p w:rsidR="00695E23" w:rsidRPr="007B56DC" w:rsidRDefault="00695E23" w:rsidP="00695E23">
      <w:pPr>
        <w:spacing w:line="480" w:lineRule="auto"/>
        <w:rPr>
          <w:rFonts w:ascii="Times New Roman"/>
          <w:sz w:val="24"/>
        </w:rPr>
      </w:pPr>
      <w:r w:rsidRPr="007B56DC">
        <w:rPr>
          <w:rFonts w:ascii="Times New Roman"/>
          <w:sz w:val="24"/>
        </w:rPr>
        <w:t xml:space="preserve">Wild-type (WT), </w:t>
      </w:r>
      <w:r w:rsidRPr="007B56DC">
        <w:rPr>
          <w:rFonts w:ascii="Times New Roman"/>
          <w:i/>
          <w:sz w:val="24"/>
        </w:rPr>
        <w:t>pr5k2-1</w:t>
      </w:r>
      <w:r w:rsidRPr="007B56DC">
        <w:rPr>
          <w:rFonts w:ascii="Times New Roman"/>
          <w:sz w:val="24"/>
        </w:rPr>
        <w:t xml:space="preserve">, and AtPR5K2-OX (#1 and #2) plants were germinated on 1/2 MS containing different concentrations of NaCl (A), mannitol (B), KCl (C), and LiCl (D) for five days. </w:t>
      </w:r>
      <w:r w:rsidR="007840AB" w:rsidRPr="007B56DC">
        <w:rPr>
          <w:rFonts w:ascii="Times New Roman"/>
          <w:sz w:val="24"/>
        </w:rPr>
        <w:t>Cotyledon greening was determined as a percentage of the seeds plated (n = 100). Error bars indicate the standard deviation from three independent experiments.</w:t>
      </w:r>
      <w:r w:rsidRPr="007B56DC">
        <w:rPr>
          <w:rFonts w:ascii="Times New Roman"/>
          <w:sz w:val="24"/>
        </w:rPr>
        <w:t xml:space="preserve"> </w:t>
      </w:r>
    </w:p>
    <w:p w:rsidR="00094DB3" w:rsidRPr="007B56DC" w:rsidRDefault="00094DB3" w:rsidP="00094DB3">
      <w:pPr>
        <w:widowControl/>
        <w:wordWrap/>
        <w:autoSpaceDE/>
        <w:autoSpaceDN/>
        <w:spacing w:line="480" w:lineRule="auto"/>
        <w:rPr>
          <w:rFonts w:ascii="Times New Roman"/>
          <w:sz w:val="24"/>
        </w:rPr>
      </w:pPr>
    </w:p>
    <w:p w:rsidR="0057717C" w:rsidRPr="007B56DC" w:rsidRDefault="0057717C">
      <w:pPr>
        <w:widowControl/>
        <w:wordWrap/>
        <w:autoSpaceDE/>
        <w:autoSpaceDN/>
        <w:spacing w:after="200" w:line="276" w:lineRule="auto"/>
        <w:rPr>
          <w:rFonts w:ascii="Times New Roman"/>
          <w:sz w:val="24"/>
        </w:rPr>
      </w:pPr>
      <w:r w:rsidRPr="007B56DC">
        <w:rPr>
          <w:rFonts w:ascii="Times New Roman"/>
          <w:sz w:val="24"/>
        </w:rPr>
        <w:br w:type="page"/>
      </w:r>
    </w:p>
    <w:p w:rsidR="0057717C" w:rsidRPr="007B56DC" w:rsidRDefault="0057717C" w:rsidP="00094DB3">
      <w:pPr>
        <w:widowControl/>
        <w:wordWrap/>
        <w:autoSpaceDE/>
        <w:autoSpaceDN/>
        <w:spacing w:line="480" w:lineRule="auto"/>
        <w:rPr>
          <w:rFonts w:ascii="Times New Roman"/>
          <w:sz w:val="24"/>
        </w:rPr>
      </w:pPr>
      <w:r w:rsidRPr="007B56DC">
        <w:rPr>
          <w:rFonts w:ascii="Times New Roman"/>
          <w:noProof/>
          <w:sz w:val="24"/>
        </w:rPr>
        <w:lastRenderedPageBreak/>
        <w:drawing>
          <wp:inline distT="0" distB="0" distL="0" distR="0" wp14:anchorId="60FC9CAA" wp14:editId="56130CC8">
            <wp:extent cx="2161032" cy="1078992"/>
            <wp:effectExtent l="0" t="0" r="0" b="698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5K expression-drough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1032" cy="1078992"/>
                    </a:xfrm>
                    <a:prstGeom prst="rect">
                      <a:avLst/>
                    </a:prstGeom>
                  </pic:spPr>
                </pic:pic>
              </a:graphicData>
            </a:graphic>
          </wp:inline>
        </w:drawing>
      </w:r>
    </w:p>
    <w:p w:rsidR="00994AD0" w:rsidRPr="007B56DC" w:rsidRDefault="00994AD0" w:rsidP="00994AD0">
      <w:pPr>
        <w:spacing w:line="480" w:lineRule="auto"/>
        <w:rPr>
          <w:rFonts w:ascii="Times New Roman"/>
          <w:sz w:val="24"/>
        </w:rPr>
      </w:pPr>
      <w:r w:rsidRPr="007B56DC">
        <w:rPr>
          <w:rFonts w:ascii="Times New Roman" w:hint="eastAsia"/>
          <w:b/>
          <w:sz w:val="24"/>
        </w:rPr>
        <w:t>Supplemental Figure</w:t>
      </w:r>
      <w:r w:rsidRPr="007B56DC">
        <w:rPr>
          <w:rFonts w:ascii="Times New Roman"/>
          <w:b/>
          <w:sz w:val="24"/>
        </w:rPr>
        <w:t xml:space="preserve"> </w:t>
      </w:r>
      <w:r w:rsidR="000E1272">
        <w:rPr>
          <w:rFonts w:ascii="Times New Roman"/>
          <w:b/>
          <w:sz w:val="24"/>
        </w:rPr>
        <w:t>9</w:t>
      </w:r>
      <w:r w:rsidRPr="007B56DC">
        <w:rPr>
          <w:rFonts w:ascii="Times New Roman" w:hint="eastAsia"/>
          <w:b/>
          <w:sz w:val="24"/>
        </w:rPr>
        <w:t>.</w:t>
      </w:r>
      <w:r w:rsidRPr="007B56DC">
        <w:rPr>
          <w:rFonts w:ascii="Times New Roman" w:hint="eastAsia"/>
          <w:sz w:val="24"/>
        </w:rPr>
        <w:t xml:space="preserve"> Expression of PR5K2 in </w:t>
      </w:r>
      <w:r w:rsidR="00267FFB">
        <w:rPr>
          <w:rFonts w:ascii="Times New Roman"/>
          <w:sz w:val="24"/>
        </w:rPr>
        <w:t xml:space="preserve">response to </w:t>
      </w:r>
      <w:r w:rsidRPr="007B56DC">
        <w:rPr>
          <w:rFonts w:ascii="Times New Roman" w:hint="eastAsia"/>
          <w:sz w:val="24"/>
        </w:rPr>
        <w:t xml:space="preserve">drought stress. </w:t>
      </w:r>
    </w:p>
    <w:p w:rsidR="00994AD0" w:rsidRPr="007B56DC" w:rsidRDefault="00994AD0" w:rsidP="00994AD0">
      <w:pPr>
        <w:spacing w:line="480" w:lineRule="auto"/>
        <w:rPr>
          <w:rFonts w:ascii="Times New Roman"/>
          <w:sz w:val="24"/>
        </w:rPr>
      </w:pPr>
      <w:r w:rsidRPr="007B56DC">
        <w:rPr>
          <w:rFonts w:ascii="Times New Roman"/>
          <w:sz w:val="24"/>
        </w:rPr>
        <w:t xml:space="preserve">The ten-day-old WT seedling grown on 1/2 MS medium under long-day condition (Light 16 h/Dark 8 h). Total RNA extracted from WT plants over one-hour dehydration. The expression of </w:t>
      </w:r>
      <w:r w:rsidRPr="007B56DC">
        <w:rPr>
          <w:rFonts w:ascii="Times New Roman"/>
          <w:i/>
          <w:sz w:val="24"/>
        </w:rPr>
        <w:t>TUBULIN2</w:t>
      </w:r>
      <w:r w:rsidRPr="007B56DC">
        <w:rPr>
          <w:rFonts w:ascii="Times New Roman"/>
          <w:sz w:val="24"/>
        </w:rPr>
        <w:t xml:space="preserve"> was used as an internal control for normalization. </w:t>
      </w:r>
      <w:r w:rsidR="007B56DC" w:rsidRPr="0070610E">
        <w:rPr>
          <w:rFonts w:ascii="Times New Roman"/>
          <w:color w:val="FF0000"/>
          <w:sz w:val="24"/>
        </w:rPr>
        <w:t xml:space="preserve">Error bars represent the </w:t>
      </w:r>
      <w:r w:rsidR="007B56DC" w:rsidRPr="0070610E">
        <w:rPr>
          <w:rFonts w:ascii="맑은 고딕" w:eastAsia="맑은 고딕" w:hAnsi="맑은 고딕" w:hint="eastAsia"/>
          <w:color w:val="FF0000"/>
          <w:sz w:val="24"/>
        </w:rPr>
        <w:t>±</w:t>
      </w:r>
      <w:r w:rsidR="007B56DC" w:rsidRPr="0070610E">
        <w:rPr>
          <w:rFonts w:ascii="Times New Roman"/>
          <w:color w:val="FF0000"/>
          <w:sz w:val="24"/>
        </w:rPr>
        <w:t xml:space="preserve">SD from three independent experiments. </w:t>
      </w:r>
      <w:r w:rsidRPr="007B56DC">
        <w:rPr>
          <w:rFonts w:ascii="Times New Roman"/>
          <w:sz w:val="24"/>
        </w:rPr>
        <w:t xml:space="preserve">Asterisks represent significant differences from the value of 0min time (**, p-value ≤ 0.01, Student’s </w:t>
      </w:r>
      <w:r w:rsidRPr="007B56DC">
        <w:rPr>
          <w:rFonts w:ascii="Times New Roman"/>
          <w:i/>
          <w:sz w:val="24"/>
        </w:rPr>
        <w:t>t</w:t>
      </w:r>
      <w:r w:rsidRPr="007B56DC">
        <w:rPr>
          <w:rFonts w:ascii="Times New Roman"/>
          <w:sz w:val="24"/>
        </w:rPr>
        <w:t>-test).</w:t>
      </w:r>
    </w:p>
    <w:p w:rsidR="0057717C" w:rsidRPr="007B56DC" w:rsidRDefault="0057717C" w:rsidP="00094DB3">
      <w:pPr>
        <w:widowControl/>
        <w:wordWrap/>
        <w:autoSpaceDE/>
        <w:autoSpaceDN/>
        <w:spacing w:line="480" w:lineRule="auto"/>
        <w:rPr>
          <w:rFonts w:ascii="Times New Roman"/>
          <w:sz w:val="24"/>
        </w:rPr>
      </w:pPr>
    </w:p>
    <w:p w:rsidR="00695E23" w:rsidRPr="007B56DC" w:rsidRDefault="00695E23">
      <w:pPr>
        <w:widowControl/>
        <w:wordWrap/>
        <w:autoSpaceDE/>
        <w:autoSpaceDN/>
        <w:spacing w:after="200" w:line="276" w:lineRule="auto"/>
        <w:rPr>
          <w:rFonts w:ascii="Times New Roman"/>
          <w:sz w:val="24"/>
        </w:rPr>
      </w:pPr>
      <w:r w:rsidRPr="007B56DC">
        <w:rPr>
          <w:rFonts w:ascii="Times New Roman"/>
          <w:sz w:val="24"/>
        </w:rPr>
        <w:br w:type="page"/>
      </w:r>
    </w:p>
    <w:p w:rsidR="00094DB3" w:rsidRPr="007B56DC" w:rsidRDefault="00695E23" w:rsidP="00094DB3">
      <w:pPr>
        <w:widowControl/>
        <w:wordWrap/>
        <w:autoSpaceDE/>
        <w:autoSpaceDN/>
        <w:spacing w:line="480" w:lineRule="auto"/>
        <w:rPr>
          <w:rFonts w:ascii="Times New Roman"/>
          <w:sz w:val="24"/>
        </w:rPr>
      </w:pPr>
      <w:r w:rsidRPr="007B56DC">
        <w:rPr>
          <w:rFonts w:ascii="Times New Roman"/>
          <w:noProof/>
          <w:sz w:val="24"/>
        </w:rPr>
        <w:lastRenderedPageBreak/>
        <w:drawing>
          <wp:inline distT="0" distB="0" distL="0" distR="0" wp14:anchorId="33DE4B7E" wp14:editId="7202FDC2">
            <wp:extent cx="3060192" cy="1981200"/>
            <wp:effectExtent l="0" t="0" r="698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192" cy="1981200"/>
                    </a:xfrm>
                    <a:prstGeom prst="rect">
                      <a:avLst/>
                    </a:prstGeom>
                  </pic:spPr>
                </pic:pic>
              </a:graphicData>
            </a:graphic>
          </wp:inline>
        </w:drawing>
      </w:r>
    </w:p>
    <w:p w:rsidR="00695E23" w:rsidRPr="007B56DC" w:rsidRDefault="00695E23" w:rsidP="00695E23">
      <w:pPr>
        <w:spacing w:line="480" w:lineRule="auto"/>
        <w:rPr>
          <w:rFonts w:ascii="Times New Roman"/>
          <w:sz w:val="24"/>
        </w:rPr>
      </w:pPr>
      <w:r w:rsidRPr="007B56DC">
        <w:rPr>
          <w:rFonts w:ascii="Times New Roman"/>
          <w:b/>
          <w:sz w:val="24"/>
        </w:rPr>
        <w:t xml:space="preserve">Supplementary Figure </w:t>
      </w:r>
      <w:r w:rsidR="000E1272">
        <w:rPr>
          <w:rFonts w:ascii="Times New Roman"/>
          <w:b/>
          <w:sz w:val="24"/>
        </w:rPr>
        <w:t>10</w:t>
      </w:r>
      <w:r w:rsidRPr="007B56DC">
        <w:rPr>
          <w:rFonts w:ascii="Times New Roman"/>
          <w:b/>
          <w:sz w:val="24"/>
        </w:rPr>
        <w:t xml:space="preserve">. </w:t>
      </w:r>
      <w:r w:rsidRPr="007B56DC">
        <w:rPr>
          <w:rFonts w:ascii="Times New Roman"/>
          <w:sz w:val="24"/>
        </w:rPr>
        <w:t>Bimolecular fluorescence complementation</w:t>
      </w:r>
      <w:r w:rsidRPr="007B56DC">
        <w:rPr>
          <w:rFonts w:ascii="Times New Roman"/>
          <w:b/>
          <w:sz w:val="24"/>
        </w:rPr>
        <w:t xml:space="preserve"> </w:t>
      </w:r>
      <w:r w:rsidRPr="007B56DC">
        <w:rPr>
          <w:rFonts w:ascii="Times New Roman"/>
          <w:sz w:val="24"/>
        </w:rPr>
        <w:t>(BiFC) assays between AtPR5K2, ABI1 or ABI2 and an empty vector.</w:t>
      </w:r>
    </w:p>
    <w:p w:rsidR="00695E23" w:rsidRPr="007B56DC" w:rsidRDefault="00695E23" w:rsidP="00695E23">
      <w:pPr>
        <w:spacing w:line="480" w:lineRule="auto"/>
        <w:rPr>
          <w:rFonts w:ascii="Times New Roman"/>
          <w:sz w:val="24"/>
        </w:rPr>
      </w:pPr>
      <w:r w:rsidRPr="007B56DC">
        <w:rPr>
          <w:rFonts w:ascii="Times New Roman"/>
          <w:sz w:val="24"/>
        </w:rPr>
        <w:t>BiFC analysis of empty vectors (YFP</w:t>
      </w:r>
      <w:r w:rsidRPr="007B56DC">
        <w:rPr>
          <w:rFonts w:ascii="Times New Roman"/>
          <w:sz w:val="24"/>
          <w:vertAlign w:val="superscript"/>
        </w:rPr>
        <w:t>VC</w:t>
      </w:r>
      <w:r w:rsidRPr="007B56DC">
        <w:rPr>
          <w:rFonts w:ascii="Times New Roman"/>
          <w:sz w:val="24"/>
        </w:rPr>
        <w:t xml:space="preserve"> and YFP</w:t>
      </w:r>
      <w:r w:rsidRPr="007B56DC">
        <w:rPr>
          <w:rFonts w:ascii="Times New Roman"/>
          <w:sz w:val="24"/>
          <w:vertAlign w:val="superscript"/>
        </w:rPr>
        <w:t>VN</w:t>
      </w:r>
      <w:r w:rsidRPr="007B56DC">
        <w:rPr>
          <w:rFonts w:ascii="Times New Roman"/>
          <w:sz w:val="24"/>
        </w:rPr>
        <w:t>) with AtPR5K2</w:t>
      </w:r>
      <w:r w:rsidRPr="007B56DC">
        <w:rPr>
          <w:rFonts w:ascii="Times New Roman"/>
          <w:sz w:val="24"/>
          <w:vertAlign w:val="superscript"/>
        </w:rPr>
        <w:t>VN</w:t>
      </w:r>
      <w:r w:rsidR="00267FFB">
        <w:rPr>
          <w:rFonts w:ascii="Times New Roman"/>
          <w:sz w:val="24"/>
        </w:rPr>
        <w:t xml:space="preserve">, </w:t>
      </w:r>
      <w:r w:rsidRPr="007B56DC">
        <w:rPr>
          <w:rFonts w:ascii="Times New Roman"/>
          <w:sz w:val="24"/>
        </w:rPr>
        <w:t>ABI1</w:t>
      </w:r>
      <w:bookmarkStart w:id="1" w:name="_Hlk527985014"/>
      <w:r w:rsidRPr="007B56DC">
        <w:rPr>
          <w:rFonts w:ascii="Times New Roman"/>
          <w:sz w:val="24"/>
          <w:vertAlign w:val="superscript"/>
        </w:rPr>
        <w:t>VC</w:t>
      </w:r>
      <w:bookmarkEnd w:id="1"/>
      <w:r w:rsidRPr="007B56DC">
        <w:rPr>
          <w:rFonts w:ascii="Times New Roman"/>
          <w:sz w:val="24"/>
        </w:rPr>
        <w:t xml:space="preserve"> and ABI2</w:t>
      </w:r>
      <w:r w:rsidRPr="007B56DC">
        <w:rPr>
          <w:rFonts w:ascii="Times New Roman"/>
          <w:sz w:val="24"/>
          <w:vertAlign w:val="superscript"/>
        </w:rPr>
        <w:t>VC</w:t>
      </w:r>
      <w:r w:rsidRPr="007B56DC">
        <w:rPr>
          <w:rFonts w:ascii="Times New Roman"/>
          <w:sz w:val="24"/>
        </w:rPr>
        <w:t xml:space="preserve"> transiently co-expressed in tobacco (</w:t>
      </w:r>
      <w:r w:rsidRPr="007B56DC">
        <w:rPr>
          <w:rFonts w:ascii="Times New Roman"/>
          <w:i/>
          <w:sz w:val="24"/>
        </w:rPr>
        <w:t>Nicotiana Benthamiana</w:t>
      </w:r>
      <w:r w:rsidRPr="007B56DC">
        <w:rPr>
          <w:rFonts w:ascii="Times New Roman"/>
          <w:sz w:val="24"/>
        </w:rPr>
        <w:t>) leaves. VN and VC indicate the N- and C-terminal regions of Venus (eYFP), respectively. The epidermal cells were analyzed using confocal fluorescence microscopy and photographed after 48 hours of incubation at 25°C. Scale bars represent 100 μm.</w:t>
      </w:r>
    </w:p>
    <w:p w:rsidR="00695E23" w:rsidRPr="007B56DC" w:rsidRDefault="00695E23" w:rsidP="00094DB3">
      <w:pPr>
        <w:widowControl/>
        <w:wordWrap/>
        <w:autoSpaceDE/>
        <w:autoSpaceDN/>
        <w:spacing w:line="480" w:lineRule="auto"/>
        <w:rPr>
          <w:rFonts w:ascii="Times New Roman"/>
          <w:sz w:val="24"/>
        </w:rPr>
      </w:pPr>
    </w:p>
    <w:p w:rsidR="00695E23" w:rsidRPr="007B56DC" w:rsidRDefault="00695E23">
      <w:pPr>
        <w:widowControl/>
        <w:wordWrap/>
        <w:autoSpaceDE/>
        <w:autoSpaceDN/>
        <w:spacing w:after="200" w:line="276" w:lineRule="auto"/>
        <w:rPr>
          <w:rFonts w:ascii="Times New Roman"/>
          <w:sz w:val="24"/>
        </w:rPr>
      </w:pPr>
      <w:r w:rsidRPr="007B56DC">
        <w:rPr>
          <w:rFonts w:ascii="Times New Roman"/>
          <w:sz w:val="24"/>
        </w:rPr>
        <w:br w:type="page"/>
      </w:r>
    </w:p>
    <w:p w:rsidR="00695E23" w:rsidRPr="007B56DC" w:rsidRDefault="00695E23" w:rsidP="00695E23">
      <w:pPr>
        <w:widowControl/>
        <w:wordWrap/>
        <w:autoSpaceDE/>
        <w:autoSpaceDN/>
        <w:spacing w:after="200" w:line="276" w:lineRule="auto"/>
        <w:rPr>
          <w:rFonts w:ascii="Times New Roman"/>
          <w:sz w:val="24"/>
        </w:rPr>
      </w:pPr>
      <w:r w:rsidRPr="007B56DC">
        <w:rPr>
          <w:rFonts w:ascii="Times New Roman"/>
          <w:noProof/>
          <w:sz w:val="24"/>
        </w:rPr>
        <w:lastRenderedPageBreak/>
        <w:drawing>
          <wp:inline distT="0" distB="0" distL="0" distR="0" wp14:anchorId="77CDE546" wp14:editId="30E19A8D">
            <wp:extent cx="3060192" cy="1438656"/>
            <wp:effectExtent l="0" t="0" r="6985"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 Figure 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192" cy="1438656"/>
                    </a:xfrm>
                    <a:prstGeom prst="rect">
                      <a:avLst/>
                    </a:prstGeom>
                  </pic:spPr>
                </pic:pic>
              </a:graphicData>
            </a:graphic>
          </wp:inline>
        </w:drawing>
      </w:r>
    </w:p>
    <w:p w:rsidR="00695E23" w:rsidRPr="007B56DC" w:rsidRDefault="00695E23" w:rsidP="00695E23">
      <w:pPr>
        <w:spacing w:line="480" w:lineRule="auto"/>
        <w:rPr>
          <w:rFonts w:ascii="Times New Roman"/>
          <w:b/>
          <w:sz w:val="24"/>
        </w:rPr>
      </w:pPr>
      <w:r w:rsidRPr="007B56DC">
        <w:rPr>
          <w:rFonts w:ascii="Times New Roman"/>
          <w:b/>
          <w:sz w:val="24"/>
        </w:rPr>
        <w:t xml:space="preserve">Supplementary Figure </w:t>
      </w:r>
      <w:r w:rsidR="003E35C5" w:rsidRPr="007B56DC">
        <w:rPr>
          <w:rFonts w:ascii="Times New Roman"/>
          <w:b/>
          <w:sz w:val="24"/>
        </w:rPr>
        <w:t>1</w:t>
      </w:r>
      <w:r w:rsidR="000E1272">
        <w:rPr>
          <w:rFonts w:ascii="Times New Roman"/>
          <w:b/>
          <w:sz w:val="24"/>
        </w:rPr>
        <w:t>1</w:t>
      </w:r>
      <w:r w:rsidRPr="007B56DC">
        <w:rPr>
          <w:rFonts w:ascii="Times New Roman"/>
          <w:b/>
          <w:sz w:val="24"/>
        </w:rPr>
        <w:t xml:space="preserve">. </w:t>
      </w:r>
      <w:r w:rsidRPr="007B56DC">
        <w:rPr>
          <w:rFonts w:ascii="Times New Roman"/>
          <w:sz w:val="24"/>
        </w:rPr>
        <w:t>In-gel kinase assay of AtPR5K2.</w:t>
      </w:r>
    </w:p>
    <w:p w:rsidR="00695E23" w:rsidRPr="007B56DC" w:rsidRDefault="00695E23" w:rsidP="00695E23">
      <w:pPr>
        <w:spacing w:line="480" w:lineRule="auto"/>
        <w:rPr>
          <w:rFonts w:ascii="Times New Roman"/>
          <w:sz w:val="24"/>
        </w:rPr>
      </w:pPr>
      <w:r w:rsidRPr="007B56DC">
        <w:rPr>
          <w:rFonts w:ascii="Times New Roman"/>
          <w:sz w:val="24"/>
        </w:rPr>
        <w:t>The recombinant fusion protein of the AtPR5K2 kinase domain (wPR5K2KD) or the mutagenized AtPR5K2 kinase domain (mPR5K2KD) was denatured and separated on an SDS gel. An in-gel kinase assay was performed using recombinant SnRK2.6 as a substrate for AtPR5K2 kinase domain. The GST tag served as a negative control.</w:t>
      </w:r>
    </w:p>
    <w:p w:rsidR="00695E23" w:rsidRPr="007B56DC" w:rsidRDefault="00695E23" w:rsidP="00695E23">
      <w:pPr>
        <w:widowControl/>
        <w:wordWrap/>
        <w:autoSpaceDE/>
        <w:autoSpaceDN/>
        <w:spacing w:after="200" w:line="276" w:lineRule="auto"/>
        <w:rPr>
          <w:rFonts w:ascii="Times New Roman"/>
          <w:sz w:val="24"/>
        </w:rPr>
      </w:pPr>
    </w:p>
    <w:p w:rsidR="00695E23" w:rsidRPr="007B56DC" w:rsidRDefault="00695E23" w:rsidP="00695E23">
      <w:pPr>
        <w:widowControl/>
        <w:wordWrap/>
        <w:autoSpaceDE/>
        <w:autoSpaceDN/>
        <w:spacing w:after="200" w:line="276" w:lineRule="auto"/>
        <w:rPr>
          <w:rFonts w:ascii="Times New Roman"/>
          <w:sz w:val="24"/>
        </w:rPr>
      </w:pPr>
    </w:p>
    <w:p w:rsidR="00094DB3" w:rsidRPr="007B56DC" w:rsidRDefault="00094DB3" w:rsidP="00094DB3">
      <w:pPr>
        <w:widowControl/>
        <w:wordWrap/>
        <w:autoSpaceDE/>
        <w:autoSpaceDN/>
        <w:jc w:val="left"/>
        <w:rPr>
          <w:rFonts w:ascii="Times New Roman"/>
          <w:sz w:val="24"/>
        </w:rPr>
      </w:pPr>
      <w:r w:rsidRPr="007B56DC">
        <w:rPr>
          <w:rFonts w:ascii="Times New Roman"/>
          <w:sz w:val="24"/>
        </w:rPr>
        <w:br w:type="page"/>
      </w:r>
    </w:p>
    <w:p w:rsidR="00094DB3" w:rsidRPr="007B56DC" w:rsidRDefault="00094DB3" w:rsidP="00094DB3">
      <w:pPr>
        <w:widowControl/>
        <w:wordWrap/>
        <w:autoSpaceDE/>
        <w:autoSpaceDN/>
        <w:spacing w:after="200" w:line="276" w:lineRule="auto"/>
        <w:rPr>
          <w:rFonts w:ascii="Times New Roman"/>
          <w:b/>
          <w:sz w:val="24"/>
        </w:rPr>
      </w:pPr>
      <w:r w:rsidRPr="007B56DC">
        <w:rPr>
          <w:rFonts w:ascii="Times New Roman"/>
          <w:b/>
          <w:sz w:val="24"/>
        </w:rPr>
        <w:lastRenderedPageBreak/>
        <w:t xml:space="preserve">1. </w:t>
      </w:r>
      <w:r w:rsidRPr="007B56DC">
        <w:rPr>
          <w:rFonts w:ascii="Times New Roman" w:hint="eastAsia"/>
          <w:b/>
          <w:sz w:val="24"/>
        </w:rPr>
        <w:t xml:space="preserve">2. </w:t>
      </w:r>
      <w:r w:rsidRPr="007B56DC">
        <w:rPr>
          <w:rFonts w:ascii="Times New Roman"/>
          <w:b/>
          <w:sz w:val="24"/>
        </w:rPr>
        <w:t xml:space="preserve">Supplementary </w:t>
      </w:r>
      <w:r w:rsidRPr="007B56DC">
        <w:rPr>
          <w:rFonts w:ascii="Times New Roman" w:hint="eastAsia"/>
          <w:b/>
          <w:sz w:val="24"/>
        </w:rPr>
        <w:t>Table</w:t>
      </w:r>
    </w:p>
    <w:p w:rsidR="00695E23" w:rsidRPr="007B56DC" w:rsidRDefault="00695E23" w:rsidP="00695E23">
      <w:pPr>
        <w:spacing w:line="480" w:lineRule="auto"/>
        <w:rPr>
          <w:rFonts w:ascii="Times New Roman"/>
          <w:b/>
          <w:sz w:val="24"/>
        </w:rPr>
      </w:pPr>
      <w:r w:rsidRPr="007B56DC">
        <w:rPr>
          <w:rFonts w:ascii="Times New Roman"/>
          <w:b/>
          <w:sz w:val="24"/>
        </w:rPr>
        <w:t xml:space="preserve">Supplementary Table S1. </w:t>
      </w:r>
      <w:r w:rsidRPr="007B56DC">
        <w:rPr>
          <w:rFonts w:ascii="Times New Roman"/>
          <w:sz w:val="24"/>
        </w:rPr>
        <w:t>Primer lists for our study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4916"/>
        <w:gridCol w:w="1933"/>
      </w:tblGrid>
      <w:tr w:rsidR="007B56DC" w:rsidRPr="007B56DC" w:rsidTr="007644DE">
        <w:trPr>
          <w:trHeight w:val="203"/>
        </w:trPr>
        <w:tc>
          <w:tcPr>
            <w:tcW w:w="2167" w:type="dxa"/>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b/>
                <w:szCs w:val="20"/>
              </w:rPr>
            </w:pPr>
            <w:r w:rsidRPr="007B56DC">
              <w:rPr>
                <w:rFonts w:ascii="Times New Roman"/>
                <w:b/>
                <w:szCs w:val="20"/>
              </w:rPr>
              <w:t>Name</w:t>
            </w:r>
          </w:p>
        </w:tc>
        <w:tc>
          <w:tcPr>
            <w:tcW w:w="4916" w:type="dxa"/>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b/>
                <w:szCs w:val="20"/>
              </w:rPr>
            </w:pPr>
            <w:r w:rsidRPr="007B56DC">
              <w:rPr>
                <w:rFonts w:ascii="Times New Roman"/>
                <w:b/>
                <w:szCs w:val="20"/>
              </w:rPr>
              <w:t>Sequences (5’→3’)</w:t>
            </w:r>
          </w:p>
        </w:tc>
        <w:tc>
          <w:tcPr>
            <w:tcW w:w="1933" w:type="dxa"/>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b/>
                <w:szCs w:val="20"/>
              </w:rPr>
            </w:pPr>
            <w:r w:rsidRPr="007B56DC">
              <w:rPr>
                <w:rFonts w:ascii="Times New Roman"/>
                <w:b/>
                <w:szCs w:val="20"/>
              </w:rPr>
              <w:t>Purpose</w:t>
            </w:r>
          </w:p>
        </w:tc>
      </w:tr>
      <w:tr w:rsidR="007B56DC" w:rsidRPr="007B56DC" w:rsidTr="007644DE">
        <w:tc>
          <w:tcPr>
            <w:tcW w:w="2167" w:type="dxa"/>
            <w:tcBorders>
              <w:top w:val="single" w:sz="12"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i/>
                <w:szCs w:val="20"/>
              </w:rPr>
              <w:t>atpr5k1-1</w:t>
            </w:r>
            <w:r w:rsidRPr="007B56DC">
              <w:rPr>
                <w:rFonts w:ascii="Times New Roman"/>
                <w:szCs w:val="20"/>
              </w:rPr>
              <w:t xml:space="preserve"> LP</w:t>
            </w:r>
          </w:p>
        </w:tc>
        <w:tc>
          <w:tcPr>
            <w:tcW w:w="4916" w:type="dxa"/>
            <w:tcBorders>
              <w:top w:val="single" w:sz="12"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kern w:val="0"/>
                <w:szCs w:val="20"/>
              </w:rPr>
              <w:t>GTTCCAAATCCTCCTTTACCG</w:t>
            </w:r>
          </w:p>
        </w:tc>
        <w:tc>
          <w:tcPr>
            <w:tcW w:w="1933" w:type="dxa"/>
            <w:vMerge w:val="restart"/>
            <w:tcBorders>
              <w:top w:val="single" w:sz="12"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Mutants genotyping</w:t>
            </w: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i/>
                <w:szCs w:val="20"/>
              </w:rPr>
              <w:t>atpr5k1-1</w:t>
            </w:r>
            <w:r w:rsidRPr="007B56DC">
              <w:rPr>
                <w:rFonts w:ascii="Times New Roman"/>
                <w:szCs w:val="20"/>
              </w:rPr>
              <w:t xml:space="preserve"> RP</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TCGTGGATGGTTACAACCTTC</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i/>
                <w:szCs w:val="20"/>
              </w:rPr>
              <w:t>atpr5k2-1</w:t>
            </w:r>
            <w:r w:rsidRPr="007B56DC">
              <w:rPr>
                <w:rFonts w:ascii="Times New Roman"/>
                <w:szCs w:val="20"/>
              </w:rPr>
              <w:t xml:space="preserve"> LP</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ATGACGAAGAGGTCGCCATTAATTC</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i/>
                <w:szCs w:val="20"/>
              </w:rPr>
              <w:t>atpr5k2-1</w:t>
            </w:r>
            <w:r w:rsidRPr="007B56DC">
              <w:rPr>
                <w:rFonts w:ascii="Times New Roman"/>
                <w:szCs w:val="20"/>
              </w:rPr>
              <w:t xml:space="preserve"> RP</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TTAAACCGCTTCCACAGTATATTGGT</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i/>
                <w:szCs w:val="20"/>
              </w:rPr>
              <w:t>atpr5k3-1</w:t>
            </w:r>
            <w:r w:rsidRPr="007B56DC">
              <w:rPr>
                <w:rFonts w:ascii="Times New Roman"/>
                <w:szCs w:val="20"/>
              </w:rPr>
              <w:t xml:space="preserve"> LP</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CACGTTTTGTCCGTCTAGCTC</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i/>
                <w:szCs w:val="20"/>
              </w:rPr>
              <w:t>atpr5k3-1</w:t>
            </w:r>
            <w:r w:rsidRPr="007B56DC">
              <w:rPr>
                <w:rFonts w:ascii="Times New Roman"/>
                <w:szCs w:val="20"/>
              </w:rPr>
              <w:t xml:space="preserve"> RP</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CCTTGCTCCAATCATCTCAAG</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LBb1.3</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ATTTTGCCGATTTCGGAAC</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tcBorders>
              <w:bottom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GABI-Kat LB</w:t>
            </w:r>
          </w:p>
        </w:tc>
        <w:tc>
          <w:tcPr>
            <w:tcW w:w="4916" w:type="dxa"/>
            <w:tcBorders>
              <w:bottom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CCCATTTGGACGTGAATGTAGACAC</w:t>
            </w:r>
          </w:p>
        </w:tc>
        <w:tc>
          <w:tcPr>
            <w:tcW w:w="1933" w:type="dxa"/>
            <w:vMerge/>
            <w:tcBorders>
              <w:bottom w:val="single" w:sz="8" w:space="0" w:color="auto"/>
            </w:tcBorders>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tcBorders>
              <w:top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attB1 adapter</w:t>
            </w:r>
          </w:p>
        </w:tc>
        <w:tc>
          <w:tcPr>
            <w:tcW w:w="4916" w:type="dxa"/>
            <w:tcBorders>
              <w:top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GGGGACAAGTTTGTACAAAAAAGCAGGCT</w:t>
            </w:r>
          </w:p>
        </w:tc>
        <w:tc>
          <w:tcPr>
            <w:tcW w:w="1933" w:type="dxa"/>
            <w:vMerge w:val="restart"/>
            <w:tcBorders>
              <w:top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Plasmid cloning</w:t>
            </w: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attB2 adapter</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GGGGACCACTTTGTACAAGAAAGCTGGGT</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kern w:val="0"/>
                <w:szCs w:val="20"/>
              </w:rPr>
              <w:t>AtPR5K2-attB1</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AAAAAGCAGGCTTAATGACGAAGAGGTCG</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AtPR5K2-attB2-1</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AGAAAGCTGGGTCAACCGCTTCCACAGTA</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AtPR5K2-attB2-2</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AGAAAGCTGGGTCTTAAACCGCTTCC</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ABI1-attB1</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AAAAAGCAGGCTTAATGGAGGAAGTATCTCCG</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ABI1-attB2</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AGAAAGCTGGGTCTCAGTTCAAGGGTTTGCTCT</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ABI2-attB1</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AAAAAGCAGGCTTAATGGACGAAGTTTCTCCT</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ABI2-attB2</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AGAAAGCTGGGTCTCAATTCAAGGATTTGCTCT</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SnRK2.6-attB1</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AAAAAGCAGGCTTTATGGATCGACCAGTGAGT</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SnRK2.6-attB2</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AGAAAGCTGGGTTTCACATTGCGTACACAATC</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PYR1-attB1</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AAAAAGCAGGCTTTATGCCTTCGGAGTTAACA</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tcBorders>
              <w:bottom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PYR1-attB2</w:t>
            </w:r>
          </w:p>
        </w:tc>
        <w:tc>
          <w:tcPr>
            <w:tcW w:w="4916" w:type="dxa"/>
            <w:tcBorders>
              <w:bottom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AGAAAGCTGGGTTTCACGTCACCTGAGAACCA</w:t>
            </w:r>
          </w:p>
        </w:tc>
        <w:tc>
          <w:tcPr>
            <w:tcW w:w="1933" w:type="dxa"/>
            <w:vMerge/>
            <w:tcBorders>
              <w:bottom w:val="single" w:sz="8" w:space="0" w:color="auto"/>
            </w:tcBorders>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tcBorders>
              <w:top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AtPR5K2KD-F</w:t>
            </w:r>
          </w:p>
        </w:tc>
        <w:tc>
          <w:tcPr>
            <w:tcW w:w="4916" w:type="dxa"/>
            <w:tcBorders>
              <w:top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GAATTCATGTTGAAACGTTATAGCTTTG</w:t>
            </w:r>
          </w:p>
        </w:tc>
        <w:tc>
          <w:tcPr>
            <w:tcW w:w="1933" w:type="dxa"/>
            <w:vMerge w:val="restart"/>
            <w:tcBorders>
              <w:top w:val="single" w:sz="8" w:space="0" w:color="auto"/>
            </w:tcBorders>
            <w:vAlign w:val="center"/>
          </w:tcPr>
          <w:p w:rsidR="00695E23" w:rsidRPr="007B56DC" w:rsidRDefault="00695E23" w:rsidP="007644DE">
            <w:pPr>
              <w:jc w:val="center"/>
              <w:rPr>
                <w:rFonts w:ascii="Times New Roman"/>
                <w:szCs w:val="20"/>
              </w:rPr>
            </w:pPr>
            <w:r w:rsidRPr="007B56DC">
              <w:rPr>
                <w:rFonts w:ascii="Times New Roman"/>
                <w:szCs w:val="20"/>
              </w:rPr>
              <w:t>Site directed mutagenesis</w:t>
            </w: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AtPR5K2KD-R</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GTCGACAACCGCTTCCACAGTATAT</w:t>
            </w:r>
          </w:p>
        </w:tc>
        <w:tc>
          <w:tcPr>
            <w:tcW w:w="1933" w:type="dxa"/>
            <w:vMerge/>
            <w:vAlign w:val="center"/>
          </w:tcPr>
          <w:p w:rsidR="00695E23" w:rsidRPr="007B56DC" w:rsidRDefault="00695E23" w:rsidP="007644DE">
            <w:pPr>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mAtPR5K2KD-F</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CGAGATATTGCTCTGAGAATCTTGAAA</w:t>
            </w:r>
          </w:p>
        </w:tc>
        <w:tc>
          <w:tcPr>
            <w:tcW w:w="1933" w:type="dxa"/>
            <w:vMerge/>
            <w:vAlign w:val="center"/>
          </w:tcPr>
          <w:p w:rsidR="00695E23" w:rsidRPr="007B56DC" w:rsidRDefault="00695E23" w:rsidP="007644DE">
            <w:pPr>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mAtPR5K2KD-R</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TGACTCTTTCAAGATTCTCAGAGCAAT</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mABI1-F</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GCCATGTCGAGAGCCATTGGCGATAGATAC TT</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lastRenderedPageBreak/>
              <w:t>mABI1-R</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AAGTATCTATCGCCAATGGCTCTCGACATGGC</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lastRenderedPageBreak/>
              <w:t>mABI2-F</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TCGCAATGTCAAGAGCCATTGGCGATAGATAC</w:t>
            </w:r>
          </w:p>
        </w:tc>
        <w:tc>
          <w:tcPr>
            <w:tcW w:w="1933" w:type="dxa"/>
            <w:vMerge/>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tcBorders>
              <w:bottom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mABI2-R</w:t>
            </w:r>
          </w:p>
        </w:tc>
        <w:tc>
          <w:tcPr>
            <w:tcW w:w="4916" w:type="dxa"/>
            <w:tcBorders>
              <w:bottom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GTATCTATCGCCAATGGCTCTTGACATTGCGA</w:t>
            </w:r>
          </w:p>
        </w:tc>
        <w:tc>
          <w:tcPr>
            <w:tcW w:w="1933" w:type="dxa"/>
            <w:vMerge/>
            <w:tcBorders>
              <w:bottom w:val="single" w:sz="8" w:space="0" w:color="auto"/>
            </w:tcBorders>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tcBorders>
              <w:top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AtPR5K1-qRT-F</w:t>
            </w:r>
          </w:p>
        </w:tc>
        <w:tc>
          <w:tcPr>
            <w:tcW w:w="4916" w:type="dxa"/>
            <w:tcBorders>
              <w:top w:val="single" w:sz="8"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GACGCTTTACTCTACGAATTTCAAG</w:t>
            </w:r>
          </w:p>
        </w:tc>
        <w:tc>
          <w:tcPr>
            <w:tcW w:w="1933" w:type="dxa"/>
            <w:vMerge w:val="restart"/>
            <w:tcBorders>
              <w:top w:val="single" w:sz="8" w:space="0" w:color="auto"/>
              <w:bottom w:val="single" w:sz="12"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hint="eastAsia"/>
                <w:szCs w:val="20"/>
              </w:rPr>
              <w:t>RT-PCR and qRT-PCR</w:t>
            </w: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AtPR5K1-qRT-R</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CCTCTAGATTCCCCTCTAACATCTC</w:t>
            </w:r>
          </w:p>
        </w:tc>
        <w:tc>
          <w:tcPr>
            <w:tcW w:w="1933" w:type="dxa"/>
            <w:vMerge/>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AtPR5K2-qRT-F</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AGCCTCGAGTTCGGTTACAA</w:t>
            </w:r>
          </w:p>
        </w:tc>
        <w:tc>
          <w:tcPr>
            <w:tcW w:w="1933" w:type="dxa"/>
            <w:vMerge/>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AtPR5K2-qRT-R</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AAGCACGGTCGAAGTTCTGT</w:t>
            </w:r>
          </w:p>
        </w:tc>
        <w:tc>
          <w:tcPr>
            <w:tcW w:w="1933" w:type="dxa"/>
            <w:vMerge/>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AtPR5K3-qRT-F</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CACGTCCATCAATGTCAAGG</w:t>
            </w:r>
          </w:p>
        </w:tc>
        <w:tc>
          <w:tcPr>
            <w:tcW w:w="1933" w:type="dxa"/>
            <w:vMerge/>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AtPR5K3-qRT-R</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TGAGTTGGTGGAGCAGAGTG</w:t>
            </w:r>
          </w:p>
        </w:tc>
        <w:tc>
          <w:tcPr>
            <w:tcW w:w="1933" w:type="dxa"/>
            <w:vMerge/>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szCs w:val="20"/>
              </w:rPr>
            </w:pPr>
          </w:p>
        </w:tc>
      </w:tr>
      <w:tr w:rsidR="007B56DC" w:rsidRPr="007B56DC" w:rsidTr="007644DE">
        <w:tc>
          <w:tcPr>
            <w:tcW w:w="2167"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TUBULIN2-F</w:t>
            </w:r>
          </w:p>
        </w:tc>
        <w:tc>
          <w:tcPr>
            <w:tcW w:w="4916" w:type="dxa"/>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AGCAAATGTGGGACTCCAAG</w:t>
            </w:r>
          </w:p>
        </w:tc>
        <w:tc>
          <w:tcPr>
            <w:tcW w:w="1933" w:type="dxa"/>
            <w:vMerge/>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szCs w:val="20"/>
              </w:rPr>
            </w:pPr>
          </w:p>
        </w:tc>
      </w:tr>
      <w:tr w:rsidR="00695E23" w:rsidRPr="007B56DC" w:rsidTr="007644DE">
        <w:trPr>
          <w:trHeight w:val="260"/>
        </w:trPr>
        <w:tc>
          <w:tcPr>
            <w:tcW w:w="2167" w:type="dxa"/>
            <w:tcBorders>
              <w:bottom w:val="single" w:sz="12"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TUBULIN2-R</w:t>
            </w:r>
          </w:p>
        </w:tc>
        <w:tc>
          <w:tcPr>
            <w:tcW w:w="4916" w:type="dxa"/>
            <w:tcBorders>
              <w:bottom w:val="single" w:sz="12" w:space="0" w:color="auto"/>
            </w:tcBorders>
            <w:vAlign w:val="center"/>
          </w:tcPr>
          <w:p w:rsidR="00695E23" w:rsidRPr="007B56DC" w:rsidRDefault="00695E23" w:rsidP="007644DE">
            <w:pPr>
              <w:spacing w:line="480" w:lineRule="auto"/>
              <w:jc w:val="center"/>
              <w:rPr>
                <w:rFonts w:ascii="Times New Roman"/>
                <w:szCs w:val="20"/>
              </w:rPr>
            </w:pPr>
            <w:r w:rsidRPr="007B56DC">
              <w:rPr>
                <w:rFonts w:ascii="Times New Roman"/>
                <w:szCs w:val="20"/>
              </w:rPr>
              <w:t>CACCTTCTTCATCCGCAGTT</w:t>
            </w:r>
          </w:p>
        </w:tc>
        <w:tc>
          <w:tcPr>
            <w:tcW w:w="1933" w:type="dxa"/>
            <w:vMerge/>
            <w:tcBorders>
              <w:top w:val="single" w:sz="12" w:space="0" w:color="auto"/>
              <w:bottom w:val="single" w:sz="12" w:space="0" w:color="auto"/>
            </w:tcBorders>
            <w:vAlign w:val="center"/>
          </w:tcPr>
          <w:p w:rsidR="00695E23" w:rsidRPr="007B56DC" w:rsidRDefault="00695E23" w:rsidP="007644DE">
            <w:pPr>
              <w:spacing w:line="480" w:lineRule="auto"/>
              <w:jc w:val="center"/>
              <w:rPr>
                <w:rFonts w:ascii="Times New Roman"/>
                <w:szCs w:val="20"/>
              </w:rPr>
            </w:pPr>
          </w:p>
        </w:tc>
      </w:tr>
    </w:tbl>
    <w:p w:rsidR="00695E23" w:rsidRPr="007B56DC" w:rsidRDefault="00695E23" w:rsidP="00695E23">
      <w:pPr>
        <w:spacing w:line="480" w:lineRule="auto"/>
        <w:rPr>
          <w:rFonts w:ascii="Times New Roman"/>
          <w:sz w:val="24"/>
        </w:rPr>
      </w:pPr>
    </w:p>
    <w:p w:rsidR="00695E23" w:rsidRPr="007B56DC" w:rsidRDefault="00695E23" w:rsidP="00695E23">
      <w:pPr>
        <w:spacing w:line="480" w:lineRule="auto"/>
        <w:rPr>
          <w:rFonts w:ascii="Times New Roman"/>
          <w:sz w:val="24"/>
        </w:rPr>
      </w:pPr>
    </w:p>
    <w:p w:rsidR="00063680" w:rsidRPr="007B56DC" w:rsidRDefault="00063680" w:rsidP="00695E23">
      <w:pPr>
        <w:spacing w:line="480" w:lineRule="auto"/>
      </w:pPr>
    </w:p>
    <w:sectPr w:rsidR="00063680" w:rsidRPr="007B56DC" w:rsidSect="00F25773">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094" w:rsidRDefault="009D4094" w:rsidP="0089634D">
      <w:r>
        <w:separator/>
      </w:r>
    </w:p>
  </w:endnote>
  <w:endnote w:type="continuationSeparator" w:id="0">
    <w:p w:rsidR="009D4094" w:rsidRDefault="009D4094" w:rsidP="0089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094" w:rsidRDefault="009D4094" w:rsidP="0089634D">
      <w:r>
        <w:separator/>
      </w:r>
    </w:p>
  </w:footnote>
  <w:footnote w:type="continuationSeparator" w:id="0">
    <w:p w:rsidR="009D4094" w:rsidRDefault="009D4094" w:rsidP="008963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30252F87"/>
    <w:multiLevelType w:val="hybridMultilevel"/>
    <w:tmpl w:val="CA2CB37E"/>
    <w:lvl w:ilvl="0" w:tplc="7DE671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3EBF6739"/>
    <w:multiLevelType w:val="hybridMultilevel"/>
    <w:tmpl w:val="5FCCB2E4"/>
    <w:lvl w:ilvl="0" w:tplc="623C12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DB3"/>
    <w:rsid w:val="00063680"/>
    <w:rsid w:val="00094DB3"/>
    <w:rsid w:val="000E1272"/>
    <w:rsid w:val="00267FFB"/>
    <w:rsid w:val="003C0BFB"/>
    <w:rsid w:val="003E35C5"/>
    <w:rsid w:val="004C184D"/>
    <w:rsid w:val="004D61BF"/>
    <w:rsid w:val="0057717C"/>
    <w:rsid w:val="005863D9"/>
    <w:rsid w:val="00614593"/>
    <w:rsid w:val="0061682E"/>
    <w:rsid w:val="00627C5D"/>
    <w:rsid w:val="00695E23"/>
    <w:rsid w:val="0070610E"/>
    <w:rsid w:val="007840AB"/>
    <w:rsid w:val="007B56DC"/>
    <w:rsid w:val="007D4D60"/>
    <w:rsid w:val="007E08A2"/>
    <w:rsid w:val="007E6143"/>
    <w:rsid w:val="0089634D"/>
    <w:rsid w:val="008B425C"/>
    <w:rsid w:val="00966736"/>
    <w:rsid w:val="00994AD0"/>
    <w:rsid w:val="009C22CF"/>
    <w:rsid w:val="009D4094"/>
    <w:rsid w:val="00AB0B4E"/>
    <w:rsid w:val="00C74BE1"/>
    <w:rsid w:val="00D6386A"/>
    <w:rsid w:val="00ED62C3"/>
    <w:rsid w:val="00EF389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F7AA7"/>
  <w15:docId w15:val="{A6E25FA0-96BE-4CC1-A267-96DCEB78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DB3"/>
    <w:pPr>
      <w:widowControl w:val="0"/>
      <w:wordWrap w:val="0"/>
      <w:autoSpaceDE w:val="0"/>
      <w:autoSpaceDN w:val="0"/>
      <w:spacing w:after="0" w:line="240" w:lineRule="auto"/>
    </w:pPr>
    <w:rPr>
      <w:rFonts w:ascii="바탕" w:eastAsia="바탕" w:hAnsi="Times New Roman" w:cs="Times New Roman"/>
      <w:szCs w:val="24"/>
    </w:rPr>
  </w:style>
  <w:style w:type="paragraph" w:styleId="1">
    <w:name w:val="heading 1"/>
    <w:basedOn w:val="a0"/>
    <w:next w:val="a"/>
    <w:link w:val="1Char"/>
    <w:uiPriority w:val="2"/>
    <w:qFormat/>
    <w:rsid w:val="00094DB3"/>
    <w:pPr>
      <w:widowControl/>
      <w:numPr>
        <w:numId w:val="1"/>
      </w:numPr>
      <w:wordWrap/>
      <w:autoSpaceDE/>
      <w:autoSpaceDN/>
      <w:spacing w:before="240" w:after="240"/>
      <w:ind w:leftChars="0" w:left="0"/>
      <w:jc w:val="left"/>
      <w:outlineLvl w:val="0"/>
    </w:pPr>
    <w:rPr>
      <w:rFonts w:ascii="Times New Roman" w:eastAsia="Cambria"/>
      <w:b/>
      <w:kern w:val="0"/>
      <w:sz w:val="24"/>
      <w:lang w:eastAsia="en-US"/>
    </w:rPr>
  </w:style>
  <w:style w:type="paragraph" w:styleId="2">
    <w:name w:val="heading 2"/>
    <w:basedOn w:val="1"/>
    <w:next w:val="a"/>
    <w:link w:val="2Char"/>
    <w:uiPriority w:val="2"/>
    <w:qFormat/>
    <w:rsid w:val="00094DB3"/>
    <w:pPr>
      <w:numPr>
        <w:ilvl w:val="1"/>
      </w:numPr>
      <w:spacing w:after="200"/>
      <w:outlineLvl w:val="1"/>
    </w:pPr>
  </w:style>
  <w:style w:type="paragraph" w:styleId="3">
    <w:name w:val="heading 3"/>
    <w:basedOn w:val="a"/>
    <w:next w:val="a"/>
    <w:link w:val="3Char"/>
    <w:uiPriority w:val="2"/>
    <w:qFormat/>
    <w:rsid w:val="00094DB3"/>
    <w:pPr>
      <w:keepNext/>
      <w:keepLines/>
      <w:widowControl/>
      <w:numPr>
        <w:ilvl w:val="2"/>
        <w:numId w:val="1"/>
      </w:numPr>
      <w:wordWrap/>
      <w:autoSpaceDE/>
      <w:autoSpaceDN/>
      <w:spacing w:before="40" w:after="120"/>
      <w:jc w:val="left"/>
      <w:outlineLvl w:val="2"/>
    </w:pPr>
    <w:rPr>
      <w:rFonts w:ascii="Times New Roman" w:eastAsiaTheme="majorEastAsia" w:cstheme="majorBidi"/>
      <w:b/>
      <w:kern w:val="0"/>
      <w:sz w:val="24"/>
      <w:lang w:eastAsia="en-US"/>
    </w:rPr>
  </w:style>
  <w:style w:type="paragraph" w:styleId="4">
    <w:name w:val="heading 4"/>
    <w:basedOn w:val="3"/>
    <w:next w:val="a"/>
    <w:link w:val="4Char"/>
    <w:uiPriority w:val="2"/>
    <w:qFormat/>
    <w:rsid w:val="00094DB3"/>
    <w:pPr>
      <w:numPr>
        <w:ilvl w:val="3"/>
      </w:numPr>
      <w:outlineLvl w:val="3"/>
    </w:pPr>
    <w:rPr>
      <w:iCs/>
    </w:rPr>
  </w:style>
  <w:style w:type="paragraph" w:styleId="5">
    <w:name w:val="heading 5"/>
    <w:basedOn w:val="4"/>
    <w:next w:val="a"/>
    <w:link w:val="5Char"/>
    <w:uiPriority w:val="2"/>
    <w:qFormat/>
    <w:rsid w:val="00094DB3"/>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094DB3"/>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094DB3"/>
    <w:rPr>
      <w:rFonts w:asciiTheme="majorHAnsi" w:eastAsiaTheme="majorEastAsia" w:hAnsiTheme="majorHAnsi" w:cstheme="majorBidi"/>
      <w:sz w:val="18"/>
      <w:szCs w:val="18"/>
    </w:rPr>
  </w:style>
  <w:style w:type="character" w:customStyle="1" w:styleId="Char">
    <w:name w:val="풍선 도움말 텍스트 Char"/>
    <w:basedOn w:val="a1"/>
    <w:link w:val="a5"/>
    <w:uiPriority w:val="99"/>
    <w:semiHidden/>
    <w:rsid w:val="00094DB3"/>
    <w:rPr>
      <w:rFonts w:asciiTheme="majorHAnsi" w:eastAsiaTheme="majorEastAsia" w:hAnsiTheme="majorHAnsi" w:cstheme="majorBidi"/>
      <w:sz w:val="18"/>
      <w:szCs w:val="18"/>
    </w:rPr>
  </w:style>
  <w:style w:type="character" w:styleId="a6">
    <w:name w:val="Hyperlink"/>
    <w:basedOn w:val="a1"/>
    <w:rsid w:val="00094DB3"/>
    <w:rPr>
      <w:color w:val="0000FF" w:themeColor="hyperlink"/>
      <w:u w:val="single"/>
    </w:rPr>
  </w:style>
  <w:style w:type="character" w:customStyle="1" w:styleId="1Char">
    <w:name w:val="제목 1 Char"/>
    <w:basedOn w:val="a1"/>
    <w:link w:val="1"/>
    <w:uiPriority w:val="2"/>
    <w:rsid w:val="00094DB3"/>
    <w:rPr>
      <w:rFonts w:ascii="Times New Roman" w:eastAsia="Cambria" w:hAnsi="Times New Roman" w:cs="Times New Roman"/>
      <w:b/>
      <w:kern w:val="0"/>
      <w:sz w:val="24"/>
      <w:szCs w:val="24"/>
      <w:lang w:eastAsia="en-US"/>
    </w:rPr>
  </w:style>
  <w:style w:type="character" w:customStyle="1" w:styleId="2Char">
    <w:name w:val="제목 2 Char"/>
    <w:basedOn w:val="a1"/>
    <w:link w:val="2"/>
    <w:uiPriority w:val="2"/>
    <w:rsid w:val="00094DB3"/>
    <w:rPr>
      <w:rFonts w:ascii="Times New Roman" w:eastAsia="Cambria" w:hAnsi="Times New Roman" w:cs="Times New Roman"/>
      <w:b/>
      <w:kern w:val="0"/>
      <w:sz w:val="24"/>
      <w:szCs w:val="24"/>
      <w:lang w:eastAsia="en-US"/>
    </w:rPr>
  </w:style>
  <w:style w:type="character" w:customStyle="1" w:styleId="3Char">
    <w:name w:val="제목 3 Char"/>
    <w:basedOn w:val="a1"/>
    <w:link w:val="3"/>
    <w:uiPriority w:val="2"/>
    <w:rsid w:val="00094DB3"/>
    <w:rPr>
      <w:rFonts w:ascii="Times New Roman" w:eastAsiaTheme="majorEastAsia" w:hAnsi="Times New Roman" w:cstheme="majorBidi"/>
      <w:b/>
      <w:kern w:val="0"/>
      <w:sz w:val="24"/>
      <w:szCs w:val="24"/>
      <w:lang w:eastAsia="en-US"/>
    </w:rPr>
  </w:style>
  <w:style w:type="character" w:customStyle="1" w:styleId="4Char">
    <w:name w:val="제목 4 Char"/>
    <w:basedOn w:val="a1"/>
    <w:link w:val="4"/>
    <w:uiPriority w:val="2"/>
    <w:rsid w:val="00094DB3"/>
    <w:rPr>
      <w:rFonts w:ascii="Times New Roman" w:eastAsiaTheme="majorEastAsia" w:hAnsi="Times New Roman" w:cstheme="majorBidi"/>
      <w:b/>
      <w:iCs/>
      <w:kern w:val="0"/>
      <w:sz w:val="24"/>
      <w:szCs w:val="24"/>
      <w:lang w:eastAsia="en-US"/>
    </w:rPr>
  </w:style>
  <w:style w:type="character" w:customStyle="1" w:styleId="5Char">
    <w:name w:val="제목 5 Char"/>
    <w:basedOn w:val="a1"/>
    <w:link w:val="5"/>
    <w:uiPriority w:val="2"/>
    <w:rsid w:val="00094DB3"/>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094DB3"/>
    <w:pPr>
      <w:numPr>
        <w:numId w:val="1"/>
      </w:numPr>
    </w:pPr>
  </w:style>
  <w:style w:type="paragraph" w:styleId="a0">
    <w:name w:val="List Paragraph"/>
    <w:basedOn w:val="a"/>
    <w:uiPriority w:val="34"/>
    <w:qFormat/>
    <w:rsid w:val="00094DB3"/>
    <w:pPr>
      <w:ind w:leftChars="400" w:left="800"/>
    </w:pPr>
  </w:style>
  <w:style w:type="paragraph" w:styleId="a7">
    <w:name w:val="header"/>
    <w:basedOn w:val="a"/>
    <w:link w:val="Char0"/>
    <w:uiPriority w:val="99"/>
    <w:unhideWhenUsed/>
    <w:rsid w:val="0089634D"/>
    <w:pPr>
      <w:tabs>
        <w:tab w:val="center" w:pos="4513"/>
        <w:tab w:val="right" w:pos="9026"/>
      </w:tabs>
      <w:snapToGrid w:val="0"/>
    </w:pPr>
  </w:style>
  <w:style w:type="character" w:customStyle="1" w:styleId="Char0">
    <w:name w:val="머리글 Char"/>
    <w:basedOn w:val="a1"/>
    <w:link w:val="a7"/>
    <w:uiPriority w:val="99"/>
    <w:rsid w:val="0089634D"/>
    <w:rPr>
      <w:rFonts w:ascii="바탕" w:eastAsia="바탕" w:hAnsi="Times New Roman" w:cs="Times New Roman"/>
      <w:szCs w:val="24"/>
    </w:rPr>
  </w:style>
  <w:style w:type="paragraph" w:styleId="a8">
    <w:name w:val="footer"/>
    <w:basedOn w:val="a"/>
    <w:link w:val="Char1"/>
    <w:uiPriority w:val="99"/>
    <w:unhideWhenUsed/>
    <w:rsid w:val="0089634D"/>
    <w:pPr>
      <w:tabs>
        <w:tab w:val="center" w:pos="4513"/>
        <w:tab w:val="right" w:pos="9026"/>
      </w:tabs>
      <w:snapToGrid w:val="0"/>
    </w:pPr>
  </w:style>
  <w:style w:type="character" w:customStyle="1" w:styleId="Char1">
    <w:name w:val="바닥글 Char"/>
    <w:basedOn w:val="a1"/>
    <w:link w:val="a8"/>
    <w:uiPriority w:val="99"/>
    <w:rsid w:val="0089634D"/>
    <w:rPr>
      <w:rFonts w:ascii="바탕" w:eastAsia="바탕"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jyun@konkuk.ac.kr"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bar.utoronto.ca/efp/cgi-bin/efpWeb.cgi"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1326</Words>
  <Characters>7563</Characters>
  <Application>Microsoft Office Word</Application>
  <DocSecurity>0</DocSecurity>
  <Lines>63</Lines>
  <Paragraphs>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동원</cp:lastModifiedBy>
  <cp:revision>2</cp:revision>
  <dcterms:created xsi:type="dcterms:W3CDTF">2019-09-18T04:40:00Z</dcterms:created>
  <dcterms:modified xsi:type="dcterms:W3CDTF">2019-09-18T04:40:00Z</dcterms:modified>
</cp:coreProperties>
</file>