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674B5" w14:textId="77777777" w:rsidR="00ED0875" w:rsidRPr="009507CE" w:rsidRDefault="00ED0875" w:rsidP="009507CE">
      <w:pPr>
        <w:spacing w:after="0" w:line="480" w:lineRule="auto"/>
        <w:jc w:val="center"/>
        <w:rPr>
          <w:rFonts w:ascii="Times New Roman" w:hAnsi="Times New Roman" w:cs="Times New Roman"/>
          <w:b/>
          <w:sz w:val="28"/>
        </w:rPr>
      </w:pPr>
      <w:bookmarkStart w:id="0" w:name="_GoBack"/>
      <w:bookmarkEnd w:id="0"/>
      <w:r w:rsidRPr="009507CE">
        <w:rPr>
          <w:rFonts w:ascii="Times New Roman" w:hAnsi="Times New Roman" w:cs="Times New Roman"/>
          <w:b/>
          <w:sz w:val="28"/>
        </w:rPr>
        <w:t>Supplemental Materials</w:t>
      </w:r>
    </w:p>
    <w:p w14:paraId="6A183651" w14:textId="77777777" w:rsidR="00ED0875" w:rsidRPr="00BB5BE0" w:rsidRDefault="00ED0875" w:rsidP="009507CE">
      <w:pPr>
        <w:spacing w:after="0" w:line="480" w:lineRule="auto"/>
        <w:rPr>
          <w:rFonts w:ascii="Times New Roman" w:hAnsi="Times New Roman" w:cs="Times New Roman"/>
        </w:rPr>
      </w:pPr>
    </w:p>
    <w:p w14:paraId="3DE8B74A" w14:textId="77777777" w:rsidR="00ED0875" w:rsidRPr="00BD6C27" w:rsidRDefault="00ED0875" w:rsidP="009507CE">
      <w:pPr>
        <w:spacing w:after="0" w:line="480" w:lineRule="auto"/>
        <w:rPr>
          <w:rFonts w:ascii="Times New Roman" w:hAnsi="Times New Roman" w:cs="Times New Roman"/>
          <w:sz w:val="24"/>
          <w:szCs w:val="24"/>
        </w:rPr>
      </w:pPr>
      <w:r w:rsidRPr="00A04FAB">
        <w:rPr>
          <w:rFonts w:ascii="Times New Roman" w:hAnsi="Times New Roman" w:cs="Times New Roman"/>
          <w:i/>
          <w:sz w:val="24"/>
          <w:szCs w:val="24"/>
        </w:rPr>
        <w:t>Title:</w:t>
      </w:r>
      <w:r>
        <w:rPr>
          <w:rFonts w:ascii="Times New Roman" w:hAnsi="Times New Roman" w:cs="Times New Roman"/>
          <w:b/>
          <w:sz w:val="24"/>
          <w:szCs w:val="24"/>
        </w:rPr>
        <w:t xml:space="preserve"> </w:t>
      </w:r>
      <w:r w:rsidRPr="00A04FAB">
        <w:rPr>
          <w:rFonts w:ascii="Times New Roman" w:hAnsi="Times New Roman" w:cs="Times New Roman"/>
          <w:b/>
          <w:sz w:val="24"/>
          <w:szCs w:val="24"/>
        </w:rPr>
        <w:t>Physical</w:t>
      </w:r>
      <w:r w:rsidRPr="00BD6C27">
        <w:rPr>
          <w:rFonts w:ascii="Times New Roman" w:hAnsi="Times New Roman" w:cs="Times New Roman"/>
          <w:b/>
          <w:sz w:val="24"/>
          <w:szCs w:val="24"/>
        </w:rPr>
        <w:t xml:space="preserve"> and functional constraints on viable </w:t>
      </w:r>
      <w:r>
        <w:rPr>
          <w:rFonts w:ascii="Times New Roman" w:hAnsi="Times New Roman" w:cs="Times New Roman"/>
          <w:b/>
          <w:sz w:val="24"/>
          <w:szCs w:val="24"/>
        </w:rPr>
        <w:t>belowground</w:t>
      </w:r>
      <w:r w:rsidRPr="00BD6C27">
        <w:rPr>
          <w:rFonts w:ascii="Times New Roman" w:hAnsi="Times New Roman" w:cs="Times New Roman"/>
          <w:b/>
          <w:sz w:val="24"/>
          <w:szCs w:val="24"/>
        </w:rPr>
        <w:t xml:space="preserve"> acquisition </w:t>
      </w:r>
      <w:r>
        <w:rPr>
          <w:rFonts w:ascii="Times New Roman" w:hAnsi="Times New Roman" w:cs="Times New Roman"/>
          <w:b/>
          <w:sz w:val="24"/>
          <w:szCs w:val="24"/>
        </w:rPr>
        <w:t>strategies</w:t>
      </w:r>
    </w:p>
    <w:p w14:paraId="23CC6102" w14:textId="77777777" w:rsidR="00ED0875" w:rsidRPr="00A04FAB" w:rsidRDefault="00ED0875" w:rsidP="009507CE">
      <w:pPr>
        <w:spacing w:after="120" w:line="480" w:lineRule="auto"/>
        <w:rPr>
          <w:rFonts w:ascii="Times New Roman" w:hAnsi="Times New Roman" w:cs="Times New Roman"/>
          <w:sz w:val="24"/>
          <w:szCs w:val="24"/>
          <w:vertAlign w:val="superscript"/>
        </w:rPr>
      </w:pPr>
      <w:r w:rsidRPr="00A04FAB">
        <w:rPr>
          <w:rFonts w:ascii="Times New Roman" w:hAnsi="Times New Roman" w:cs="Times New Roman"/>
          <w:i/>
          <w:sz w:val="24"/>
          <w:szCs w:val="24"/>
        </w:rPr>
        <w:t>Authors:</w:t>
      </w:r>
      <w:r w:rsidRPr="00BD6C27">
        <w:rPr>
          <w:rFonts w:ascii="Times New Roman" w:hAnsi="Times New Roman" w:cs="Times New Roman"/>
          <w:sz w:val="24"/>
          <w:szCs w:val="24"/>
        </w:rPr>
        <w:t xml:space="preserve"> M. Luke McCormack and Colleen M. Iversen</w:t>
      </w:r>
    </w:p>
    <w:p w14:paraId="72B25C5F" w14:textId="77777777" w:rsidR="00ED0875" w:rsidRPr="00BB5BE0" w:rsidRDefault="00ED0875" w:rsidP="009507CE">
      <w:pPr>
        <w:spacing w:after="0" w:line="480" w:lineRule="auto"/>
        <w:rPr>
          <w:rFonts w:ascii="Times New Roman" w:hAnsi="Times New Roman" w:cs="Times New Roman"/>
          <w:i/>
        </w:rPr>
      </w:pPr>
      <w:r w:rsidRPr="00BB5BE0">
        <w:rPr>
          <w:rFonts w:ascii="Times New Roman" w:hAnsi="Times New Roman" w:cs="Times New Roman"/>
          <w:b/>
        </w:rPr>
        <w:t>Text S1.</w:t>
      </w:r>
      <w:r w:rsidRPr="00BB5BE0">
        <w:rPr>
          <w:rFonts w:ascii="Times New Roman" w:hAnsi="Times New Roman" w:cs="Times New Roman"/>
        </w:rPr>
        <w:t xml:space="preserve"> </w:t>
      </w:r>
      <w:r w:rsidRPr="00BB5BE0">
        <w:rPr>
          <w:rFonts w:ascii="Times New Roman" w:hAnsi="Times New Roman" w:cs="Times New Roman"/>
          <w:i/>
        </w:rPr>
        <w:t>Assembly and cleaning of data subset from the Fine-Root Ecology Database (FRED)</w:t>
      </w:r>
    </w:p>
    <w:p w14:paraId="3F8E8FC3" w14:textId="77777777" w:rsidR="00ED0875" w:rsidRDefault="00ED0875" w:rsidP="009507CE">
      <w:pPr>
        <w:spacing w:after="0" w:line="480" w:lineRule="auto"/>
        <w:ind w:firstLine="720"/>
        <w:rPr>
          <w:rFonts w:ascii="Times New Roman" w:hAnsi="Times New Roman" w:cs="Times New Roman"/>
        </w:rPr>
      </w:pPr>
      <w:r w:rsidRPr="00BB5BE0">
        <w:rPr>
          <w:rFonts w:ascii="Times New Roman" w:hAnsi="Times New Roman" w:cs="Times New Roman"/>
        </w:rPr>
        <w:t xml:space="preserve">Following download and initial cleaning of the FRED </w:t>
      </w:r>
      <w:r>
        <w:rPr>
          <w:rFonts w:ascii="Times New Roman" w:hAnsi="Times New Roman" w:cs="Times New Roman"/>
        </w:rPr>
        <w:t xml:space="preserve">2.4 </w:t>
      </w:r>
      <w:r w:rsidRPr="00BB5BE0">
        <w:rPr>
          <w:rFonts w:ascii="Times New Roman" w:hAnsi="Times New Roman" w:cs="Times New Roman"/>
        </w:rPr>
        <w:t>dataset</w:t>
      </w:r>
      <w:r>
        <w:rPr>
          <w:rFonts w:ascii="Times New Roman" w:hAnsi="Times New Roman" w:cs="Times New Roman"/>
        </w:rPr>
        <w:t xml:space="preserve"> to remove unnecessary traits, auxiliary data, and data collected from mixed communities (i.e. not species-specific data)</w:t>
      </w:r>
      <w:r w:rsidRPr="00BB5BE0">
        <w:rPr>
          <w:rFonts w:ascii="Times New Roman" w:hAnsi="Times New Roman" w:cs="Times New Roman"/>
        </w:rPr>
        <w:t xml:space="preserve">, we conducted a series of additional cleaning and quality control steps to prepare the final dataset. First, two studies that reported their order-based root traits according to centrifugal ordering scheme </w:t>
      </w:r>
      <w:r>
        <w:rPr>
          <w:rFonts w:ascii="Times New Roman" w:hAnsi="Times New Roman" w:cs="Times New Roman"/>
          <w:noProof/>
        </w:rPr>
        <w:t>(Pregitzer et al. 1997, Sun et al. 2016)</w:t>
      </w:r>
      <w:r w:rsidRPr="00BB5BE0">
        <w:rPr>
          <w:rFonts w:ascii="Times New Roman" w:hAnsi="Times New Roman" w:cs="Times New Roman"/>
        </w:rPr>
        <w:t xml:space="preserve"> while most other available data were reported according to the morphometric or centripetal ordering scheme </w:t>
      </w:r>
      <w:r>
        <w:rPr>
          <w:rFonts w:ascii="Times New Roman" w:hAnsi="Times New Roman" w:cs="Times New Roman"/>
          <w:noProof/>
        </w:rPr>
        <w:t>(Fitter 1982)</w:t>
      </w:r>
      <w:r w:rsidRPr="00BB5BE0">
        <w:rPr>
          <w:rFonts w:ascii="Times New Roman" w:hAnsi="Times New Roman" w:cs="Times New Roman"/>
        </w:rPr>
        <w:t>. In these two cases</w:t>
      </w:r>
      <w:r>
        <w:rPr>
          <w:rFonts w:ascii="Times New Roman" w:hAnsi="Times New Roman" w:cs="Times New Roman"/>
        </w:rPr>
        <w:t>,</w:t>
      </w:r>
      <w:r w:rsidRPr="00BB5BE0">
        <w:rPr>
          <w:rFonts w:ascii="Times New Roman" w:hAnsi="Times New Roman" w:cs="Times New Roman"/>
        </w:rPr>
        <w:t xml:space="preserve"> we reversed the order assessments such that the lowest order roots corresponded to the smallest most distal root in the fine-root system. This ensured that these data were directly comparable with the wider database. We removed trait data associated with pioneer first-order roots as opposed to fibrous first-order roots </w:t>
      </w:r>
      <w:r>
        <w:rPr>
          <w:rFonts w:ascii="Times New Roman" w:hAnsi="Times New Roman" w:cs="Times New Roman"/>
          <w:noProof/>
        </w:rPr>
        <w:t>(Zadworny and Eissenstat 2011)</w:t>
      </w:r>
      <w:r w:rsidRPr="00BB5BE0">
        <w:rPr>
          <w:rFonts w:ascii="Times New Roman" w:hAnsi="Times New Roman" w:cs="Times New Roman"/>
        </w:rPr>
        <w:t xml:space="preserve">. Because of limited coverage and comparability, the few observations of bryophytes contained in FRED were removed from this analysis. All data not collected under outdoor, field conditions were removed </w:t>
      </w:r>
      <w:r>
        <w:rPr>
          <w:rFonts w:ascii="Times New Roman" w:hAnsi="Times New Roman" w:cs="Times New Roman"/>
          <w:noProof/>
        </w:rPr>
        <w:t>(e.g. hydroponics and greenhouse studies; Poorter et al. 2016)</w:t>
      </w:r>
      <w:r w:rsidRPr="00BB5BE0">
        <w:rPr>
          <w:rFonts w:ascii="Times New Roman" w:hAnsi="Times New Roman" w:cs="Times New Roman"/>
        </w:rPr>
        <w:t xml:space="preserve">. </w:t>
      </w:r>
      <w:r>
        <w:rPr>
          <w:rFonts w:ascii="Times New Roman" w:hAnsi="Times New Roman" w:cs="Times New Roman"/>
        </w:rPr>
        <w:t xml:space="preserve">However, data collected from field studies that included a fertilization treatment were retained. This represented less than 10% of the total data, of which less than half included nitrogen fertilizer. In all cases, these numbers were combined with non-treatment values and averaged into representative, single-species values (see below). </w:t>
      </w:r>
    </w:p>
    <w:p w14:paraId="5B2E115E" w14:textId="77777777" w:rsidR="00ED0875" w:rsidRDefault="00ED0875" w:rsidP="009507CE">
      <w:pPr>
        <w:spacing w:after="0" w:line="480" w:lineRule="auto"/>
        <w:ind w:firstLine="720"/>
        <w:rPr>
          <w:rFonts w:ascii="Times New Roman" w:hAnsi="Times New Roman" w:cs="Times New Roman"/>
        </w:rPr>
      </w:pPr>
      <w:r w:rsidRPr="00BB5BE0">
        <w:rPr>
          <w:rFonts w:ascii="Times New Roman" w:hAnsi="Times New Roman" w:cs="Times New Roman"/>
        </w:rPr>
        <w:t xml:space="preserve">Classifications for mycorrhizal associations (e.g. arbuscular mycorrhizal, AM; ectomycorrhizal; EM; ericoid mycorrhizal </w:t>
      </w:r>
      <w:proofErr w:type="spellStart"/>
      <w:r w:rsidRPr="00BB5BE0">
        <w:rPr>
          <w:rFonts w:ascii="Times New Roman" w:hAnsi="Times New Roman" w:cs="Times New Roman"/>
        </w:rPr>
        <w:t>ErM</w:t>
      </w:r>
      <w:proofErr w:type="spellEnd"/>
      <w:r w:rsidRPr="00BB5BE0">
        <w:rPr>
          <w:rFonts w:ascii="Times New Roman" w:hAnsi="Times New Roman" w:cs="Times New Roman"/>
        </w:rPr>
        <w:t xml:space="preserve">) were included in FRED when reported by the original study. For species that had not yet been classified, we added this information according to previously published studies and databases </w:t>
      </w:r>
      <w:r>
        <w:rPr>
          <w:rFonts w:ascii="Times New Roman" w:hAnsi="Times New Roman" w:cs="Times New Roman"/>
          <w:noProof/>
        </w:rPr>
        <w:t>(Harley and Harley 1987, Brundrett and Kendrick 1988, Wang and Qiu 2006, Brundrett 2009, Maherali et al. 2016)</w:t>
      </w:r>
      <w:r w:rsidRPr="00BB5BE0">
        <w:rPr>
          <w:rFonts w:ascii="Times New Roman" w:hAnsi="Times New Roman" w:cs="Times New Roman"/>
        </w:rPr>
        <w:t xml:space="preserve">. However, in cases where a given species was nearly always reported as one </w:t>
      </w:r>
      <w:r w:rsidRPr="00BB5BE0">
        <w:rPr>
          <w:rFonts w:ascii="Times New Roman" w:hAnsi="Times New Roman" w:cs="Times New Roman"/>
        </w:rPr>
        <w:lastRenderedPageBreak/>
        <w:t xml:space="preserve">mycorrhizal type but with a few exceptions reporting another mycorrhizal type (e.g. </w:t>
      </w:r>
      <w:r w:rsidRPr="00BB5BE0">
        <w:rPr>
          <w:rFonts w:ascii="Times New Roman" w:hAnsi="Times New Roman" w:cs="Times New Roman"/>
          <w:i/>
        </w:rPr>
        <w:t>Acer rubrum</w:t>
      </w:r>
      <w:r w:rsidRPr="00BB5BE0">
        <w:rPr>
          <w:rFonts w:ascii="Times New Roman" w:hAnsi="Times New Roman" w:cs="Times New Roman"/>
        </w:rPr>
        <w:t xml:space="preserve"> commonly reported as AM but with a few observations of EM), we would only list the predominate association rather than listing the species as a dual mycorrhizal host. We then added additional data from the study by </w:t>
      </w:r>
      <w:r>
        <w:rPr>
          <w:rFonts w:ascii="Times New Roman" w:hAnsi="Times New Roman" w:cs="Times New Roman"/>
          <w:noProof/>
        </w:rPr>
        <w:t>Li et al. (2017)</w:t>
      </w:r>
      <w:r w:rsidRPr="00BB5BE0">
        <w:rPr>
          <w:rFonts w:ascii="Times New Roman" w:hAnsi="Times New Roman" w:cs="Times New Roman"/>
        </w:rPr>
        <w:t xml:space="preserve"> that were originally unpublished </w:t>
      </w:r>
      <w:r>
        <w:rPr>
          <w:rFonts w:ascii="Times New Roman" w:hAnsi="Times New Roman" w:cs="Times New Roman"/>
        </w:rPr>
        <w:t xml:space="preserve">and not available in FRED </w:t>
      </w:r>
      <w:r w:rsidRPr="00BB5BE0">
        <w:rPr>
          <w:rFonts w:ascii="Times New Roman" w:hAnsi="Times New Roman" w:cs="Times New Roman"/>
        </w:rPr>
        <w:t>concerning fine-root diameter of first</w:t>
      </w:r>
      <w:r>
        <w:rPr>
          <w:rFonts w:ascii="Times New Roman" w:hAnsi="Times New Roman" w:cs="Times New Roman"/>
        </w:rPr>
        <w:t>-</w:t>
      </w:r>
      <w:r w:rsidRPr="00BB5BE0">
        <w:rPr>
          <w:rFonts w:ascii="Times New Roman" w:hAnsi="Times New Roman" w:cs="Times New Roman"/>
        </w:rPr>
        <w:t>order roots as well as mycorrhizal colonization rates across 26 grassland species. Finally, while some species’ traits in the dataset are represented by a single reported value, for many species</w:t>
      </w:r>
      <w:r>
        <w:rPr>
          <w:rFonts w:ascii="Times New Roman" w:hAnsi="Times New Roman" w:cs="Times New Roman"/>
        </w:rPr>
        <w:t>,</w:t>
      </w:r>
      <w:r w:rsidRPr="00BB5BE0">
        <w:rPr>
          <w:rFonts w:ascii="Times New Roman" w:hAnsi="Times New Roman" w:cs="Times New Roman"/>
        </w:rPr>
        <w:t xml:space="preserve"> trait data were available from numerous independent observations (e.g. </w:t>
      </w:r>
      <w:r w:rsidRPr="00BB5BE0">
        <w:rPr>
          <w:rFonts w:ascii="Times New Roman" w:hAnsi="Times New Roman" w:cs="Times New Roman"/>
          <w:i/>
        </w:rPr>
        <w:t xml:space="preserve">Fraxinus </w:t>
      </w:r>
      <w:proofErr w:type="spellStart"/>
      <w:r w:rsidRPr="00BB5BE0">
        <w:rPr>
          <w:rFonts w:ascii="Times New Roman" w:hAnsi="Times New Roman" w:cs="Times New Roman"/>
          <w:i/>
        </w:rPr>
        <w:t>mandshurica</w:t>
      </w:r>
      <w:proofErr w:type="spellEnd"/>
      <w:r w:rsidRPr="00BB5BE0">
        <w:rPr>
          <w:rFonts w:ascii="Times New Roman" w:hAnsi="Times New Roman" w:cs="Times New Roman"/>
        </w:rPr>
        <w:t xml:space="preserve"> and </w:t>
      </w:r>
      <w:r w:rsidRPr="00BB5BE0">
        <w:rPr>
          <w:rFonts w:ascii="Times New Roman" w:hAnsi="Times New Roman" w:cs="Times New Roman"/>
          <w:i/>
        </w:rPr>
        <w:t xml:space="preserve">Pinus </w:t>
      </w:r>
      <w:proofErr w:type="spellStart"/>
      <w:r w:rsidRPr="00BB5BE0">
        <w:rPr>
          <w:rFonts w:ascii="Times New Roman" w:hAnsi="Times New Roman" w:cs="Times New Roman"/>
          <w:i/>
        </w:rPr>
        <w:t>sylvestris</w:t>
      </w:r>
      <w:proofErr w:type="spellEnd"/>
      <w:r w:rsidRPr="00BB5BE0">
        <w:rPr>
          <w:rFonts w:ascii="Times New Roman" w:hAnsi="Times New Roman" w:cs="Times New Roman"/>
        </w:rPr>
        <w:t xml:space="preserve">). In all cases, within species trait data were averaged to yield a single trait value for a given trait and species. While this masks potential for intraspecific variation in fine-root traits </w:t>
      </w:r>
      <w:r>
        <w:rPr>
          <w:rFonts w:ascii="Times New Roman" w:hAnsi="Times New Roman" w:cs="Times New Roman"/>
          <w:noProof/>
        </w:rPr>
        <w:t>(e.g. Zadworny et al. 2017)</w:t>
      </w:r>
      <w:r w:rsidRPr="00BB5BE0">
        <w:rPr>
          <w:rFonts w:ascii="Times New Roman" w:hAnsi="Times New Roman" w:cs="Times New Roman"/>
        </w:rPr>
        <w:t>, it serves a robust starting point for understanding broad patterns of fine-root trait variation across species.</w:t>
      </w:r>
    </w:p>
    <w:p w14:paraId="115D21B6" w14:textId="77777777" w:rsidR="00ED0875" w:rsidRDefault="00ED0875" w:rsidP="009507CE">
      <w:pPr>
        <w:spacing w:after="0" w:line="480" w:lineRule="auto"/>
        <w:ind w:firstLine="720"/>
        <w:rPr>
          <w:rFonts w:ascii="Times New Roman" w:hAnsi="Times New Roman" w:cs="Times New Roman"/>
        </w:rPr>
      </w:pPr>
      <w:r>
        <w:rPr>
          <w:rFonts w:ascii="Times New Roman" w:hAnsi="Times New Roman" w:cs="Times New Roman"/>
        </w:rPr>
        <w:t>The initial species average dataset based on species averages consisted of 374 individual plant species. However, data points for 5 species were removed as outliers due to extreme values based on visual inspection. The final dataset used here consisted of 369 species representing 76 families and 34 taxonomic orders. Of these 369 species, the majority were classified as associating with either AM or EM fungi with only 6 species being noted as primarily non-mycorrhizal (AM/NM) or fully non-mycorrhizal (NM). This dataset was used for regression analysis. An additional dataset in which all five traits (nitrogen content, diameter, specific root length-SRL, root tissue density-RTD, mycorrhizal colonization) were available for each species was also used for analysis and contained 117 individual species.</w:t>
      </w:r>
    </w:p>
    <w:p w14:paraId="3CE2FF6F" w14:textId="77777777" w:rsidR="00ED0875" w:rsidRDefault="00ED0875" w:rsidP="009507CE">
      <w:pPr>
        <w:spacing w:after="0" w:line="480" w:lineRule="auto"/>
        <w:rPr>
          <w:rFonts w:ascii="Times New Roman" w:hAnsi="Times New Roman" w:cs="Times New Roman"/>
        </w:rPr>
      </w:pPr>
    </w:p>
    <w:p w14:paraId="6B6E27A1" w14:textId="77777777" w:rsidR="00ED0875" w:rsidRDefault="00ED0875" w:rsidP="009507CE">
      <w:pPr>
        <w:spacing w:after="0" w:line="480" w:lineRule="auto"/>
        <w:rPr>
          <w:rFonts w:ascii="Times New Roman" w:hAnsi="Times New Roman" w:cs="Times New Roman"/>
        </w:rPr>
      </w:pPr>
      <w:r>
        <w:rPr>
          <w:rFonts w:ascii="Times New Roman" w:hAnsi="Times New Roman" w:cs="Times New Roman"/>
          <w:b/>
        </w:rPr>
        <w:t xml:space="preserve">Text S2. </w:t>
      </w:r>
      <w:r>
        <w:rPr>
          <w:rFonts w:ascii="Times New Roman" w:hAnsi="Times New Roman" w:cs="Times New Roman"/>
          <w:i/>
        </w:rPr>
        <w:t>Parameterization of the heuristic model of belowground exploration efficiency.</w:t>
      </w:r>
    </w:p>
    <w:p w14:paraId="7BF33150" w14:textId="77777777" w:rsidR="00ED0875" w:rsidRPr="002D0CF7" w:rsidRDefault="00ED0875" w:rsidP="009507CE">
      <w:pPr>
        <w:spacing w:after="0" w:line="480" w:lineRule="auto"/>
        <w:ind w:firstLine="709"/>
        <w:rPr>
          <w:rFonts w:ascii="Times New Roman" w:hAnsi="Times New Roman" w:cs="Times New Roman"/>
        </w:rPr>
      </w:pPr>
      <w:bookmarkStart w:id="1" w:name="_Hlk528755131"/>
      <w:r>
        <w:rPr>
          <w:rFonts w:ascii="Times New Roman" w:hAnsi="Times New Roman" w:cs="Times New Roman"/>
        </w:rPr>
        <w:t xml:space="preserve">Data for root-specific traits were derived from a subset of the FRED 2.4 data used in the above analysis with specific emphasis placed on non-mycorrhizal and arbuscular mycorrhizal associates. We excluded ectomycorrhizal and ericoid mycorrhizal associates as well as dual-host mycorrhizal associates. </w:t>
      </w:r>
      <w:r w:rsidRPr="002D0CF7">
        <w:rPr>
          <w:rFonts w:ascii="Times New Roman" w:hAnsi="Times New Roman" w:cs="Times New Roman"/>
        </w:rPr>
        <w:t>The relationship between first-order root diameter (mm) and RTD (g cm</w:t>
      </w:r>
      <w:r w:rsidRPr="002D0CF7">
        <w:rPr>
          <w:rFonts w:ascii="Times New Roman" w:hAnsi="Times New Roman" w:cs="Times New Roman"/>
          <w:vertAlign w:val="superscript"/>
        </w:rPr>
        <w:t>-3</w:t>
      </w:r>
      <w:r w:rsidRPr="002D0CF7">
        <w:rPr>
          <w:rFonts w:ascii="Times New Roman" w:hAnsi="Times New Roman" w:cs="Times New Roman"/>
        </w:rPr>
        <w:t>) was expressed as:</w:t>
      </w:r>
    </w:p>
    <w:p w14:paraId="3BB7C492" w14:textId="77777777" w:rsidR="00ED0875" w:rsidRPr="000639AA" w:rsidRDefault="00ED0875" w:rsidP="009507CE">
      <w:pPr>
        <w:spacing w:before="120" w:after="120" w:line="480" w:lineRule="auto"/>
        <w:jc w:val="center"/>
        <w:rPr>
          <w:rFonts w:ascii="Times New Roman" w:hAnsi="Times New Roman" w:cs="Times New Roman"/>
        </w:rPr>
      </w:pPr>
      <m:oMath>
        <m:r>
          <w:rPr>
            <w:rFonts w:ascii="Cambria Math" w:hAnsi="Cambria Math" w:cs="Times New Roman"/>
          </w:rPr>
          <w:lastRenderedPageBreak/>
          <m:t>Root Tissue Density=0.476-0.6483*D+0.4184*D^2</m:t>
        </m:r>
      </m:oMath>
      <w:r w:rsidRPr="000639AA">
        <w:rPr>
          <w:rFonts w:ascii="Times New Roman" w:hAnsi="Times New Roman" w:cs="Times New Roman"/>
        </w:rPr>
        <w:tab/>
      </w:r>
      <w:r w:rsidRPr="000639AA">
        <w:rPr>
          <w:rFonts w:ascii="Times New Roman" w:hAnsi="Times New Roman" w:cs="Times New Roman"/>
        </w:rPr>
        <w:tab/>
        <w:t>eq. 1</w:t>
      </w:r>
    </w:p>
    <w:p w14:paraId="13FCEE48" w14:textId="77777777" w:rsidR="00ED0875" w:rsidRPr="000639AA" w:rsidRDefault="00ED0875" w:rsidP="009507CE">
      <w:pPr>
        <w:spacing w:after="0" w:line="480" w:lineRule="auto"/>
        <w:rPr>
          <w:rFonts w:ascii="Times New Roman" w:hAnsi="Times New Roman" w:cs="Times New Roman"/>
        </w:rPr>
      </w:pPr>
      <w:r w:rsidRPr="000639AA">
        <w:rPr>
          <w:rFonts w:ascii="Times New Roman" w:hAnsi="Times New Roman" w:cs="Times New Roman"/>
        </w:rPr>
        <w:t xml:space="preserve">where </w:t>
      </w:r>
      <w:r w:rsidRPr="000639AA">
        <w:rPr>
          <w:rFonts w:ascii="Times New Roman" w:hAnsi="Times New Roman" w:cs="Times New Roman"/>
          <w:i/>
        </w:rPr>
        <w:t>D</w:t>
      </w:r>
      <w:r w:rsidRPr="000639AA">
        <w:rPr>
          <w:rFonts w:ascii="Times New Roman" w:hAnsi="Times New Roman" w:cs="Times New Roman"/>
        </w:rPr>
        <w:t xml:space="preserve"> represents root diameter (mm). The relationship between first-order root diameter and percent mycorrhizal colonization was expressed as:</w:t>
      </w:r>
    </w:p>
    <w:p w14:paraId="694E0071" w14:textId="77777777" w:rsidR="00ED0875" w:rsidRPr="000639AA" w:rsidRDefault="00ED0875" w:rsidP="009507CE">
      <w:pPr>
        <w:spacing w:before="120" w:after="120" w:line="480" w:lineRule="auto"/>
        <w:jc w:val="center"/>
        <w:rPr>
          <w:rFonts w:ascii="Times New Roman" w:hAnsi="Times New Roman" w:cs="Times New Roman"/>
        </w:rPr>
      </w:pPr>
      <m:oMath>
        <m:r>
          <w:rPr>
            <w:rFonts w:ascii="Cambria Math" w:hAnsi="Cambria Math" w:cs="Times New Roman"/>
          </w:rPr>
          <m:t>Percent Colonization=0.7951+190.03*D-96.541*D^2</m:t>
        </m:r>
      </m:oMath>
      <w:r w:rsidRPr="000639AA">
        <w:rPr>
          <w:rFonts w:ascii="Times New Roman" w:hAnsi="Times New Roman" w:cs="Times New Roman"/>
        </w:rPr>
        <w:tab/>
        <w:t>eq. 2</w:t>
      </w:r>
    </w:p>
    <w:p w14:paraId="7073E968" w14:textId="77777777" w:rsidR="00ED0875" w:rsidRPr="002D0CF7" w:rsidRDefault="00ED0875" w:rsidP="009507CE">
      <w:pPr>
        <w:spacing w:after="0" w:line="480" w:lineRule="auto"/>
        <w:rPr>
          <w:rFonts w:ascii="Times New Roman" w:hAnsi="Times New Roman" w:cs="Times New Roman"/>
          <w:color w:val="A6A6A6" w:themeColor="background1" w:themeShade="A6"/>
        </w:rPr>
      </w:pPr>
      <w:r w:rsidRPr="000639AA">
        <w:rPr>
          <w:rFonts w:ascii="Times New Roman" w:hAnsi="Times New Roman" w:cs="Times New Roman"/>
        </w:rPr>
        <w:t>We limited the root diameter range used in the heuristic model from 0.</w:t>
      </w:r>
      <w:r w:rsidRPr="002D0CF7">
        <w:rPr>
          <w:rFonts w:ascii="Times New Roman" w:hAnsi="Times New Roman" w:cs="Times New Roman"/>
        </w:rPr>
        <w:t xml:space="preserve">1 mm to 0.7 mm roots, reflecting a typical range of first-order root diameters observed in many terrestrial ecosystems </w:t>
      </w:r>
      <w:r>
        <w:rPr>
          <w:rFonts w:ascii="Times New Roman" w:hAnsi="Times New Roman" w:cs="Times New Roman"/>
          <w:noProof/>
        </w:rPr>
        <w:t>(Pregitzer et al. 2002, Kong et al. 2014, Li et al. 2017)</w:t>
      </w:r>
      <w:r w:rsidRPr="002D0CF7">
        <w:rPr>
          <w:rFonts w:ascii="Times New Roman" w:hAnsi="Times New Roman" w:cs="Times New Roman"/>
        </w:rPr>
        <w:t xml:space="preserve">. However, the empirical relationships described above were derived using FRED </w:t>
      </w:r>
      <w:r>
        <w:rPr>
          <w:rFonts w:ascii="Times New Roman" w:hAnsi="Times New Roman" w:cs="Times New Roman"/>
        </w:rPr>
        <w:t xml:space="preserve">2.4 </w:t>
      </w:r>
      <w:r w:rsidRPr="002D0CF7">
        <w:rPr>
          <w:rFonts w:ascii="Times New Roman" w:hAnsi="Times New Roman" w:cs="Times New Roman"/>
        </w:rPr>
        <w:t>as presented above</w:t>
      </w:r>
      <w:r>
        <w:rPr>
          <w:rFonts w:ascii="Times New Roman" w:hAnsi="Times New Roman" w:cs="Times New Roman"/>
        </w:rPr>
        <w:t>, where first-order fine-root diameters</w:t>
      </w:r>
      <w:r w:rsidRPr="002D0CF7">
        <w:rPr>
          <w:rFonts w:ascii="Times New Roman" w:hAnsi="Times New Roman" w:cs="Times New Roman"/>
        </w:rPr>
        <w:t xml:space="preserve"> ranged from </w:t>
      </w:r>
      <w:r w:rsidRPr="002D0CF7">
        <w:rPr>
          <w:rFonts w:ascii="Times New Roman" w:hAnsi="Times New Roman" w:cs="Times New Roman"/>
          <w:i/>
        </w:rPr>
        <w:t>ca.</w:t>
      </w:r>
      <w:r w:rsidRPr="002D0CF7">
        <w:rPr>
          <w:rFonts w:ascii="Times New Roman" w:hAnsi="Times New Roman" w:cs="Times New Roman"/>
        </w:rPr>
        <w:t xml:space="preserve"> 0.09 to 1.1 mm. Initial data checks indicated that the relationship was similar regardless of whether it was derived using the full </w:t>
      </w:r>
      <w:r>
        <w:rPr>
          <w:rFonts w:ascii="Times New Roman" w:hAnsi="Times New Roman" w:cs="Times New Roman"/>
        </w:rPr>
        <w:t xml:space="preserve">diameter </w:t>
      </w:r>
      <w:r w:rsidRPr="002D0CF7">
        <w:rPr>
          <w:rFonts w:ascii="Times New Roman" w:hAnsi="Times New Roman" w:cs="Times New Roman"/>
        </w:rPr>
        <w:t xml:space="preserve">range or a subset. </w:t>
      </w:r>
    </w:p>
    <w:bookmarkEnd w:id="1"/>
    <w:p w14:paraId="29CE2C60" w14:textId="77777777" w:rsidR="00ED0875" w:rsidRDefault="00ED0875" w:rsidP="009507CE">
      <w:pPr>
        <w:spacing w:after="0" w:line="480" w:lineRule="auto"/>
        <w:ind w:firstLine="431"/>
        <w:rPr>
          <w:rFonts w:ascii="Times New Roman" w:hAnsi="Times New Roman" w:cs="Times New Roman"/>
        </w:rPr>
      </w:pPr>
      <w:r w:rsidRPr="002D0CF7">
        <w:rPr>
          <w:rFonts w:ascii="Times New Roman" w:hAnsi="Times New Roman" w:cs="Times New Roman"/>
        </w:rPr>
        <w:t>Data concerning traits of mycorrhizal fungi are not as widely reported as root traits which limits our ability to parameterize these traits as continuous variables. The values used here are intended to broadly represent relatively low and high values reported in the literature rather than a continuous empirical relationship with root diameter. Therefore</w:t>
      </w:r>
      <w:r>
        <w:rPr>
          <w:rFonts w:ascii="Times New Roman" w:hAnsi="Times New Roman" w:cs="Times New Roman"/>
        </w:rPr>
        <w:t>,</w:t>
      </w:r>
      <w:r w:rsidRPr="002D0CF7">
        <w:rPr>
          <w:rFonts w:ascii="Times New Roman" w:hAnsi="Times New Roman" w:cs="Times New Roman"/>
        </w:rPr>
        <w:t xml:space="preserve"> the model results should be viewed as potential boundaries for likely values seen in natural systems. </w:t>
      </w:r>
      <w:r>
        <w:rPr>
          <w:rFonts w:ascii="Times New Roman" w:hAnsi="Times New Roman" w:cs="Times New Roman"/>
        </w:rPr>
        <w:t>Among the different scenarios, we</w:t>
      </w:r>
      <w:r w:rsidRPr="002D0CF7">
        <w:rPr>
          <w:rFonts w:ascii="Times New Roman" w:hAnsi="Times New Roman" w:cs="Times New Roman"/>
        </w:rPr>
        <w:t xml:space="preserve"> included low and high estimates for hyphal diameter of 3 and 10 µm, respectively</w:t>
      </w:r>
      <w:r>
        <w:rPr>
          <w:rFonts w:ascii="Times New Roman" w:hAnsi="Times New Roman" w:cs="Times New Roman"/>
        </w:rPr>
        <w:t xml:space="preserve"> </w:t>
      </w:r>
      <w:r>
        <w:rPr>
          <w:rFonts w:ascii="Times New Roman" w:hAnsi="Times New Roman" w:cs="Times New Roman"/>
          <w:noProof/>
        </w:rPr>
        <w:t>(Bååth and Söderström 1979, Miller et al. 1995)</w:t>
      </w:r>
      <w:r w:rsidRPr="002D0CF7">
        <w:rPr>
          <w:rFonts w:ascii="Times New Roman" w:hAnsi="Times New Roman" w:cs="Times New Roman"/>
        </w:rPr>
        <w:t xml:space="preserve">. These are reflective of individual hyphae and not for aggregated hyphal rhizomorphs </w:t>
      </w:r>
      <w:r>
        <w:rPr>
          <w:rFonts w:ascii="Times New Roman" w:hAnsi="Times New Roman" w:cs="Times New Roman"/>
        </w:rPr>
        <w:t>or cords</w:t>
      </w:r>
      <w:r w:rsidRPr="002D0CF7">
        <w:rPr>
          <w:rFonts w:ascii="Times New Roman" w:hAnsi="Times New Roman" w:cs="Times New Roman"/>
        </w:rPr>
        <w:t xml:space="preserve">. Low and high values for hyphal production rates, reported as the length of hyphae associated with a unit of colonized root length, were prescribed as 1 and 10 m of hyphal length per cm colonized root length </w:t>
      </w:r>
      <w:r>
        <w:rPr>
          <w:rFonts w:ascii="Times New Roman" w:hAnsi="Times New Roman" w:cs="Times New Roman"/>
          <w:noProof/>
        </w:rPr>
        <w:t>(Abbott et al. 1984, Miller et al. 1995, Li et al. 2019)</w:t>
      </w:r>
      <w:r w:rsidRPr="002D0CF7">
        <w:rPr>
          <w:rFonts w:ascii="Times New Roman" w:hAnsi="Times New Roman" w:cs="Times New Roman"/>
        </w:rPr>
        <w:t>. Finally, an average density of hyphal tissues was set to 1.1 g cm</w:t>
      </w:r>
      <w:r w:rsidRPr="002D0CF7">
        <w:rPr>
          <w:rFonts w:ascii="Times New Roman" w:hAnsi="Times New Roman" w:cs="Times New Roman"/>
          <w:vertAlign w:val="superscript"/>
        </w:rPr>
        <w:t>-3</w:t>
      </w:r>
      <w:r w:rsidRPr="002D0CF7">
        <w:rPr>
          <w:rFonts w:ascii="Times New Roman" w:hAnsi="Times New Roman" w:cs="Times New Roman"/>
        </w:rPr>
        <w:t xml:space="preserve"> and used for all fungal scenarios </w:t>
      </w:r>
      <w:r>
        <w:rPr>
          <w:rFonts w:ascii="Times New Roman" w:hAnsi="Times New Roman" w:cs="Times New Roman"/>
          <w:noProof/>
        </w:rPr>
        <w:t>(Bakken and Olsen 1983)</w:t>
      </w:r>
      <w:r>
        <w:rPr>
          <w:rFonts w:ascii="Times New Roman" w:hAnsi="Times New Roman" w:cs="Times New Roman"/>
        </w:rPr>
        <w:t>, but we n</w:t>
      </w:r>
      <w:r w:rsidRPr="002D0CF7">
        <w:rPr>
          <w:rFonts w:ascii="Times New Roman" w:hAnsi="Times New Roman" w:cs="Times New Roman"/>
        </w:rPr>
        <w:t xml:space="preserve">ote that other studies have </w:t>
      </w:r>
      <w:r>
        <w:rPr>
          <w:rFonts w:ascii="Times New Roman" w:hAnsi="Times New Roman" w:cs="Times New Roman"/>
        </w:rPr>
        <w:t xml:space="preserve">used </w:t>
      </w:r>
      <w:r w:rsidRPr="002D0CF7">
        <w:rPr>
          <w:rFonts w:ascii="Times New Roman" w:hAnsi="Times New Roman" w:cs="Times New Roman"/>
        </w:rPr>
        <w:t xml:space="preserve">lower estimates </w:t>
      </w:r>
      <w:r>
        <w:rPr>
          <w:rFonts w:ascii="Times New Roman" w:hAnsi="Times New Roman" w:cs="Times New Roman"/>
          <w:noProof/>
        </w:rPr>
        <w:t>(e.g. 0.44 g cm-3; Yanai et al. 1995)</w:t>
      </w:r>
      <w:r w:rsidRPr="002D0CF7">
        <w:rPr>
          <w:rFonts w:ascii="Times New Roman" w:hAnsi="Times New Roman" w:cs="Times New Roman"/>
        </w:rPr>
        <w:t>. Using these lower estimates does not qualitatively change our results; however, lower tissue densities for fungal hyphae would further exaggerate the pattern</w:t>
      </w:r>
      <w:r>
        <w:rPr>
          <w:rFonts w:ascii="Times New Roman" w:hAnsi="Times New Roman" w:cs="Times New Roman"/>
        </w:rPr>
        <w:t>s</w:t>
      </w:r>
      <w:r w:rsidRPr="002D0CF7">
        <w:rPr>
          <w:rFonts w:ascii="Times New Roman" w:hAnsi="Times New Roman" w:cs="Times New Roman"/>
        </w:rPr>
        <w:t xml:space="preserve"> observed such that</w:t>
      </w:r>
      <w:r>
        <w:rPr>
          <w:rFonts w:ascii="Times New Roman" w:hAnsi="Times New Roman" w:cs="Times New Roman"/>
        </w:rPr>
        <w:t xml:space="preserve"> belowground</w:t>
      </w:r>
      <w:r w:rsidRPr="002D0CF7">
        <w:rPr>
          <w:rFonts w:ascii="Times New Roman" w:hAnsi="Times New Roman" w:cs="Times New Roman"/>
        </w:rPr>
        <w:t xml:space="preserve"> exploration efficiency </w:t>
      </w:r>
      <w:r>
        <w:rPr>
          <w:rFonts w:ascii="Times New Roman" w:hAnsi="Times New Roman" w:cs="Times New Roman"/>
        </w:rPr>
        <w:t xml:space="preserve">(surface area gains per construction cost) </w:t>
      </w:r>
      <w:r w:rsidRPr="002D0CF7">
        <w:rPr>
          <w:rFonts w:ascii="Times New Roman" w:hAnsi="Times New Roman" w:cs="Times New Roman"/>
        </w:rPr>
        <w:t xml:space="preserve">would </w:t>
      </w:r>
      <w:r>
        <w:rPr>
          <w:rFonts w:ascii="Times New Roman" w:hAnsi="Times New Roman" w:cs="Times New Roman"/>
        </w:rPr>
        <w:t xml:space="preserve">see an even greater increase </w:t>
      </w:r>
      <w:r w:rsidRPr="002D0CF7">
        <w:rPr>
          <w:rFonts w:ascii="Times New Roman" w:hAnsi="Times New Roman" w:cs="Times New Roman"/>
        </w:rPr>
        <w:t xml:space="preserve">with </w:t>
      </w:r>
      <w:r>
        <w:rPr>
          <w:rFonts w:ascii="Times New Roman" w:hAnsi="Times New Roman" w:cs="Times New Roman"/>
        </w:rPr>
        <w:t xml:space="preserve">greater reliance on </w:t>
      </w:r>
      <w:r w:rsidRPr="002D0CF7">
        <w:rPr>
          <w:rFonts w:ascii="Times New Roman" w:hAnsi="Times New Roman" w:cs="Times New Roman"/>
        </w:rPr>
        <w:t>fungal hyphae.</w:t>
      </w:r>
    </w:p>
    <w:p w14:paraId="6589206F" w14:textId="77777777" w:rsidR="00ED0875" w:rsidRPr="00172811" w:rsidRDefault="00ED0875" w:rsidP="009507CE">
      <w:pPr>
        <w:spacing w:after="0" w:line="480" w:lineRule="auto"/>
        <w:ind w:firstLine="709"/>
        <w:rPr>
          <w:rFonts w:ascii="Times New Roman" w:hAnsi="Times New Roman" w:cs="Times New Roman"/>
        </w:rPr>
      </w:pPr>
      <w:r>
        <w:rPr>
          <w:rFonts w:ascii="Times New Roman" w:hAnsi="Times New Roman" w:cs="Times New Roman"/>
        </w:rPr>
        <w:lastRenderedPageBreak/>
        <w:t>In total we present six different scenarios with the heuristic model. In addition to a scenario where only roots were considered (i.e. no contribution by mycorrhizal fungi), factorial combinations of high- and low hyphal production rates with high- and low first-order fine-root diameter were used in an additional four model scenarios (Table S1). W</w:t>
      </w:r>
      <w:r w:rsidRPr="002D0CF7">
        <w:rPr>
          <w:rFonts w:ascii="Times New Roman" w:hAnsi="Times New Roman" w:cs="Times New Roman"/>
        </w:rPr>
        <w:t xml:space="preserve">e </w:t>
      </w:r>
      <w:r>
        <w:rPr>
          <w:rFonts w:ascii="Times New Roman" w:hAnsi="Times New Roman" w:cs="Times New Roman"/>
        </w:rPr>
        <w:t xml:space="preserve">also </w:t>
      </w:r>
      <w:r w:rsidRPr="002D0CF7">
        <w:rPr>
          <w:rFonts w:ascii="Times New Roman" w:hAnsi="Times New Roman" w:cs="Times New Roman"/>
        </w:rPr>
        <w:t xml:space="preserve">present </w:t>
      </w:r>
      <w:r>
        <w:rPr>
          <w:rFonts w:ascii="Times New Roman" w:hAnsi="Times New Roman" w:cs="Times New Roman"/>
        </w:rPr>
        <w:t xml:space="preserve">a ‘gradient’ </w:t>
      </w:r>
      <w:r w:rsidRPr="002D0CF7">
        <w:rPr>
          <w:rFonts w:ascii="Times New Roman" w:hAnsi="Times New Roman" w:cs="Times New Roman"/>
        </w:rPr>
        <w:t xml:space="preserve">scenario in which the hyphal production rate associated with roots increases with </w:t>
      </w:r>
      <w:r>
        <w:rPr>
          <w:rFonts w:ascii="Times New Roman" w:hAnsi="Times New Roman" w:cs="Times New Roman"/>
        </w:rPr>
        <w:t xml:space="preserve">fine-root </w:t>
      </w:r>
      <w:r w:rsidRPr="002D0CF7">
        <w:rPr>
          <w:rFonts w:ascii="Times New Roman" w:hAnsi="Times New Roman" w:cs="Times New Roman"/>
        </w:rPr>
        <w:t>diameter such that the smaller</w:t>
      </w:r>
      <w:r>
        <w:rPr>
          <w:rFonts w:ascii="Times New Roman" w:hAnsi="Times New Roman" w:cs="Times New Roman"/>
        </w:rPr>
        <w:t>-</w:t>
      </w:r>
      <w:r w:rsidRPr="002D0CF7">
        <w:rPr>
          <w:rFonts w:ascii="Times New Roman" w:hAnsi="Times New Roman" w:cs="Times New Roman"/>
        </w:rPr>
        <w:t>diameter roots derive a lower proportion of their absorptive surface area from fungal hyphae and the largest diameter roots are the most strongly associated with mycorrhizal fu</w:t>
      </w:r>
      <w:r w:rsidRPr="00172811">
        <w:rPr>
          <w:rFonts w:ascii="Times New Roman" w:hAnsi="Times New Roman" w:cs="Times New Roman"/>
        </w:rPr>
        <w:t xml:space="preserve">ngi. This is consistent with studies reporting lower values of hyphal length or mycorrhizal dependency associated with sites or species with lower root diameters and higher SRL </w:t>
      </w:r>
      <w:r>
        <w:rPr>
          <w:rFonts w:ascii="Times New Roman" w:hAnsi="Times New Roman" w:cs="Times New Roman"/>
          <w:noProof/>
        </w:rPr>
        <w:t>(Manjunath and Habte 1991, Miller et al. 1995, Liu et al. 2015)</w:t>
      </w:r>
      <w:r w:rsidRPr="00172811">
        <w:rPr>
          <w:rFonts w:ascii="Times New Roman" w:hAnsi="Times New Roman" w:cs="Times New Roman"/>
        </w:rPr>
        <w:t xml:space="preserve">, though exceptions have been observed within </w:t>
      </w:r>
      <w:r>
        <w:rPr>
          <w:rFonts w:ascii="Times New Roman" w:hAnsi="Times New Roman" w:cs="Times New Roman"/>
        </w:rPr>
        <w:t xml:space="preserve">some </w:t>
      </w:r>
      <w:r w:rsidRPr="00172811">
        <w:rPr>
          <w:rFonts w:ascii="Times New Roman" w:hAnsi="Times New Roman" w:cs="Times New Roman"/>
        </w:rPr>
        <w:t xml:space="preserve">sites where variation in hyphal length across species may be limited despite wide differences in </w:t>
      </w:r>
      <w:r>
        <w:rPr>
          <w:rFonts w:ascii="Times New Roman" w:hAnsi="Times New Roman" w:cs="Times New Roman"/>
        </w:rPr>
        <w:t xml:space="preserve">root morphologies and mycorrhizal </w:t>
      </w:r>
      <w:r w:rsidRPr="00172811">
        <w:rPr>
          <w:rFonts w:ascii="Times New Roman" w:hAnsi="Times New Roman" w:cs="Times New Roman"/>
        </w:rPr>
        <w:t xml:space="preserve">colonization rates </w:t>
      </w:r>
      <w:r>
        <w:rPr>
          <w:rFonts w:ascii="Times New Roman" w:hAnsi="Times New Roman" w:cs="Times New Roman"/>
          <w:noProof/>
        </w:rPr>
        <w:t>(Chen et al. 2016)</w:t>
      </w:r>
      <w:r w:rsidRPr="00172811">
        <w:rPr>
          <w:rFonts w:ascii="Times New Roman" w:hAnsi="Times New Roman" w:cs="Times New Roman"/>
        </w:rPr>
        <w:t>. The concept of increased hyphal production rates associated with larger</w:t>
      </w:r>
      <w:r>
        <w:rPr>
          <w:rFonts w:ascii="Times New Roman" w:hAnsi="Times New Roman" w:cs="Times New Roman"/>
        </w:rPr>
        <w:t>-</w:t>
      </w:r>
      <w:r w:rsidRPr="00172811">
        <w:rPr>
          <w:rFonts w:ascii="Times New Roman" w:hAnsi="Times New Roman" w:cs="Times New Roman"/>
        </w:rPr>
        <w:t xml:space="preserve">diameter roots is further consistent with the idea that </w:t>
      </w:r>
      <w:r>
        <w:rPr>
          <w:rFonts w:ascii="Times New Roman" w:hAnsi="Times New Roman" w:cs="Times New Roman"/>
        </w:rPr>
        <w:t>root</w:t>
      </w:r>
      <w:r w:rsidRPr="00172811">
        <w:rPr>
          <w:rFonts w:ascii="Times New Roman" w:hAnsi="Times New Roman" w:cs="Times New Roman"/>
        </w:rPr>
        <w:t xml:space="preserve"> cortical cells serve as the primary site of association and exchange between roots and arbuscular mycorrhizal fungi </w:t>
      </w:r>
      <w:r>
        <w:rPr>
          <w:rFonts w:ascii="Times New Roman" w:hAnsi="Times New Roman" w:cs="Times New Roman"/>
          <w:noProof/>
        </w:rPr>
        <w:t>(Brundrett 2002)</w:t>
      </w:r>
      <w:r w:rsidRPr="00172811">
        <w:rPr>
          <w:rFonts w:ascii="Times New Roman" w:hAnsi="Times New Roman" w:cs="Times New Roman"/>
        </w:rPr>
        <w:t>. Therefore, as cortex volume increases in large</w:t>
      </w:r>
      <w:r>
        <w:rPr>
          <w:rFonts w:ascii="Times New Roman" w:hAnsi="Times New Roman" w:cs="Times New Roman"/>
        </w:rPr>
        <w:t>-</w:t>
      </w:r>
      <w:r w:rsidRPr="00172811">
        <w:rPr>
          <w:rFonts w:ascii="Times New Roman" w:hAnsi="Times New Roman" w:cs="Times New Roman"/>
        </w:rPr>
        <w:t xml:space="preserve">diameter roots </w:t>
      </w:r>
      <w:r>
        <w:rPr>
          <w:rFonts w:ascii="Times New Roman" w:hAnsi="Times New Roman" w:cs="Times New Roman"/>
          <w:noProof/>
        </w:rPr>
        <w:t>(Kong et al. 2014)</w:t>
      </w:r>
      <w:r w:rsidRPr="00172811">
        <w:rPr>
          <w:rFonts w:ascii="Times New Roman" w:hAnsi="Times New Roman" w:cs="Times New Roman"/>
        </w:rPr>
        <w:t>, we may expect greater potential for exchange with plants to support growth of fungal hyphae.</w:t>
      </w:r>
      <w:r>
        <w:rPr>
          <w:rFonts w:ascii="Times New Roman" w:hAnsi="Times New Roman" w:cs="Times New Roman"/>
          <w:b/>
        </w:rPr>
        <w:br w:type="page"/>
      </w:r>
    </w:p>
    <w:p w14:paraId="58AE400D" w14:textId="77777777" w:rsidR="00ED0875" w:rsidRDefault="00ED0875" w:rsidP="009507CE">
      <w:pPr>
        <w:spacing w:after="0" w:line="480" w:lineRule="auto"/>
        <w:rPr>
          <w:rFonts w:ascii="Times New Roman" w:hAnsi="Times New Roman" w:cs="Times New Roman"/>
        </w:rPr>
      </w:pPr>
      <w:r w:rsidRPr="002D0CF7">
        <w:rPr>
          <w:rFonts w:ascii="Times New Roman" w:hAnsi="Times New Roman" w:cs="Times New Roman"/>
          <w:b/>
        </w:rPr>
        <w:lastRenderedPageBreak/>
        <w:t xml:space="preserve">Figure S1. </w:t>
      </w:r>
      <w:r w:rsidRPr="002D0CF7">
        <w:rPr>
          <w:rFonts w:ascii="Times New Roman" w:hAnsi="Times New Roman" w:cs="Times New Roman"/>
        </w:rPr>
        <w:t xml:space="preserve">Fine-root and fungal trait data used to parameterize </w:t>
      </w:r>
      <w:r>
        <w:rPr>
          <w:rFonts w:ascii="Times New Roman" w:hAnsi="Times New Roman" w:cs="Times New Roman"/>
        </w:rPr>
        <w:t xml:space="preserve">the </w:t>
      </w:r>
      <w:r w:rsidRPr="002D0CF7">
        <w:rPr>
          <w:rFonts w:ascii="Times New Roman" w:hAnsi="Times New Roman" w:cs="Times New Roman"/>
        </w:rPr>
        <w:t>heuristic model. Smoothed-spline relationships are shown between</w:t>
      </w:r>
      <w:r>
        <w:rPr>
          <w:rFonts w:ascii="Times New Roman" w:hAnsi="Times New Roman" w:cs="Times New Roman"/>
        </w:rPr>
        <w:t xml:space="preserve"> first-order root diameter and</w:t>
      </w:r>
      <w:r w:rsidRPr="002D0CF7">
        <w:rPr>
          <w:rFonts w:ascii="Times New Roman" w:hAnsi="Times New Roman" w:cs="Times New Roman"/>
        </w:rPr>
        <w:t xml:space="preserve"> mycorrhizal colonization (a; λ=0.05) and RTD (b, λ=0.</w:t>
      </w:r>
      <w:r>
        <w:rPr>
          <w:rFonts w:ascii="Times New Roman" w:hAnsi="Times New Roman" w:cs="Times New Roman"/>
        </w:rPr>
        <w:t>05</w:t>
      </w:r>
      <w:r w:rsidRPr="002D0CF7">
        <w:rPr>
          <w:rFonts w:ascii="Times New Roman" w:hAnsi="Times New Roman" w:cs="Times New Roman"/>
        </w:rPr>
        <w:t xml:space="preserve">). These were then fit </w:t>
      </w:r>
      <w:r>
        <w:rPr>
          <w:rFonts w:ascii="Times New Roman" w:hAnsi="Times New Roman" w:cs="Times New Roman"/>
        </w:rPr>
        <w:t>by</w:t>
      </w:r>
      <w:r w:rsidRPr="002D0CF7">
        <w:rPr>
          <w:rFonts w:ascii="Times New Roman" w:hAnsi="Times New Roman" w:cs="Times New Roman"/>
        </w:rPr>
        <w:t xml:space="preserve"> a second-order polynomial to derive empirical relationships for model use. Data were initially taken from FRED </w:t>
      </w:r>
      <w:r>
        <w:rPr>
          <w:rFonts w:ascii="Times New Roman" w:hAnsi="Times New Roman" w:cs="Times New Roman"/>
        </w:rPr>
        <w:t xml:space="preserve">2.4 </w:t>
      </w:r>
      <w:r w:rsidRPr="002D0CF7">
        <w:rPr>
          <w:rFonts w:ascii="Times New Roman" w:hAnsi="Times New Roman" w:cs="Times New Roman"/>
        </w:rPr>
        <w:t xml:space="preserve">and then subset to include only species known to associate with arbuscular mycorrhizal fungi </w:t>
      </w:r>
      <w:r>
        <w:rPr>
          <w:rFonts w:ascii="Times New Roman" w:hAnsi="Times New Roman" w:cs="Times New Roman"/>
        </w:rPr>
        <w:t>(as well as n</w:t>
      </w:r>
      <w:r w:rsidRPr="002D0CF7">
        <w:rPr>
          <w:rFonts w:ascii="Times New Roman" w:hAnsi="Times New Roman" w:cs="Times New Roman"/>
        </w:rPr>
        <w:t>on-mycorrhizal</w:t>
      </w:r>
      <w:r>
        <w:rPr>
          <w:rFonts w:ascii="Times New Roman" w:hAnsi="Times New Roman" w:cs="Times New Roman"/>
        </w:rPr>
        <w:t xml:space="preserve"> species)</w:t>
      </w:r>
      <w:r w:rsidRPr="002D0CF7">
        <w:rPr>
          <w:rFonts w:ascii="Times New Roman" w:hAnsi="Times New Roman" w:cs="Times New Roman"/>
        </w:rPr>
        <w:t>. Panel (c) depicts the high, low, and gradient hyphal production scenarios used to capture wide variability reported in literature.</w:t>
      </w:r>
    </w:p>
    <w:p w14:paraId="2FDC2AFC" w14:textId="77777777" w:rsidR="00ED0875" w:rsidRDefault="00ED0875" w:rsidP="009507CE">
      <w:pPr>
        <w:spacing w:after="0" w:line="480" w:lineRule="auto"/>
        <w:rPr>
          <w:rFonts w:ascii="Times New Roman" w:hAnsi="Times New Roman" w:cs="Times New Roman"/>
        </w:rPr>
      </w:pPr>
      <w:r>
        <w:rPr>
          <w:rFonts w:ascii="Times New Roman" w:hAnsi="Times New Roman" w:cs="Times New Roman"/>
          <w:noProof/>
        </w:rPr>
        <w:drawing>
          <wp:inline distT="0" distB="0" distL="0" distR="0" wp14:anchorId="1E76B091" wp14:editId="4A605A08">
            <wp:extent cx="2633980" cy="53041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33980" cy="5304155"/>
                    </a:xfrm>
                    <a:prstGeom prst="rect">
                      <a:avLst/>
                    </a:prstGeom>
                    <a:noFill/>
                  </pic:spPr>
                </pic:pic>
              </a:graphicData>
            </a:graphic>
          </wp:inline>
        </w:drawing>
      </w:r>
    </w:p>
    <w:p w14:paraId="2C69CD7B" w14:textId="77777777" w:rsidR="00ED0875" w:rsidRPr="002D0CF7" w:rsidRDefault="00ED0875" w:rsidP="009507CE">
      <w:pPr>
        <w:spacing w:after="0" w:line="480" w:lineRule="auto"/>
        <w:rPr>
          <w:rFonts w:ascii="Times New Roman" w:hAnsi="Times New Roman" w:cs="Times New Roman"/>
        </w:rPr>
      </w:pPr>
    </w:p>
    <w:p w14:paraId="71FCA98B" w14:textId="77777777" w:rsidR="00ED0875" w:rsidRPr="002D0CF7" w:rsidRDefault="00ED0875" w:rsidP="009507CE">
      <w:pPr>
        <w:spacing w:after="0" w:line="480" w:lineRule="auto"/>
        <w:rPr>
          <w:rFonts w:ascii="Times New Roman" w:hAnsi="Times New Roman" w:cs="Times New Roman"/>
        </w:rPr>
      </w:pPr>
    </w:p>
    <w:p w14:paraId="05012CBD" w14:textId="77777777" w:rsidR="00ED0875" w:rsidRDefault="00ED0875" w:rsidP="00142AC5">
      <w:pPr>
        <w:rPr>
          <w:rFonts w:ascii="Times New Roman" w:hAnsi="Times New Roman" w:cs="Times New Roman"/>
          <w:sz w:val="24"/>
          <w:szCs w:val="24"/>
        </w:rPr>
      </w:pPr>
      <w:r w:rsidRPr="00142AC5">
        <w:rPr>
          <w:rFonts w:ascii="Times New Roman" w:hAnsi="Times New Roman" w:cs="Times New Roman"/>
          <w:b/>
        </w:rPr>
        <w:lastRenderedPageBreak/>
        <w:t xml:space="preserve">Figure S2.  </w:t>
      </w:r>
      <w:r>
        <w:rPr>
          <w:rFonts w:ascii="Times New Roman" w:hAnsi="Times New Roman" w:cs="Times New Roman"/>
          <w:sz w:val="24"/>
          <w:szCs w:val="24"/>
        </w:rPr>
        <w:t>C</w:t>
      </w:r>
      <w:r w:rsidRPr="00BD6C27">
        <w:rPr>
          <w:rFonts w:ascii="Times New Roman" w:hAnsi="Times New Roman" w:cs="Times New Roman"/>
          <w:sz w:val="24"/>
          <w:szCs w:val="24"/>
        </w:rPr>
        <w:t xml:space="preserve">orrelations </w:t>
      </w:r>
      <w:r>
        <w:rPr>
          <w:rFonts w:ascii="Times New Roman" w:hAnsi="Times New Roman" w:cs="Times New Roman"/>
          <w:sz w:val="24"/>
          <w:szCs w:val="24"/>
        </w:rPr>
        <w:t xml:space="preserve">between mycorrhizal colonization and root </w:t>
      </w:r>
      <w:r w:rsidRPr="00BD6C27">
        <w:rPr>
          <w:rFonts w:ascii="Times New Roman" w:hAnsi="Times New Roman" w:cs="Times New Roman"/>
          <w:sz w:val="24"/>
          <w:szCs w:val="24"/>
        </w:rPr>
        <w:t>diameter</w:t>
      </w:r>
      <w:r>
        <w:rPr>
          <w:rFonts w:ascii="Times New Roman" w:hAnsi="Times New Roman" w:cs="Times New Roman"/>
          <w:sz w:val="24"/>
          <w:szCs w:val="24"/>
        </w:rPr>
        <w:t xml:space="preserve"> (panels a, b) or specific root length (SRL; panels c, d) separated by mycorrhizal association. Panels a and c present species that associate with arbuscular mycorrhizal fungi (AM), are considered facultatively AM (AMNM), or are considered non-mycorrhizal (NM). Panels b and d present only species that associate with ectomycorrhizal fungi (EM). </w:t>
      </w:r>
      <w:r w:rsidRPr="00BD6C27">
        <w:rPr>
          <w:rFonts w:ascii="Times New Roman" w:hAnsi="Times New Roman" w:cs="Times New Roman"/>
          <w:sz w:val="24"/>
          <w:szCs w:val="24"/>
        </w:rPr>
        <w:t xml:space="preserve">Linear fits </w:t>
      </w:r>
      <w:r>
        <w:rPr>
          <w:rFonts w:ascii="Times New Roman" w:hAnsi="Times New Roman" w:cs="Times New Roman"/>
          <w:sz w:val="24"/>
          <w:szCs w:val="24"/>
        </w:rPr>
        <w:t>and Pearson’s correlation coefficient</w:t>
      </w:r>
      <w:r w:rsidRPr="00806B65">
        <w:rPr>
          <w:rFonts w:ascii="Times New Roman" w:hAnsi="Times New Roman" w:cs="Times New Roman"/>
          <w:sz w:val="24"/>
          <w:szCs w:val="24"/>
        </w:rPr>
        <w:t xml:space="preserve"> (</w:t>
      </w:r>
      <w:r>
        <w:rPr>
          <w:rFonts w:ascii="Times New Roman" w:hAnsi="Times New Roman" w:cs="Times New Roman"/>
          <w:i/>
          <w:sz w:val="24"/>
          <w:szCs w:val="24"/>
        </w:rPr>
        <w:t>r</w:t>
      </w:r>
      <w:r w:rsidRPr="00806B65">
        <w:rPr>
          <w:rFonts w:ascii="Times New Roman" w:hAnsi="Times New Roman" w:cs="Times New Roman"/>
          <w:sz w:val="24"/>
          <w:szCs w:val="24"/>
        </w:rPr>
        <w:t>)</w:t>
      </w:r>
      <w:r>
        <w:rPr>
          <w:rFonts w:ascii="Times New Roman" w:hAnsi="Times New Roman" w:cs="Times New Roman"/>
          <w:sz w:val="24"/>
          <w:szCs w:val="24"/>
        </w:rPr>
        <w:t xml:space="preserve"> </w:t>
      </w:r>
      <w:r w:rsidRPr="00BD6C27">
        <w:rPr>
          <w:rFonts w:ascii="Times New Roman" w:hAnsi="Times New Roman" w:cs="Times New Roman"/>
          <w:sz w:val="24"/>
          <w:szCs w:val="24"/>
        </w:rPr>
        <w:t xml:space="preserve">are </w:t>
      </w:r>
      <w:r>
        <w:rPr>
          <w:rFonts w:ascii="Times New Roman" w:hAnsi="Times New Roman" w:cs="Times New Roman"/>
          <w:sz w:val="24"/>
          <w:szCs w:val="24"/>
        </w:rPr>
        <w:t>shown</w:t>
      </w:r>
      <w:r w:rsidRPr="00BD6C27">
        <w:rPr>
          <w:rFonts w:ascii="Times New Roman" w:hAnsi="Times New Roman" w:cs="Times New Roman"/>
          <w:sz w:val="24"/>
          <w:szCs w:val="24"/>
        </w:rPr>
        <w:t xml:space="preserve"> for significant relationships </w:t>
      </w:r>
      <w:r>
        <w:rPr>
          <w:rFonts w:ascii="Times New Roman" w:hAnsi="Times New Roman" w:cs="Times New Roman"/>
          <w:sz w:val="24"/>
          <w:szCs w:val="24"/>
        </w:rPr>
        <w:t>(</w:t>
      </w:r>
      <w:r w:rsidRPr="00BD6C27">
        <w:rPr>
          <w:rFonts w:ascii="Times New Roman" w:hAnsi="Times New Roman" w:cs="Times New Roman"/>
          <w:i/>
          <w:sz w:val="24"/>
          <w:szCs w:val="24"/>
        </w:rPr>
        <w:t>p</w:t>
      </w:r>
      <w:r w:rsidRPr="00BD6C27">
        <w:rPr>
          <w:rFonts w:ascii="Times New Roman" w:hAnsi="Times New Roman" w:cs="Times New Roman"/>
          <w:sz w:val="24"/>
          <w:szCs w:val="24"/>
        </w:rPr>
        <w:t xml:space="preserve"> ≤ 0.05</w:t>
      </w:r>
      <w:r>
        <w:rPr>
          <w:rFonts w:ascii="Times New Roman" w:hAnsi="Times New Roman" w:cs="Times New Roman"/>
          <w:sz w:val="24"/>
          <w:szCs w:val="24"/>
        </w:rPr>
        <w:t>) along with s</w:t>
      </w:r>
      <w:r w:rsidRPr="00566C08">
        <w:rPr>
          <w:rFonts w:ascii="Times New Roman" w:hAnsi="Times New Roman" w:cs="Times New Roman"/>
          <w:sz w:val="24"/>
          <w:szCs w:val="24"/>
        </w:rPr>
        <w:t>ample numbers (</w:t>
      </w:r>
      <w:r w:rsidRPr="00566C08">
        <w:rPr>
          <w:rFonts w:ascii="Times New Roman" w:hAnsi="Times New Roman" w:cs="Times New Roman"/>
          <w:i/>
          <w:sz w:val="24"/>
          <w:szCs w:val="24"/>
        </w:rPr>
        <w:t>N</w:t>
      </w:r>
      <w:r w:rsidRPr="00566C08">
        <w:rPr>
          <w:rFonts w:ascii="Times New Roman" w:hAnsi="Times New Roman" w:cs="Times New Roman"/>
          <w:sz w:val="24"/>
          <w:szCs w:val="24"/>
        </w:rPr>
        <w:t>)</w:t>
      </w:r>
      <w:r w:rsidRPr="00BD6C27">
        <w:rPr>
          <w:rFonts w:ascii="Times New Roman" w:hAnsi="Times New Roman" w:cs="Times New Roman"/>
          <w:sz w:val="24"/>
          <w:szCs w:val="24"/>
        </w:rPr>
        <w:t xml:space="preserve">. </w:t>
      </w:r>
      <w:r>
        <w:rPr>
          <w:rFonts w:ascii="Times New Roman" w:hAnsi="Times New Roman" w:cs="Times New Roman"/>
          <w:sz w:val="24"/>
          <w:szCs w:val="24"/>
        </w:rPr>
        <w:t xml:space="preserve">Diameter and SRL data were log-transformed while mycorrhizal colonization was transformed using the angular transformation. </w:t>
      </w:r>
    </w:p>
    <w:p w14:paraId="191E103A" w14:textId="77777777" w:rsidR="00ED0875" w:rsidRDefault="00ED0875">
      <w:pPr>
        <w:rPr>
          <w:rFonts w:ascii="Times New Roman" w:hAnsi="Times New Roman" w:cs="Times New Roman"/>
          <w:b/>
        </w:rPr>
      </w:pPr>
      <w:r>
        <w:rPr>
          <w:rFonts w:ascii="Times New Roman" w:hAnsi="Times New Roman" w:cs="Times New Roman"/>
          <w:b/>
          <w:noProof/>
        </w:rPr>
        <w:drawing>
          <wp:inline distT="0" distB="0" distL="0" distR="0" wp14:anchorId="6D6AB6F3" wp14:editId="31F98482">
            <wp:extent cx="5031953" cy="41239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yco with D and SR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31953" cy="4123952"/>
                    </a:xfrm>
                    <a:prstGeom prst="rect">
                      <a:avLst/>
                    </a:prstGeom>
                  </pic:spPr>
                </pic:pic>
              </a:graphicData>
            </a:graphic>
          </wp:inline>
        </w:drawing>
      </w:r>
    </w:p>
    <w:p w14:paraId="31613213" w14:textId="77777777" w:rsidR="00ED0875" w:rsidRDefault="00ED0875">
      <w:pPr>
        <w:rPr>
          <w:rFonts w:ascii="Times New Roman" w:hAnsi="Times New Roman" w:cs="Times New Roman"/>
          <w:b/>
        </w:rPr>
      </w:pPr>
    </w:p>
    <w:p w14:paraId="78CAD4CC" w14:textId="77777777" w:rsidR="00ED0875" w:rsidRDefault="00ED0875">
      <w:pPr>
        <w:rPr>
          <w:rFonts w:ascii="Times New Roman" w:hAnsi="Times New Roman" w:cs="Times New Roman"/>
          <w:b/>
        </w:rPr>
      </w:pPr>
      <w:r>
        <w:rPr>
          <w:rFonts w:ascii="Times New Roman" w:hAnsi="Times New Roman" w:cs="Times New Roman"/>
          <w:b/>
        </w:rPr>
        <w:br w:type="page"/>
      </w:r>
    </w:p>
    <w:p w14:paraId="18528468" w14:textId="77777777" w:rsidR="00ED0875" w:rsidRPr="002D0CF7" w:rsidRDefault="00ED0875" w:rsidP="009507CE">
      <w:pPr>
        <w:spacing w:after="0" w:line="480" w:lineRule="auto"/>
        <w:rPr>
          <w:rFonts w:ascii="Times New Roman" w:hAnsi="Times New Roman" w:cs="Times New Roman"/>
        </w:rPr>
      </w:pPr>
      <w:r w:rsidRPr="002D0CF7">
        <w:rPr>
          <w:rFonts w:ascii="Times New Roman" w:hAnsi="Times New Roman" w:cs="Times New Roman"/>
          <w:b/>
        </w:rPr>
        <w:lastRenderedPageBreak/>
        <w:t>Table S1</w:t>
      </w:r>
      <w:r w:rsidRPr="002D0CF7">
        <w:rPr>
          <w:rFonts w:ascii="Times New Roman" w:hAnsi="Times New Roman" w:cs="Times New Roman"/>
        </w:rPr>
        <w:t xml:space="preserve">. </w:t>
      </w:r>
      <w:r>
        <w:rPr>
          <w:rFonts w:ascii="Times New Roman" w:hAnsi="Times New Roman" w:cs="Times New Roman"/>
        </w:rPr>
        <w:t>Six general scenarios and f</w:t>
      </w:r>
      <w:r w:rsidRPr="002D0CF7">
        <w:rPr>
          <w:rFonts w:ascii="Times New Roman" w:hAnsi="Times New Roman" w:cs="Times New Roman"/>
        </w:rPr>
        <w:t xml:space="preserve">ungal parameters used in </w:t>
      </w:r>
      <w:r>
        <w:rPr>
          <w:rFonts w:ascii="Times New Roman" w:hAnsi="Times New Roman" w:cs="Times New Roman"/>
        </w:rPr>
        <w:t xml:space="preserve">the </w:t>
      </w:r>
      <w:r w:rsidRPr="002D0CF7">
        <w:rPr>
          <w:rFonts w:ascii="Times New Roman" w:hAnsi="Times New Roman" w:cs="Times New Roman"/>
        </w:rPr>
        <w:t>heuristic model of belowground exploration efficiency. Root parameters are based on empirical relationships and are reported in equations 1 and 2 and presented in Figure S1.</w:t>
      </w: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88"/>
        <w:gridCol w:w="90"/>
        <w:gridCol w:w="90"/>
        <w:gridCol w:w="1530"/>
        <w:gridCol w:w="1530"/>
        <w:gridCol w:w="90"/>
        <w:gridCol w:w="90"/>
        <w:gridCol w:w="2309"/>
        <w:gridCol w:w="90"/>
        <w:gridCol w:w="90"/>
      </w:tblGrid>
      <w:tr w:rsidR="00ED0875" w:rsidRPr="002D0CF7" w14:paraId="6B1B666D" w14:textId="77777777" w:rsidTr="003E7BE5">
        <w:tc>
          <w:tcPr>
            <w:tcW w:w="2988" w:type="dxa"/>
            <w:tcBorders>
              <w:bottom w:val="single" w:sz="4" w:space="0" w:color="auto"/>
            </w:tcBorders>
            <w:vAlign w:val="bottom"/>
          </w:tcPr>
          <w:p w14:paraId="30AE4BA5" w14:textId="77777777" w:rsidR="00ED0875" w:rsidRPr="002D0CF7" w:rsidRDefault="00ED0875" w:rsidP="009507CE">
            <w:pPr>
              <w:spacing w:line="480" w:lineRule="auto"/>
              <w:jc w:val="center"/>
              <w:rPr>
                <w:rFonts w:ascii="Times New Roman" w:hAnsi="Times New Roman" w:cs="Times New Roman"/>
                <w:b/>
                <w:sz w:val="20"/>
                <w:szCs w:val="20"/>
              </w:rPr>
            </w:pPr>
            <w:r w:rsidRPr="002D0CF7">
              <w:rPr>
                <w:rFonts w:ascii="Times New Roman" w:hAnsi="Times New Roman" w:cs="Times New Roman"/>
                <w:b/>
                <w:sz w:val="20"/>
                <w:szCs w:val="20"/>
              </w:rPr>
              <w:t>Scenario</w:t>
            </w:r>
          </w:p>
        </w:tc>
        <w:tc>
          <w:tcPr>
            <w:tcW w:w="1710" w:type="dxa"/>
            <w:gridSpan w:val="3"/>
            <w:tcBorders>
              <w:bottom w:val="single" w:sz="4" w:space="0" w:color="auto"/>
            </w:tcBorders>
            <w:vAlign w:val="bottom"/>
          </w:tcPr>
          <w:p w14:paraId="2998C5D2" w14:textId="77777777" w:rsidR="00ED0875" w:rsidRPr="002D0CF7" w:rsidRDefault="00ED0875" w:rsidP="009507CE">
            <w:pPr>
              <w:spacing w:line="480" w:lineRule="auto"/>
              <w:jc w:val="center"/>
              <w:rPr>
                <w:rFonts w:ascii="Times New Roman" w:hAnsi="Times New Roman" w:cs="Times New Roman"/>
                <w:b/>
                <w:sz w:val="20"/>
                <w:szCs w:val="20"/>
              </w:rPr>
            </w:pPr>
            <w:r w:rsidRPr="002D0CF7">
              <w:rPr>
                <w:rFonts w:ascii="Times New Roman" w:hAnsi="Times New Roman" w:cs="Times New Roman"/>
                <w:b/>
                <w:sz w:val="20"/>
                <w:szCs w:val="20"/>
              </w:rPr>
              <w:t xml:space="preserve">Hyphal Tissue Density </w:t>
            </w:r>
            <w:r w:rsidRPr="002D0CF7">
              <w:rPr>
                <w:rFonts w:ascii="Times New Roman" w:hAnsi="Times New Roman" w:cs="Times New Roman"/>
                <w:sz w:val="20"/>
                <w:szCs w:val="20"/>
              </w:rPr>
              <w:t>(g cm</w:t>
            </w:r>
            <w:r w:rsidRPr="002D0CF7">
              <w:rPr>
                <w:rFonts w:ascii="Times New Roman" w:hAnsi="Times New Roman" w:cs="Times New Roman"/>
                <w:sz w:val="20"/>
                <w:szCs w:val="20"/>
                <w:vertAlign w:val="superscript"/>
              </w:rPr>
              <w:t>-3</w:t>
            </w:r>
            <w:r w:rsidRPr="002D0CF7">
              <w:rPr>
                <w:rFonts w:ascii="Times New Roman" w:hAnsi="Times New Roman" w:cs="Times New Roman"/>
                <w:sz w:val="20"/>
                <w:szCs w:val="20"/>
              </w:rPr>
              <w:t>)†</w:t>
            </w:r>
          </w:p>
        </w:tc>
        <w:tc>
          <w:tcPr>
            <w:tcW w:w="1710" w:type="dxa"/>
            <w:gridSpan w:val="3"/>
            <w:tcBorders>
              <w:bottom w:val="single" w:sz="4" w:space="0" w:color="auto"/>
            </w:tcBorders>
            <w:vAlign w:val="bottom"/>
          </w:tcPr>
          <w:p w14:paraId="64E9CAB3" w14:textId="77777777" w:rsidR="00ED0875" w:rsidRPr="002D0CF7" w:rsidRDefault="00ED0875" w:rsidP="009507CE">
            <w:pPr>
              <w:spacing w:line="480" w:lineRule="auto"/>
              <w:jc w:val="center"/>
              <w:rPr>
                <w:rFonts w:ascii="Times New Roman" w:hAnsi="Times New Roman" w:cs="Times New Roman"/>
                <w:b/>
                <w:sz w:val="20"/>
                <w:szCs w:val="20"/>
              </w:rPr>
            </w:pPr>
            <w:r w:rsidRPr="002D0CF7">
              <w:rPr>
                <w:rFonts w:ascii="Times New Roman" w:hAnsi="Times New Roman" w:cs="Times New Roman"/>
                <w:b/>
                <w:sz w:val="20"/>
                <w:szCs w:val="20"/>
              </w:rPr>
              <w:t xml:space="preserve">Hyphal Diameter </w:t>
            </w:r>
            <w:r w:rsidRPr="002D0CF7">
              <w:rPr>
                <w:rFonts w:ascii="Times New Roman" w:hAnsi="Times New Roman" w:cs="Times New Roman"/>
                <w:sz w:val="20"/>
                <w:szCs w:val="20"/>
              </w:rPr>
              <w:t>(µm)‡</w:t>
            </w:r>
          </w:p>
        </w:tc>
        <w:tc>
          <w:tcPr>
            <w:tcW w:w="2489" w:type="dxa"/>
            <w:gridSpan w:val="3"/>
            <w:tcBorders>
              <w:bottom w:val="single" w:sz="4" w:space="0" w:color="auto"/>
            </w:tcBorders>
            <w:vAlign w:val="bottom"/>
          </w:tcPr>
          <w:p w14:paraId="781224D1" w14:textId="77777777" w:rsidR="00ED0875" w:rsidRPr="002D0CF7" w:rsidRDefault="00ED0875" w:rsidP="009507CE">
            <w:pPr>
              <w:spacing w:line="480" w:lineRule="auto"/>
              <w:jc w:val="center"/>
              <w:rPr>
                <w:rFonts w:ascii="Times New Roman" w:hAnsi="Times New Roman" w:cs="Times New Roman"/>
                <w:sz w:val="20"/>
                <w:szCs w:val="20"/>
              </w:rPr>
            </w:pPr>
            <w:r w:rsidRPr="002D0CF7">
              <w:rPr>
                <w:rFonts w:ascii="Times New Roman" w:hAnsi="Times New Roman" w:cs="Times New Roman"/>
                <w:b/>
                <w:sz w:val="20"/>
                <w:szCs w:val="20"/>
              </w:rPr>
              <w:t xml:space="preserve">Hyphal Production Rate </w:t>
            </w:r>
            <w:r w:rsidRPr="002D0CF7">
              <w:rPr>
                <w:rFonts w:ascii="Times New Roman" w:hAnsi="Times New Roman" w:cs="Times New Roman"/>
                <w:sz w:val="20"/>
                <w:szCs w:val="20"/>
              </w:rPr>
              <w:t>(m hyphal length per cm colonized root length)*</w:t>
            </w:r>
          </w:p>
        </w:tc>
      </w:tr>
      <w:tr w:rsidR="00ED0875" w:rsidRPr="002D0CF7" w14:paraId="1BADF0C1" w14:textId="77777777" w:rsidTr="003E7BE5">
        <w:trPr>
          <w:gridAfter w:val="1"/>
          <w:wAfter w:w="90" w:type="dxa"/>
          <w:trHeight w:val="288"/>
        </w:trPr>
        <w:tc>
          <w:tcPr>
            <w:tcW w:w="3078" w:type="dxa"/>
            <w:gridSpan w:val="2"/>
            <w:tcBorders>
              <w:top w:val="single" w:sz="4" w:space="0" w:color="auto"/>
              <w:bottom w:val="single" w:sz="4" w:space="0" w:color="D9D9D9" w:themeColor="background1" w:themeShade="D9"/>
            </w:tcBorders>
            <w:vAlign w:val="center"/>
          </w:tcPr>
          <w:p w14:paraId="15355138" w14:textId="77777777" w:rsidR="00ED0875" w:rsidRPr="00E31E9D" w:rsidRDefault="00ED0875" w:rsidP="009507CE">
            <w:pPr>
              <w:spacing w:line="480" w:lineRule="auto"/>
              <w:ind w:left="180"/>
              <w:rPr>
                <w:rFonts w:ascii="Times New Roman" w:hAnsi="Times New Roman" w:cs="Times New Roman"/>
                <w:i/>
                <w:sz w:val="20"/>
                <w:szCs w:val="20"/>
              </w:rPr>
            </w:pPr>
            <w:r>
              <w:rPr>
                <w:rFonts w:ascii="Times New Roman" w:hAnsi="Times New Roman" w:cs="Times New Roman"/>
                <w:i/>
                <w:sz w:val="20"/>
                <w:szCs w:val="20"/>
              </w:rPr>
              <w:t>Fine r</w:t>
            </w:r>
            <w:r w:rsidRPr="00E31E9D">
              <w:rPr>
                <w:rFonts w:ascii="Times New Roman" w:hAnsi="Times New Roman" w:cs="Times New Roman"/>
                <w:i/>
                <w:sz w:val="20"/>
                <w:szCs w:val="20"/>
              </w:rPr>
              <w:t>oots only</w:t>
            </w:r>
          </w:p>
        </w:tc>
        <w:tc>
          <w:tcPr>
            <w:tcW w:w="1620" w:type="dxa"/>
            <w:gridSpan w:val="2"/>
            <w:tcBorders>
              <w:top w:val="single" w:sz="4" w:space="0" w:color="auto"/>
              <w:bottom w:val="single" w:sz="4" w:space="0" w:color="D9D9D9" w:themeColor="background1" w:themeShade="D9"/>
            </w:tcBorders>
            <w:vAlign w:val="center"/>
          </w:tcPr>
          <w:p w14:paraId="3979A14B" w14:textId="77777777" w:rsidR="00ED0875" w:rsidRPr="002D0CF7" w:rsidRDefault="00ED0875" w:rsidP="009507CE">
            <w:pPr>
              <w:spacing w:line="480" w:lineRule="auto"/>
              <w:jc w:val="center"/>
              <w:rPr>
                <w:rFonts w:ascii="Times New Roman" w:hAnsi="Times New Roman" w:cs="Times New Roman"/>
                <w:sz w:val="20"/>
                <w:szCs w:val="20"/>
              </w:rPr>
            </w:pPr>
            <w:r w:rsidRPr="002D0CF7">
              <w:rPr>
                <w:rFonts w:ascii="Times New Roman" w:hAnsi="Times New Roman" w:cs="Times New Roman"/>
                <w:sz w:val="20"/>
                <w:szCs w:val="20"/>
              </w:rPr>
              <w:t>NA</w:t>
            </w:r>
          </w:p>
        </w:tc>
        <w:tc>
          <w:tcPr>
            <w:tcW w:w="1620" w:type="dxa"/>
            <w:gridSpan w:val="2"/>
            <w:tcBorders>
              <w:top w:val="single" w:sz="4" w:space="0" w:color="auto"/>
              <w:bottom w:val="single" w:sz="4" w:space="0" w:color="D9D9D9" w:themeColor="background1" w:themeShade="D9"/>
            </w:tcBorders>
            <w:vAlign w:val="center"/>
          </w:tcPr>
          <w:p w14:paraId="0A2D8CD2" w14:textId="77777777" w:rsidR="00ED0875" w:rsidRPr="002D0CF7" w:rsidRDefault="00ED0875" w:rsidP="009507CE">
            <w:pPr>
              <w:spacing w:line="480" w:lineRule="auto"/>
              <w:jc w:val="center"/>
              <w:rPr>
                <w:rFonts w:ascii="Times New Roman" w:hAnsi="Times New Roman" w:cs="Times New Roman"/>
                <w:sz w:val="20"/>
                <w:szCs w:val="20"/>
              </w:rPr>
            </w:pPr>
            <w:r w:rsidRPr="002D0CF7">
              <w:rPr>
                <w:rFonts w:ascii="Times New Roman" w:hAnsi="Times New Roman" w:cs="Times New Roman"/>
                <w:sz w:val="20"/>
                <w:szCs w:val="20"/>
              </w:rPr>
              <w:t>NA</w:t>
            </w:r>
          </w:p>
        </w:tc>
        <w:tc>
          <w:tcPr>
            <w:tcW w:w="2489" w:type="dxa"/>
            <w:gridSpan w:val="3"/>
            <w:tcBorders>
              <w:top w:val="single" w:sz="4" w:space="0" w:color="auto"/>
              <w:bottom w:val="single" w:sz="4" w:space="0" w:color="D9D9D9" w:themeColor="background1" w:themeShade="D9"/>
            </w:tcBorders>
            <w:vAlign w:val="center"/>
          </w:tcPr>
          <w:p w14:paraId="10800E36" w14:textId="77777777" w:rsidR="00ED0875" w:rsidRPr="002D0CF7" w:rsidRDefault="00ED0875" w:rsidP="009507CE">
            <w:pPr>
              <w:spacing w:line="480" w:lineRule="auto"/>
              <w:jc w:val="center"/>
              <w:rPr>
                <w:rFonts w:ascii="Times New Roman" w:hAnsi="Times New Roman" w:cs="Times New Roman"/>
                <w:sz w:val="20"/>
                <w:szCs w:val="20"/>
              </w:rPr>
            </w:pPr>
            <w:r w:rsidRPr="002D0CF7">
              <w:rPr>
                <w:rFonts w:ascii="Times New Roman" w:hAnsi="Times New Roman" w:cs="Times New Roman"/>
                <w:sz w:val="20"/>
                <w:szCs w:val="20"/>
              </w:rPr>
              <w:t>0</w:t>
            </w:r>
          </w:p>
        </w:tc>
      </w:tr>
      <w:tr w:rsidR="00ED0875" w:rsidRPr="002D0CF7" w14:paraId="3CFC6B74" w14:textId="77777777" w:rsidTr="003E7BE5">
        <w:trPr>
          <w:gridAfter w:val="2"/>
          <w:wAfter w:w="180" w:type="dxa"/>
          <w:trHeight w:val="288"/>
        </w:trPr>
        <w:tc>
          <w:tcPr>
            <w:tcW w:w="3168" w:type="dxa"/>
            <w:gridSpan w:val="3"/>
            <w:tcBorders>
              <w:top w:val="single" w:sz="4" w:space="0" w:color="D9D9D9" w:themeColor="background1" w:themeShade="D9"/>
              <w:bottom w:val="single" w:sz="4" w:space="0" w:color="D9D9D9" w:themeColor="background1" w:themeShade="D9"/>
            </w:tcBorders>
            <w:vAlign w:val="center"/>
          </w:tcPr>
          <w:p w14:paraId="7AF9EC5C" w14:textId="77777777" w:rsidR="00ED0875" w:rsidRPr="002D0CF7" w:rsidRDefault="00ED0875" w:rsidP="009507CE">
            <w:pPr>
              <w:spacing w:line="480" w:lineRule="auto"/>
              <w:rPr>
                <w:rFonts w:ascii="Times New Roman" w:hAnsi="Times New Roman" w:cs="Times New Roman"/>
                <w:sz w:val="20"/>
                <w:szCs w:val="20"/>
              </w:rPr>
            </w:pPr>
            <w:r>
              <w:rPr>
                <w:rFonts w:ascii="Times New Roman" w:hAnsi="Times New Roman" w:cs="Times New Roman"/>
                <w:sz w:val="20"/>
                <w:szCs w:val="20"/>
              </w:rPr>
              <w:t>Fine roots plus mycorrhizal hyphae</w:t>
            </w:r>
          </w:p>
        </w:tc>
        <w:tc>
          <w:tcPr>
            <w:tcW w:w="1530" w:type="dxa"/>
            <w:tcBorders>
              <w:top w:val="single" w:sz="4" w:space="0" w:color="D9D9D9" w:themeColor="background1" w:themeShade="D9"/>
              <w:bottom w:val="single" w:sz="4" w:space="0" w:color="D9D9D9" w:themeColor="background1" w:themeShade="D9"/>
            </w:tcBorders>
            <w:vAlign w:val="center"/>
          </w:tcPr>
          <w:p w14:paraId="60ED73DD" w14:textId="77777777" w:rsidR="00ED0875" w:rsidRPr="002D0CF7" w:rsidRDefault="00ED0875" w:rsidP="009507CE">
            <w:pPr>
              <w:spacing w:line="480" w:lineRule="auto"/>
              <w:jc w:val="center"/>
              <w:rPr>
                <w:rFonts w:ascii="Times New Roman" w:hAnsi="Times New Roman" w:cs="Times New Roman"/>
                <w:sz w:val="20"/>
                <w:szCs w:val="20"/>
              </w:rPr>
            </w:pPr>
          </w:p>
        </w:tc>
        <w:tc>
          <w:tcPr>
            <w:tcW w:w="1530" w:type="dxa"/>
            <w:tcBorders>
              <w:top w:val="single" w:sz="4" w:space="0" w:color="D9D9D9" w:themeColor="background1" w:themeShade="D9"/>
              <w:bottom w:val="single" w:sz="4" w:space="0" w:color="D9D9D9" w:themeColor="background1" w:themeShade="D9"/>
            </w:tcBorders>
            <w:vAlign w:val="center"/>
          </w:tcPr>
          <w:p w14:paraId="1082DB9A" w14:textId="77777777" w:rsidR="00ED0875" w:rsidRPr="002D0CF7" w:rsidRDefault="00ED0875" w:rsidP="009507CE">
            <w:pPr>
              <w:spacing w:line="480" w:lineRule="auto"/>
              <w:jc w:val="center"/>
              <w:rPr>
                <w:rFonts w:ascii="Times New Roman" w:hAnsi="Times New Roman" w:cs="Times New Roman"/>
                <w:sz w:val="20"/>
                <w:szCs w:val="20"/>
              </w:rPr>
            </w:pPr>
          </w:p>
        </w:tc>
        <w:tc>
          <w:tcPr>
            <w:tcW w:w="2489" w:type="dxa"/>
            <w:gridSpan w:val="3"/>
            <w:tcBorders>
              <w:top w:val="single" w:sz="4" w:space="0" w:color="D9D9D9" w:themeColor="background1" w:themeShade="D9"/>
              <w:bottom w:val="single" w:sz="4" w:space="0" w:color="D9D9D9" w:themeColor="background1" w:themeShade="D9"/>
            </w:tcBorders>
            <w:vAlign w:val="center"/>
          </w:tcPr>
          <w:p w14:paraId="072F4F28" w14:textId="77777777" w:rsidR="00ED0875" w:rsidRPr="002D0CF7" w:rsidRDefault="00ED0875" w:rsidP="009507CE">
            <w:pPr>
              <w:spacing w:line="480" w:lineRule="auto"/>
              <w:jc w:val="center"/>
              <w:rPr>
                <w:rFonts w:ascii="Times New Roman" w:hAnsi="Times New Roman" w:cs="Times New Roman"/>
                <w:sz w:val="20"/>
                <w:szCs w:val="20"/>
              </w:rPr>
            </w:pPr>
          </w:p>
        </w:tc>
      </w:tr>
      <w:tr w:rsidR="00ED0875" w:rsidRPr="002D0CF7" w14:paraId="28E97550" w14:textId="77777777" w:rsidTr="003E7BE5">
        <w:trPr>
          <w:gridAfter w:val="1"/>
          <w:wAfter w:w="90" w:type="dxa"/>
          <w:trHeight w:val="288"/>
        </w:trPr>
        <w:tc>
          <w:tcPr>
            <w:tcW w:w="3078" w:type="dxa"/>
            <w:gridSpan w:val="2"/>
            <w:tcBorders>
              <w:top w:val="single" w:sz="4" w:space="0" w:color="D9D9D9" w:themeColor="background1" w:themeShade="D9"/>
              <w:bottom w:val="single" w:sz="4" w:space="0" w:color="D9D9D9" w:themeColor="background1" w:themeShade="D9"/>
            </w:tcBorders>
            <w:vAlign w:val="center"/>
          </w:tcPr>
          <w:p w14:paraId="3AB30447" w14:textId="77777777" w:rsidR="00ED0875" w:rsidRPr="00E31E9D" w:rsidRDefault="00ED0875" w:rsidP="009507CE">
            <w:pPr>
              <w:spacing w:line="480" w:lineRule="auto"/>
              <w:ind w:left="180"/>
              <w:rPr>
                <w:rFonts w:ascii="Times New Roman" w:hAnsi="Times New Roman" w:cs="Times New Roman"/>
                <w:i/>
                <w:sz w:val="20"/>
                <w:szCs w:val="20"/>
              </w:rPr>
            </w:pPr>
            <w:r>
              <w:rPr>
                <w:rFonts w:ascii="Times New Roman" w:hAnsi="Times New Roman" w:cs="Times New Roman"/>
                <w:i/>
                <w:sz w:val="20"/>
                <w:szCs w:val="20"/>
              </w:rPr>
              <w:t>S</w:t>
            </w:r>
            <w:r w:rsidRPr="00E31E9D">
              <w:rPr>
                <w:rFonts w:ascii="Times New Roman" w:hAnsi="Times New Roman" w:cs="Times New Roman"/>
                <w:i/>
                <w:sz w:val="20"/>
                <w:szCs w:val="20"/>
              </w:rPr>
              <w:t xml:space="preserve">mall </w:t>
            </w:r>
            <w:r>
              <w:rPr>
                <w:rFonts w:ascii="Times New Roman" w:hAnsi="Times New Roman" w:cs="Times New Roman"/>
                <w:i/>
                <w:sz w:val="20"/>
                <w:szCs w:val="20"/>
              </w:rPr>
              <w:t>diameter, l</w:t>
            </w:r>
            <w:r w:rsidRPr="00E31E9D">
              <w:rPr>
                <w:rFonts w:ascii="Times New Roman" w:hAnsi="Times New Roman" w:cs="Times New Roman"/>
                <w:i/>
                <w:sz w:val="20"/>
                <w:szCs w:val="20"/>
              </w:rPr>
              <w:t>ow production</w:t>
            </w:r>
          </w:p>
        </w:tc>
        <w:tc>
          <w:tcPr>
            <w:tcW w:w="1620" w:type="dxa"/>
            <w:gridSpan w:val="2"/>
            <w:tcBorders>
              <w:top w:val="single" w:sz="4" w:space="0" w:color="D9D9D9" w:themeColor="background1" w:themeShade="D9"/>
              <w:bottom w:val="single" w:sz="4" w:space="0" w:color="D9D9D9" w:themeColor="background1" w:themeShade="D9"/>
            </w:tcBorders>
            <w:vAlign w:val="center"/>
          </w:tcPr>
          <w:p w14:paraId="00B7E80C" w14:textId="77777777" w:rsidR="00ED0875" w:rsidRPr="002D0CF7" w:rsidRDefault="00ED0875" w:rsidP="009507CE">
            <w:pPr>
              <w:spacing w:line="480" w:lineRule="auto"/>
              <w:jc w:val="center"/>
              <w:rPr>
                <w:rFonts w:ascii="Times New Roman" w:hAnsi="Times New Roman" w:cs="Times New Roman"/>
                <w:sz w:val="20"/>
                <w:szCs w:val="20"/>
              </w:rPr>
            </w:pPr>
            <w:r w:rsidRPr="002D0CF7">
              <w:rPr>
                <w:rFonts w:ascii="Times New Roman" w:hAnsi="Times New Roman" w:cs="Times New Roman"/>
                <w:sz w:val="20"/>
                <w:szCs w:val="20"/>
              </w:rPr>
              <w:t>1.1</w:t>
            </w:r>
          </w:p>
        </w:tc>
        <w:tc>
          <w:tcPr>
            <w:tcW w:w="1620" w:type="dxa"/>
            <w:gridSpan w:val="2"/>
            <w:tcBorders>
              <w:top w:val="single" w:sz="4" w:space="0" w:color="D9D9D9" w:themeColor="background1" w:themeShade="D9"/>
              <w:bottom w:val="single" w:sz="4" w:space="0" w:color="D9D9D9" w:themeColor="background1" w:themeShade="D9"/>
            </w:tcBorders>
            <w:vAlign w:val="center"/>
          </w:tcPr>
          <w:p w14:paraId="2A4DB614" w14:textId="77777777" w:rsidR="00ED0875" w:rsidRPr="002D0CF7" w:rsidRDefault="00ED0875" w:rsidP="009507CE">
            <w:pPr>
              <w:spacing w:line="480" w:lineRule="auto"/>
              <w:jc w:val="center"/>
              <w:rPr>
                <w:rFonts w:ascii="Times New Roman" w:hAnsi="Times New Roman" w:cs="Times New Roman"/>
                <w:sz w:val="20"/>
                <w:szCs w:val="20"/>
              </w:rPr>
            </w:pPr>
            <w:r w:rsidRPr="002D0CF7">
              <w:rPr>
                <w:rFonts w:ascii="Times New Roman" w:hAnsi="Times New Roman" w:cs="Times New Roman"/>
                <w:sz w:val="20"/>
                <w:szCs w:val="20"/>
              </w:rPr>
              <w:t>3</w:t>
            </w:r>
          </w:p>
        </w:tc>
        <w:tc>
          <w:tcPr>
            <w:tcW w:w="2489" w:type="dxa"/>
            <w:gridSpan w:val="3"/>
            <w:tcBorders>
              <w:top w:val="single" w:sz="4" w:space="0" w:color="D9D9D9" w:themeColor="background1" w:themeShade="D9"/>
              <w:bottom w:val="single" w:sz="4" w:space="0" w:color="D9D9D9" w:themeColor="background1" w:themeShade="D9"/>
            </w:tcBorders>
            <w:vAlign w:val="center"/>
          </w:tcPr>
          <w:p w14:paraId="024EED12" w14:textId="77777777" w:rsidR="00ED0875" w:rsidRPr="002D0CF7" w:rsidRDefault="00ED0875" w:rsidP="009507CE">
            <w:pPr>
              <w:spacing w:line="480" w:lineRule="auto"/>
              <w:jc w:val="center"/>
              <w:rPr>
                <w:rFonts w:ascii="Times New Roman" w:hAnsi="Times New Roman" w:cs="Times New Roman"/>
                <w:sz w:val="20"/>
                <w:szCs w:val="20"/>
              </w:rPr>
            </w:pPr>
            <w:r w:rsidRPr="002D0CF7">
              <w:rPr>
                <w:rFonts w:ascii="Times New Roman" w:hAnsi="Times New Roman" w:cs="Times New Roman"/>
                <w:sz w:val="20"/>
                <w:szCs w:val="20"/>
              </w:rPr>
              <w:t>1</w:t>
            </w:r>
          </w:p>
        </w:tc>
      </w:tr>
      <w:tr w:rsidR="00ED0875" w:rsidRPr="002D0CF7" w14:paraId="644D61A3" w14:textId="77777777" w:rsidTr="003E7BE5">
        <w:trPr>
          <w:gridAfter w:val="1"/>
          <w:wAfter w:w="90" w:type="dxa"/>
          <w:trHeight w:val="288"/>
        </w:trPr>
        <w:tc>
          <w:tcPr>
            <w:tcW w:w="3078" w:type="dxa"/>
            <w:gridSpan w:val="2"/>
            <w:tcBorders>
              <w:top w:val="single" w:sz="4" w:space="0" w:color="D9D9D9" w:themeColor="background1" w:themeShade="D9"/>
              <w:bottom w:val="single" w:sz="4" w:space="0" w:color="D9D9D9" w:themeColor="background1" w:themeShade="D9"/>
            </w:tcBorders>
            <w:vAlign w:val="center"/>
          </w:tcPr>
          <w:p w14:paraId="1F464EE1" w14:textId="77777777" w:rsidR="00ED0875" w:rsidRPr="00E31E9D" w:rsidRDefault="00ED0875" w:rsidP="009507CE">
            <w:pPr>
              <w:spacing w:line="480" w:lineRule="auto"/>
              <w:ind w:left="180"/>
              <w:rPr>
                <w:rFonts w:ascii="Times New Roman" w:hAnsi="Times New Roman" w:cs="Times New Roman"/>
                <w:i/>
                <w:sz w:val="20"/>
                <w:szCs w:val="20"/>
              </w:rPr>
            </w:pPr>
            <w:r>
              <w:rPr>
                <w:rFonts w:ascii="Times New Roman" w:hAnsi="Times New Roman" w:cs="Times New Roman"/>
                <w:i/>
                <w:sz w:val="20"/>
                <w:szCs w:val="20"/>
              </w:rPr>
              <w:t>S</w:t>
            </w:r>
            <w:r w:rsidRPr="00E31E9D">
              <w:rPr>
                <w:rFonts w:ascii="Times New Roman" w:hAnsi="Times New Roman" w:cs="Times New Roman"/>
                <w:i/>
                <w:sz w:val="20"/>
                <w:szCs w:val="20"/>
              </w:rPr>
              <w:t>mall diameter</w:t>
            </w:r>
            <w:r>
              <w:rPr>
                <w:rFonts w:ascii="Times New Roman" w:hAnsi="Times New Roman" w:cs="Times New Roman"/>
                <w:i/>
                <w:sz w:val="20"/>
                <w:szCs w:val="20"/>
              </w:rPr>
              <w:t>, h</w:t>
            </w:r>
            <w:r w:rsidRPr="00E31E9D">
              <w:rPr>
                <w:rFonts w:ascii="Times New Roman" w:hAnsi="Times New Roman" w:cs="Times New Roman"/>
                <w:i/>
                <w:sz w:val="20"/>
                <w:szCs w:val="20"/>
              </w:rPr>
              <w:t>igh production</w:t>
            </w:r>
          </w:p>
        </w:tc>
        <w:tc>
          <w:tcPr>
            <w:tcW w:w="1620" w:type="dxa"/>
            <w:gridSpan w:val="2"/>
            <w:tcBorders>
              <w:top w:val="single" w:sz="4" w:space="0" w:color="D9D9D9" w:themeColor="background1" w:themeShade="D9"/>
              <w:bottom w:val="single" w:sz="4" w:space="0" w:color="D9D9D9" w:themeColor="background1" w:themeShade="D9"/>
            </w:tcBorders>
            <w:vAlign w:val="center"/>
          </w:tcPr>
          <w:p w14:paraId="674CC12D" w14:textId="77777777" w:rsidR="00ED0875" w:rsidRPr="002D0CF7" w:rsidRDefault="00ED0875" w:rsidP="009507CE">
            <w:pPr>
              <w:spacing w:line="480" w:lineRule="auto"/>
              <w:jc w:val="center"/>
              <w:rPr>
                <w:rFonts w:ascii="Times New Roman" w:hAnsi="Times New Roman" w:cs="Times New Roman"/>
                <w:sz w:val="20"/>
                <w:szCs w:val="20"/>
              </w:rPr>
            </w:pPr>
            <w:r w:rsidRPr="002D0CF7">
              <w:rPr>
                <w:rFonts w:ascii="Times New Roman" w:hAnsi="Times New Roman" w:cs="Times New Roman"/>
                <w:sz w:val="20"/>
                <w:szCs w:val="20"/>
              </w:rPr>
              <w:t>1.1</w:t>
            </w:r>
          </w:p>
        </w:tc>
        <w:tc>
          <w:tcPr>
            <w:tcW w:w="1620" w:type="dxa"/>
            <w:gridSpan w:val="2"/>
            <w:tcBorders>
              <w:top w:val="single" w:sz="4" w:space="0" w:color="D9D9D9" w:themeColor="background1" w:themeShade="D9"/>
              <w:bottom w:val="single" w:sz="4" w:space="0" w:color="D9D9D9" w:themeColor="background1" w:themeShade="D9"/>
            </w:tcBorders>
            <w:vAlign w:val="center"/>
          </w:tcPr>
          <w:p w14:paraId="069BBCB9" w14:textId="77777777" w:rsidR="00ED0875" w:rsidRPr="002D0CF7" w:rsidRDefault="00ED0875" w:rsidP="009507CE">
            <w:pPr>
              <w:spacing w:line="480" w:lineRule="auto"/>
              <w:jc w:val="center"/>
              <w:rPr>
                <w:rFonts w:ascii="Times New Roman" w:hAnsi="Times New Roman" w:cs="Times New Roman"/>
                <w:sz w:val="20"/>
                <w:szCs w:val="20"/>
              </w:rPr>
            </w:pPr>
            <w:r w:rsidRPr="002D0CF7">
              <w:rPr>
                <w:rFonts w:ascii="Times New Roman" w:hAnsi="Times New Roman" w:cs="Times New Roman"/>
                <w:sz w:val="20"/>
                <w:szCs w:val="20"/>
              </w:rPr>
              <w:t>3</w:t>
            </w:r>
          </w:p>
        </w:tc>
        <w:tc>
          <w:tcPr>
            <w:tcW w:w="2489" w:type="dxa"/>
            <w:gridSpan w:val="3"/>
            <w:tcBorders>
              <w:top w:val="single" w:sz="4" w:space="0" w:color="D9D9D9" w:themeColor="background1" w:themeShade="D9"/>
              <w:bottom w:val="single" w:sz="4" w:space="0" w:color="D9D9D9" w:themeColor="background1" w:themeShade="D9"/>
            </w:tcBorders>
            <w:vAlign w:val="center"/>
          </w:tcPr>
          <w:p w14:paraId="1FA3A714" w14:textId="77777777" w:rsidR="00ED0875" w:rsidRPr="002D0CF7" w:rsidRDefault="00ED0875" w:rsidP="009507CE">
            <w:pPr>
              <w:spacing w:line="480" w:lineRule="auto"/>
              <w:jc w:val="center"/>
              <w:rPr>
                <w:rFonts w:ascii="Times New Roman" w:hAnsi="Times New Roman" w:cs="Times New Roman"/>
                <w:sz w:val="20"/>
                <w:szCs w:val="20"/>
              </w:rPr>
            </w:pPr>
            <w:r w:rsidRPr="002D0CF7">
              <w:rPr>
                <w:rFonts w:ascii="Times New Roman" w:hAnsi="Times New Roman" w:cs="Times New Roman"/>
                <w:sz w:val="20"/>
                <w:szCs w:val="20"/>
              </w:rPr>
              <w:t>10</w:t>
            </w:r>
          </w:p>
        </w:tc>
      </w:tr>
      <w:tr w:rsidR="00ED0875" w:rsidRPr="002D0CF7" w14:paraId="33BCDD0A" w14:textId="77777777" w:rsidTr="003E7BE5">
        <w:trPr>
          <w:gridAfter w:val="1"/>
          <w:wAfter w:w="90" w:type="dxa"/>
          <w:trHeight w:val="288"/>
        </w:trPr>
        <w:tc>
          <w:tcPr>
            <w:tcW w:w="3078" w:type="dxa"/>
            <w:gridSpan w:val="2"/>
            <w:tcBorders>
              <w:top w:val="single" w:sz="4" w:space="0" w:color="D9D9D9" w:themeColor="background1" w:themeShade="D9"/>
              <w:bottom w:val="single" w:sz="4" w:space="0" w:color="D9D9D9" w:themeColor="background1" w:themeShade="D9"/>
            </w:tcBorders>
            <w:vAlign w:val="center"/>
          </w:tcPr>
          <w:p w14:paraId="07A78CF9" w14:textId="77777777" w:rsidR="00ED0875" w:rsidRPr="00E31E9D" w:rsidRDefault="00ED0875" w:rsidP="009507CE">
            <w:pPr>
              <w:spacing w:line="480" w:lineRule="auto"/>
              <w:ind w:left="180"/>
              <w:rPr>
                <w:rFonts w:ascii="Times New Roman" w:hAnsi="Times New Roman" w:cs="Times New Roman"/>
                <w:i/>
                <w:sz w:val="20"/>
                <w:szCs w:val="20"/>
              </w:rPr>
            </w:pPr>
            <w:r>
              <w:rPr>
                <w:rFonts w:ascii="Times New Roman" w:hAnsi="Times New Roman" w:cs="Times New Roman"/>
                <w:i/>
                <w:sz w:val="20"/>
                <w:szCs w:val="20"/>
              </w:rPr>
              <w:t>L</w:t>
            </w:r>
            <w:r w:rsidRPr="00E31E9D">
              <w:rPr>
                <w:rFonts w:ascii="Times New Roman" w:hAnsi="Times New Roman" w:cs="Times New Roman"/>
                <w:i/>
                <w:sz w:val="20"/>
                <w:szCs w:val="20"/>
              </w:rPr>
              <w:t>arge diameter</w:t>
            </w:r>
            <w:r>
              <w:rPr>
                <w:rFonts w:ascii="Times New Roman" w:hAnsi="Times New Roman" w:cs="Times New Roman"/>
                <w:i/>
                <w:sz w:val="20"/>
                <w:szCs w:val="20"/>
              </w:rPr>
              <w:t>, l</w:t>
            </w:r>
            <w:r w:rsidRPr="00E31E9D">
              <w:rPr>
                <w:rFonts w:ascii="Times New Roman" w:hAnsi="Times New Roman" w:cs="Times New Roman"/>
                <w:i/>
                <w:sz w:val="20"/>
                <w:szCs w:val="20"/>
              </w:rPr>
              <w:t>ow production</w:t>
            </w:r>
          </w:p>
        </w:tc>
        <w:tc>
          <w:tcPr>
            <w:tcW w:w="1620" w:type="dxa"/>
            <w:gridSpan w:val="2"/>
            <w:tcBorders>
              <w:top w:val="single" w:sz="4" w:space="0" w:color="D9D9D9" w:themeColor="background1" w:themeShade="D9"/>
              <w:bottom w:val="single" w:sz="4" w:space="0" w:color="D9D9D9" w:themeColor="background1" w:themeShade="D9"/>
            </w:tcBorders>
            <w:vAlign w:val="center"/>
          </w:tcPr>
          <w:p w14:paraId="41D7EF5E" w14:textId="77777777" w:rsidR="00ED0875" w:rsidRPr="002D0CF7" w:rsidRDefault="00ED0875" w:rsidP="009507CE">
            <w:pPr>
              <w:spacing w:line="480" w:lineRule="auto"/>
              <w:jc w:val="center"/>
              <w:rPr>
                <w:rFonts w:ascii="Times New Roman" w:hAnsi="Times New Roman" w:cs="Times New Roman"/>
                <w:sz w:val="20"/>
                <w:szCs w:val="20"/>
              </w:rPr>
            </w:pPr>
            <w:r w:rsidRPr="002D0CF7">
              <w:rPr>
                <w:rFonts w:ascii="Times New Roman" w:hAnsi="Times New Roman" w:cs="Times New Roman"/>
                <w:sz w:val="20"/>
                <w:szCs w:val="20"/>
              </w:rPr>
              <w:t>1.1</w:t>
            </w:r>
          </w:p>
        </w:tc>
        <w:tc>
          <w:tcPr>
            <w:tcW w:w="1620" w:type="dxa"/>
            <w:gridSpan w:val="2"/>
            <w:tcBorders>
              <w:top w:val="single" w:sz="4" w:space="0" w:color="D9D9D9" w:themeColor="background1" w:themeShade="D9"/>
              <w:bottom w:val="single" w:sz="4" w:space="0" w:color="D9D9D9" w:themeColor="background1" w:themeShade="D9"/>
            </w:tcBorders>
            <w:vAlign w:val="center"/>
          </w:tcPr>
          <w:p w14:paraId="1406CADC" w14:textId="77777777" w:rsidR="00ED0875" w:rsidRPr="002D0CF7" w:rsidRDefault="00ED0875" w:rsidP="009507CE">
            <w:pPr>
              <w:spacing w:line="480" w:lineRule="auto"/>
              <w:jc w:val="center"/>
              <w:rPr>
                <w:rFonts w:ascii="Times New Roman" w:hAnsi="Times New Roman" w:cs="Times New Roman"/>
                <w:sz w:val="20"/>
                <w:szCs w:val="20"/>
              </w:rPr>
            </w:pPr>
            <w:r w:rsidRPr="002D0CF7">
              <w:rPr>
                <w:rFonts w:ascii="Times New Roman" w:hAnsi="Times New Roman" w:cs="Times New Roman"/>
                <w:sz w:val="20"/>
                <w:szCs w:val="20"/>
              </w:rPr>
              <w:t>10</w:t>
            </w:r>
          </w:p>
        </w:tc>
        <w:tc>
          <w:tcPr>
            <w:tcW w:w="2489" w:type="dxa"/>
            <w:gridSpan w:val="3"/>
            <w:tcBorders>
              <w:top w:val="single" w:sz="4" w:space="0" w:color="D9D9D9" w:themeColor="background1" w:themeShade="D9"/>
              <w:bottom w:val="single" w:sz="4" w:space="0" w:color="D9D9D9" w:themeColor="background1" w:themeShade="D9"/>
            </w:tcBorders>
            <w:vAlign w:val="center"/>
          </w:tcPr>
          <w:p w14:paraId="63A10800" w14:textId="77777777" w:rsidR="00ED0875" w:rsidRPr="002D0CF7" w:rsidRDefault="00ED0875" w:rsidP="009507CE">
            <w:pPr>
              <w:spacing w:line="480" w:lineRule="auto"/>
              <w:jc w:val="center"/>
              <w:rPr>
                <w:rFonts w:ascii="Times New Roman" w:hAnsi="Times New Roman" w:cs="Times New Roman"/>
                <w:sz w:val="20"/>
                <w:szCs w:val="20"/>
              </w:rPr>
            </w:pPr>
            <w:r w:rsidRPr="002D0CF7">
              <w:rPr>
                <w:rFonts w:ascii="Times New Roman" w:hAnsi="Times New Roman" w:cs="Times New Roman"/>
                <w:sz w:val="20"/>
                <w:szCs w:val="20"/>
              </w:rPr>
              <w:t>1</w:t>
            </w:r>
          </w:p>
        </w:tc>
      </w:tr>
      <w:tr w:rsidR="00ED0875" w:rsidRPr="002D0CF7" w14:paraId="61983A78" w14:textId="77777777" w:rsidTr="003E7BE5">
        <w:trPr>
          <w:gridAfter w:val="1"/>
          <w:wAfter w:w="90" w:type="dxa"/>
          <w:trHeight w:val="288"/>
        </w:trPr>
        <w:tc>
          <w:tcPr>
            <w:tcW w:w="3078" w:type="dxa"/>
            <w:gridSpan w:val="2"/>
            <w:tcBorders>
              <w:top w:val="single" w:sz="4" w:space="0" w:color="D9D9D9" w:themeColor="background1" w:themeShade="D9"/>
              <w:bottom w:val="single" w:sz="4" w:space="0" w:color="D9D9D9" w:themeColor="background1" w:themeShade="D9"/>
            </w:tcBorders>
            <w:vAlign w:val="center"/>
          </w:tcPr>
          <w:p w14:paraId="6F7897D4" w14:textId="77777777" w:rsidR="00ED0875" w:rsidRPr="00E31E9D" w:rsidRDefault="00ED0875" w:rsidP="009507CE">
            <w:pPr>
              <w:spacing w:line="480" w:lineRule="auto"/>
              <w:ind w:left="180"/>
              <w:rPr>
                <w:rFonts w:ascii="Times New Roman" w:hAnsi="Times New Roman" w:cs="Times New Roman"/>
                <w:i/>
                <w:sz w:val="20"/>
                <w:szCs w:val="20"/>
              </w:rPr>
            </w:pPr>
            <w:r>
              <w:rPr>
                <w:rFonts w:ascii="Times New Roman" w:hAnsi="Times New Roman" w:cs="Times New Roman"/>
                <w:i/>
                <w:sz w:val="20"/>
                <w:szCs w:val="20"/>
              </w:rPr>
              <w:t>L</w:t>
            </w:r>
            <w:r w:rsidRPr="00E31E9D">
              <w:rPr>
                <w:rFonts w:ascii="Times New Roman" w:hAnsi="Times New Roman" w:cs="Times New Roman"/>
                <w:i/>
                <w:sz w:val="20"/>
                <w:szCs w:val="20"/>
              </w:rPr>
              <w:t>arge diameter</w:t>
            </w:r>
            <w:r>
              <w:rPr>
                <w:rFonts w:ascii="Times New Roman" w:hAnsi="Times New Roman" w:cs="Times New Roman"/>
                <w:i/>
                <w:sz w:val="20"/>
                <w:szCs w:val="20"/>
              </w:rPr>
              <w:t>, h</w:t>
            </w:r>
            <w:r w:rsidRPr="00E31E9D">
              <w:rPr>
                <w:rFonts w:ascii="Times New Roman" w:hAnsi="Times New Roman" w:cs="Times New Roman"/>
                <w:i/>
                <w:sz w:val="20"/>
                <w:szCs w:val="20"/>
              </w:rPr>
              <w:t>igh production</w:t>
            </w:r>
          </w:p>
        </w:tc>
        <w:tc>
          <w:tcPr>
            <w:tcW w:w="1620" w:type="dxa"/>
            <w:gridSpan w:val="2"/>
            <w:tcBorders>
              <w:top w:val="single" w:sz="4" w:space="0" w:color="D9D9D9" w:themeColor="background1" w:themeShade="D9"/>
              <w:bottom w:val="single" w:sz="4" w:space="0" w:color="D9D9D9" w:themeColor="background1" w:themeShade="D9"/>
            </w:tcBorders>
            <w:vAlign w:val="center"/>
          </w:tcPr>
          <w:p w14:paraId="00659FFF" w14:textId="77777777" w:rsidR="00ED0875" w:rsidRPr="002D0CF7" w:rsidRDefault="00ED0875" w:rsidP="009507CE">
            <w:pPr>
              <w:spacing w:line="480" w:lineRule="auto"/>
              <w:jc w:val="center"/>
              <w:rPr>
                <w:rFonts w:ascii="Times New Roman" w:hAnsi="Times New Roman" w:cs="Times New Roman"/>
                <w:sz w:val="20"/>
                <w:szCs w:val="20"/>
              </w:rPr>
            </w:pPr>
            <w:r w:rsidRPr="002D0CF7">
              <w:rPr>
                <w:rFonts w:ascii="Times New Roman" w:hAnsi="Times New Roman" w:cs="Times New Roman"/>
                <w:sz w:val="20"/>
                <w:szCs w:val="20"/>
              </w:rPr>
              <w:t>1.1</w:t>
            </w:r>
          </w:p>
        </w:tc>
        <w:tc>
          <w:tcPr>
            <w:tcW w:w="1620" w:type="dxa"/>
            <w:gridSpan w:val="2"/>
            <w:tcBorders>
              <w:top w:val="single" w:sz="4" w:space="0" w:color="D9D9D9" w:themeColor="background1" w:themeShade="D9"/>
              <w:bottom w:val="single" w:sz="4" w:space="0" w:color="D9D9D9" w:themeColor="background1" w:themeShade="D9"/>
            </w:tcBorders>
            <w:vAlign w:val="center"/>
          </w:tcPr>
          <w:p w14:paraId="55B7B667" w14:textId="77777777" w:rsidR="00ED0875" w:rsidRPr="002D0CF7" w:rsidRDefault="00ED0875" w:rsidP="009507CE">
            <w:pPr>
              <w:spacing w:line="480" w:lineRule="auto"/>
              <w:jc w:val="center"/>
              <w:rPr>
                <w:rFonts w:ascii="Times New Roman" w:hAnsi="Times New Roman" w:cs="Times New Roman"/>
                <w:sz w:val="20"/>
                <w:szCs w:val="20"/>
              </w:rPr>
            </w:pPr>
            <w:r w:rsidRPr="002D0CF7">
              <w:rPr>
                <w:rFonts w:ascii="Times New Roman" w:hAnsi="Times New Roman" w:cs="Times New Roman"/>
                <w:sz w:val="20"/>
                <w:szCs w:val="20"/>
              </w:rPr>
              <w:t>10</w:t>
            </w:r>
          </w:p>
        </w:tc>
        <w:tc>
          <w:tcPr>
            <w:tcW w:w="2489" w:type="dxa"/>
            <w:gridSpan w:val="3"/>
            <w:tcBorders>
              <w:top w:val="single" w:sz="4" w:space="0" w:color="D9D9D9" w:themeColor="background1" w:themeShade="D9"/>
              <w:bottom w:val="single" w:sz="4" w:space="0" w:color="D9D9D9" w:themeColor="background1" w:themeShade="D9"/>
            </w:tcBorders>
            <w:vAlign w:val="center"/>
          </w:tcPr>
          <w:p w14:paraId="03DD732D" w14:textId="77777777" w:rsidR="00ED0875" w:rsidRPr="002D0CF7" w:rsidRDefault="00ED0875" w:rsidP="009507CE">
            <w:pPr>
              <w:spacing w:line="480" w:lineRule="auto"/>
              <w:jc w:val="center"/>
              <w:rPr>
                <w:rFonts w:ascii="Times New Roman" w:hAnsi="Times New Roman" w:cs="Times New Roman"/>
                <w:sz w:val="20"/>
                <w:szCs w:val="20"/>
              </w:rPr>
            </w:pPr>
            <w:r w:rsidRPr="002D0CF7">
              <w:rPr>
                <w:rFonts w:ascii="Times New Roman" w:hAnsi="Times New Roman" w:cs="Times New Roman"/>
                <w:sz w:val="20"/>
                <w:szCs w:val="20"/>
              </w:rPr>
              <w:t>10</w:t>
            </w:r>
          </w:p>
        </w:tc>
      </w:tr>
      <w:tr w:rsidR="00ED0875" w:rsidRPr="002D0CF7" w14:paraId="6C374449" w14:textId="77777777" w:rsidTr="003E7BE5">
        <w:trPr>
          <w:gridAfter w:val="1"/>
          <w:wAfter w:w="90" w:type="dxa"/>
          <w:trHeight w:val="288"/>
        </w:trPr>
        <w:tc>
          <w:tcPr>
            <w:tcW w:w="3078" w:type="dxa"/>
            <w:gridSpan w:val="2"/>
            <w:tcBorders>
              <w:top w:val="single" w:sz="4" w:space="0" w:color="D9D9D9" w:themeColor="background1" w:themeShade="D9"/>
              <w:bottom w:val="single" w:sz="4" w:space="0" w:color="auto"/>
            </w:tcBorders>
            <w:vAlign w:val="center"/>
          </w:tcPr>
          <w:p w14:paraId="2808057B" w14:textId="77777777" w:rsidR="00ED0875" w:rsidRPr="00E31E9D" w:rsidRDefault="00ED0875" w:rsidP="009507CE">
            <w:pPr>
              <w:spacing w:line="480" w:lineRule="auto"/>
              <w:ind w:left="180"/>
              <w:rPr>
                <w:rFonts w:ascii="Times New Roman" w:hAnsi="Times New Roman" w:cs="Times New Roman"/>
                <w:i/>
                <w:sz w:val="20"/>
                <w:szCs w:val="20"/>
              </w:rPr>
            </w:pPr>
            <w:r>
              <w:rPr>
                <w:rFonts w:ascii="Times New Roman" w:hAnsi="Times New Roman" w:cs="Times New Roman"/>
                <w:i/>
                <w:sz w:val="20"/>
                <w:szCs w:val="20"/>
              </w:rPr>
              <w:t>G</w:t>
            </w:r>
            <w:r w:rsidRPr="00E31E9D">
              <w:rPr>
                <w:rFonts w:ascii="Times New Roman" w:hAnsi="Times New Roman" w:cs="Times New Roman"/>
                <w:i/>
                <w:sz w:val="20"/>
                <w:szCs w:val="20"/>
              </w:rPr>
              <w:t xml:space="preserve">radient of hyphal production </w:t>
            </w:r>
          </w:p>
        </w:tc>
        <w:tc>
          <w:tcPr>
            <w:tcW w:w="1620" w:type="dxa"/>
            <w:gridSpan w:val="2"/>
            <w:tcBorders>
              <w:top w:val="single" w:sz="4" w:space="0" w:color="D9D9D9" w:themeColor="background1" w:themeShade="D9"/>
              <w:bottom w:val="single" w:sz="4" w:space="0" w:color="auto"/>
            </w:tcBorders>
            <w:vAlign w:val="center"/>
          </w:tcPr>
          <w:p w14:paraId="56C70B23" w14:textId="77777777" w:rsidR="00ED0875" w:rsidRPr="002D0CF7" w:rsidRDefault="00ED0875" w:rsidP="009507CE">
            <w:pPr>
              <w:spacing w:line="480" w:lineRule="auto"/>
              <w:jc w:val="center"/>
              <w:rPr>
                <w:rFonts w:ascii="Times New Roman" w:hAnsi="Times New Roman" w:cs="Times New Roman"/>
                <w:sz w:val="20"/>
                <w:szCs w:val="20"/>
              </w:rPr>
            </w:pPr>
            <w:r w:rsidRPr="002D0CF7">
              <w:rPr>
                <w:rFonts w:ascii="Times New Roman" w:hAnsi="Times New Roman" w:cs="Times New Roman"/>
                <w:sz w:val="20"/>
                <w:szCs w:val="20"/>
              </w:rPr>
              <w:t>1.1</w:t>
            </w:r>
          </w:p>
        </w:tc>
        <w:tc>
          <w:tcPr>
            <w:tcW w:w="1620" w:type="dxa"/>
            <w:gridSpan w:val="2"/>
            <w:tcBorders>
              <w:top w:val="single" w:sz="4" w:space="0" w:color="D9D9D9" w:themeColor="background1" w:themeShade="D9"/>
              <w:bottom w:val="single" w:sz="4" w:space="0" w:color="auto"/>
            </w:tcBorders>
            <w:vAlign w:val="center"/>
          </w:tcPr>
          <w:p w14:paraId="2D03142F" w14:textId="77777777" w:rsidR="00ED0875" w:rsidRPr="002D0CF7" w:rsidRDefault="00ED0875" w:rsidP="009507CE">
            <w:pPr>
              <w:spacing w:line="480" w:lineRule="auto"/>
              <w:jc w:val="center"/>
              <w:rPr>
                <w:rFonts w:ascii="Times New Roman" w:hAnsi="Times New Roman" w:cs="Times New Roman"/>
                <w:sz w:val="20"/>
                <w:szCs w:val="20"/>
              </w:rPr>
            </w:pPr>
            <w:r w:rsidRPr="002D0CF7">
              <w:rPr>
                <w:rFonts w:ascii="Times New Roman" w:hAnsi="Times New Roman" w:cs="Times New Roman"/>
                <w:sz w:val="20"/>
                <w:szCs w:val="20"/>
              </w:rPr>
              <w:t>6.5</w:t>
            </w:r>
          </w:p>
        </w:tc>
        <w:tc>
          <w:tcPr>
            <w:tcW w:w="2489" w:type="dxa"/>
            <w:gridSpan w:val="3"/>
            <w:tcBorders>
              <w:top w:val="single" w:sz="4" w:space="0" w:color="D9D9D9" w:themeColor="background1" w:themeShade="D9"/>
              <w:bottom w:val="single" w:sz="4" w:space="0" w:color="auto"/>
            </w:tcBorders>
            <w:vAlign w:val="center"/>
          </w:tcPr>
          <w:p w14:paraId="6A2A1A13" w14:textId="77777777" w:rsidR="00ED0875" w:rsidRPr="002D0CF7" w:rsidRDefault="00ED0875" w:rsidP="009507CE">
            <w:pPr>
              <w:spacing w:line="480" w:lineRule="auto"/>
              <w:jc w:val="center"/>
              <w:rPr>
                <w:rFonts w:ascii="Times New Roman" w:hAnsi="Times New Roman" w:cs="Times New Roman"/>
                <w:i/>
                <w:sz w:val="20"/>
                <w:szCs w:val="20"/>
              </w:rPr>
            </w:pPr>
            <w:r w:rsidRPr="002D0CF7">
              <w:rPr>
                <w:rFonts w:ascii="Times New Roman" w:hAnsi="Times New Roman" w:cs="Times New Roman"/>
                <w:i/>
                <w:sz w:val="20"/>
                <w:szCs w:val="20"/>
              </w:rPr>
              <w:t>y = 15(Root Diameter) - 0.5</w:t>
            </w:r>
          </w:p>
        </w:tc>
      </w:tr>
    </w:tbl>
    <w:p w14:paraId="1F438840" w14:textId="77777777" w:rsidR="00ED0875" w:rsidRPr="002D0CF7" w:rsidRDefault="00ED0875" w:rsidP="00177FA6">
      <w:pPr>
        <w:spacing w:after="0" w:line="480" w:lineRule="auto"/>
        <w:rPr>
          <w:rFonts w:ascii="Times New Roman" w:hAnsi="Times New Roman" w:cs="Times New Roman"/>
          <w:sz w:val="18"/>
        </w:rPr>
      </w:pPr>
      <w:r w:rsidRPr="002D0CF7">
        <w:rPr>
          <w:rFonts w:ascii="Times New Roman" w:hAnsi="Times New Roman" w:cs="Times New Roman"/>
          <w:sz w:val="18"/>
        </w:rPr>
        <w:t>†</w:t>
      </w:r>
      <w:r w:rsidRPr="002D0CF7">
        <w:rPr>
          <w:rFonts w:ascii="Times New Roman" w:hAnsi="Times New Roman" w:cs="Times New Roman"/>
          <w:noProof/>
          <w:sz w:val="18"/>
        </w:rPr>
        <w:t>Bakken and Olsen (1983)</w:t>
      </w:r>
    </w:p>
    <w:p w14:paraId="7CCED018" w14:textId="77777777" w:rsidR="00ED0875" w:rsidRPr="001D300D" w:rsidRDefault="00ED0875" w:rsidP="009507CE">
      <w:pPr>
        <w:spacing w:after="0" w:line="480" w:lineRule="auto"/>
        <w:rPr>
          <w:rFonts w:ascii="Times New Roman" w:hAnsi="Times New Roman" w:cs="Times New Roman"/>
          <w:sz w:val="18"/>
          <w:lang w:val="fr-FR"/>
        </w:rPr>
      </w:pPr>
      <w:r w:rsidRPr="001D300D">
        <w:rPr>
          <w:rFonts w:ascii="Times New Roman" w:hAnsi="Times New Roman" w:cs="Times New Roman"/>
          <w:sz w:val="18"/>
          <w:lang w:val="de-DE"/>
        </w:rPr>
        <w:t>‡</w:t>
      </w:r>
      <w:r w:rsidRPr="001D300D">
        <w:rPr>
          <w:rFonts w:ascii="Times New Roman" w:hAnsi="Times New Roman" w:cs="Times New Roman"/>
          <w:noProof/>
          <w:sz w:val="18"/>
          <w:lang w:val="de-DE"/>
        </w:rPr>
        <w:t>Bååth and Söderström (1979)</w:t>
      </w:r>
      <w:r w:rsidRPr="001D300D">
        <w:rPr>
          <w:rFonts w:ascii="Times New Roman" w:hAnsi="Times New Roman" w:cs="Times New Roman"/>
          <w:sz w:val="18"/>
          <w:lang w:val="de-DE"/>
        </w:rPr>
        <w:t xml:space="preserve">; </w:t>
      </w:r>
      <w:r w:rsidRPr="001D300D">
        <w:rPr>
          <w:rFonts w:ascii="Times New Roman" w:hAnsi="Times New Roman" w:cs="Times New Roman"/>
          <w:noProof/>
          <w:sz w:val="18"/>
          <w:lang w:val="de-DE"/>
        </w:rPr>
        <w:t xml:space="preserve">Miller et al. </w:t>
      </w:r>
      <w:r w:rsidRPr="001D300D">
        <w:rPr>
          <w:rFonts w:ascii="Times New Roman" w:hAnsi="Times New Roman" w:cs="Times New Roman"/>
          <w:noProof/>
          <w:sz w:val="18"/>
          <w:lang w:val="fr-FR"/>
        </w:rPr>
        <w:t>(1995)</w:t>
      </w:r>
    </w:p>
    <w:p w14:paraId="2512288C" w14:textId="77777777" w:rsidR="00ED0875" w:rsidRPr="002D0CF7" w:rsidRDefault="00ED0875" w:rsidP="009507CE">
      <w:pPr>
        <w:spacing w:after="0" w:line="480" w:lineRule="auto"/>
        <w:rPr>
          <w:rFonts w:ascii="Times New Roman" w:hAnsi="Times New Roman" w:cs="Times New Roman"/>
          <w:sz w:val="18"/>
        </w:rPr>
      </w:pPr>
      <w:r w:rsidRPr="001D300D">
        <w:rPr>
          <w:rFonts w:ascii="Times New Roman" w:hAnsi="Times New Roman" w:cs="Times New Roman"/>
          <w:sz w:val="18"/>
          <w:lang w:val="fr-FR"/>
        </w:rPr>
        <w:t>*</w:t>
      </w:r>
      <w:r w:rsidRPr="001D300D">
        <w:rPr>
          <w:rFonts w:ascii="Times New Roman" w:hAnsi="Times New Roman" w:cs="Times New Roman"/>
          <w:noProof/>
          <w:sz w:val="18"/>
          <w:lang w:val="fr-FR"/>
        </w:rPr>
        <w:t>Abbott et al. (1984)</w:t>
      </w:r>
      <w:r w:rsidRPr="001D300D">
        <w:rPr>
          <w:rFonts w:ascii="Times New Roman" w:hAnsi="Times New Roman" w:cs="Times New Roman"/>
          <w:sz w:val="18"/>
          <w:lang w:val="fr-FR"/>
        </w:rPr>
        <w:t xml:space="preserve">; </w:t>
      </w:r>
      <w:r w:rsidRPr="001D300D">
        <w:rPr>
          <w:rFonts w:ascii="Times New Roman" w:hAnsi="Times New Roman" w:cs="Times New Roman"/>
          <w:noProof/>
          <w:sz w:val="18"/>
          <w:lang w:val="fr-FR"/>
        </w:rPr>
        <w:t xml:space="preserve">Miller et al. </w:t>
      </w:r>
      <w:r>
        <w:rPr>
          <w:rFonts w:ascii="Times New Roman" w:hAnsi="Times New Roman" w:cs="Times New Roman"/>
          <w:noProof/>
          <w:sz w:val="18"/>
        </w:rPr>
        <w:t>(1995)</w:t>
      </w:r>
      <w:r w:rsidRPr="002D0CF7">
        <w:rPr>
          <w:rFonts w:ascii="Times New Roman" w:hAnsi="Times New Roman" w:cs="Times New Roman"/>
          <w:sz w:val="18"/>
        </w:rPr>
        <w:t xml:space="preserve">; </w:t>
      </w:r>
      <w:r>
        <w:rPr>
          <w:rFonts w:ascii="Times New Roman" w:hAnsi="Times New Roman" w:cs="Times New Roman"/>
          <w:noProof/>
          <w:sz w:val="18"/>
        </w:rPr>
        <w:t>Li et al. (2019)</w:t>
      </w:r>
    </w:p>
    <w:p w14:paraId="44AA5834" w14:textId="77777777" w:rsidR="00ED0875" w:rsidRDefault="00ED0875" w:rsidP="00B95419">
      <w:pPr>
        <w:spacing w:line="480" w:lineRule="auto"/>
        <w:rPr>
          <w:rFonts w:ascii="Times New Roman" w:hAnsi="Times New Roman" w:cs="Times New Roman"/>
          <w:b/>
        </w:rPr>
      </w:pPr>
      <w:r>
        <w:rPr>
          <w:rFonts w:ascii="Times New Roman" w:hAnsi="Times New Roman" w:cs="Times New Roman"/>
          <w:b/>
        </w:rPr>
        <w:br w:type="page"/>
      </w:r>
    </w:p>
    <w:p w14:paraId="56069875" w14:textId="77777777" w:rsidR="00ED0875" w:rsidRPr="00ED0875" w:rsidRDefault="00ED0875" w:rsidP="009507CE">
      <w:pPr>
        <w:spacing w:after="0" w:line="480" w:lineRule="auto"/>
        <w:rPr>
          <w:rFonts w:ascii="Times New Roman" w:hAnsi="Times New Roman" w:cs="Times New Roman"/>
          <w:b/>
        </w:rPr>
      </w:pPr>
      <w:r w:rsidRPr="00ED0875">
        <w:rPr>
          <w:rFonts w:ascii="Times New Roman" w:hAnsi="Times New Roman" w:cs="Times New Roman"/>
          <w:b/>
        </w:rPr>
        <w:lastRenderedPageBreak/>
        <w:t>Supplemental Citations</w:t>
      </w:r>
    </w:p>
    <w:p w14:paraId="5613AAFA" w14:textId="77777777" w:rsidR="00ED0875" w:rsidRPr="00ED0875" w:rsidRDefault="00ED0875" w:rsidP="00177FA6">
      <w:pPr>
        <w:pStyle w:val="EndNoteBibliography"/>
        <w:spacing w:after="0"/>
        <w:ind w:left="720" w:hanging="720"/>
        <w:rPr>
          <w:rFonts w:ascii="Times New Roman" w:hAnsi="Times New Roman" w:cs="Times New Roman"/>
        </w:rPr>
      </w:pPr>
      <w:r w:rsidRPr="00ED0875">
        <w:rPr>
          <w:rFonts w:ascii="Times New Roman" w:hAnsi="Times New Roman" w:cs="Times New Roman"/>
        </w:rPr>
        <w:t xml:space="preserve">Abbott, L., A. Robson, and G. d. Boer. 1984. The effect of phosphorus on the formation of hyphae in soil by the vesicular-arbuscular mycorrhizal fungus, </w:t>
      </w:r>
      <w:r w:rsidRPr="00ED0875">
        <w:rPr>
          <w:rFonts w:ascii="Times New Roman" w:hAnsi="Times New Roman" w:cs="Times New Roman"/>
          <w:i/>
        </w:rPr>
        <w:t>Glomus fasciculatum</w:t>
      </w:r>
      <w:r w:rsidRPr="00ED0875">
        <w:rPr>
          <w:rFonts w:ascii="Times New Roman" w:hAnsi="Times New Roman" w:cs="Times New Roman"/>
        </w:rPr>
        <w:t xml:space="preserve">. New Phytologist </w:t>
      </w:r>
      <w:r w:rsidRPr="00ED0875">
        <w:rPr>
          <w:rFonts w:ascii="Times New Roman" w:hAnsi="Times New Roman" w:cs="Times New Roman"/>
          <w:b/>
        </w:rPr>
        <w:t>97</w:t>
      </w:r>
      <w:r w:rsidRPr="00ED0875">
        <w:rPr>
          <w:rFonts w:ascii="Times New Roman" w:hAnsi="Times New Roman" w:cs="Times New Roman"/>
        </w:rPr>
        <w:t>:437-446.</w:t>
      </w:r>
    </w:p>
    <w:p w14:paraId="4B9316EE" w14:textId="77777777" w:rsidR="00ED0875" w:rsidRPr="00ED0875" w:rsidRDefault="00ED0875" w:rsidP="00177FA6">
      <w:pPr>
        <w:pStyle w:val="EndNoteBibliography"/>
        <w:spacing w:after="0"/>
        <w:ind w:left="720" w:hanging="720"/>
        <w:rPr>
          <w:rFonts w:ascii="Times New Roman" w:hAnsi="Times New Roman" w:cs="Times New Roman"/>
        </w:rPr>
      </w:pPr>
      <w:r w:rsidRPr="00ED0875">
        <w:rPr>
          <w:rFonts w:ascii="Times New Roman" w:hAnsi="Times New Roman" w:cs="Times New Roman"/>
        </w:rPr>
        <w:t>Bååth, E., and B. Söderström. 1979. The significance of hyphal diameter in calculation of fungal biovolume. Oikos:11-14.</w:t>
      </w:r>
    </w:p>
    <w:p w14:paraId="64E387B1" w14:textId="77777777" w:rsidR="00ED0875" w:rsidRPr="00ED0875" w:rsidRDefault="00ED0875" w:rsidP="00177FA6">
      <w:pPr>
        <w:pStyle w:val="EndNoteBibliography"/>
        <w:spacing w:after="0"/>
        <w:ind w:left="720" w:hanging="720"/>
        <w:rPr>
          <w:rFonts w:ascii="Times New Roman" w:hAnsi="Times New Roman" w:cs="Times New Roman"/>
        </w:rPr>
      </w:pPr>
      <w:r w:rsidRPr="00ED0875">
        <w:rPr>
          <w:rFonts w:ascii="Times New Roman" w:hAnsi="Times New Roman" w:cs="Times New Roman"/>
        </w:rPr>
        <w:t xml:space="preserve">Bakken, L. R., and R. A. Olsen. 1983. Buoyant densities and dry-matter contents of microorganisms: conversion of a measured biovolume into biomass. Applied and Environmental Microbiology </w:t>
      </w:r>
      <w:r w:rsidRPr="00ED0875">
        <w:rPr>
          <w:rFonts w:ascii="Times New Roman" w:hAnsi="Times New Roman" w:cs="Times New Roman"/>
          <w:b/>
        </w:rPr>
        <w:t>45</w:t>
      </w:r>
      <w:r w:rsidRPr="00ED0875">
        <w:rPr>
          <w:rFonts w:ascii="Times New Roman" w:hAnsi="Times New Roman" w:cs="Times New Roman"/>
        </w:rPr>
        <w:t>:1188-1195.</w:t>
      </w:r>
    </w:p>
    <w:p w14:paraId="07D98C56" w14:textId="77777777" w:rsidR="00ED0875" w:rsidRPr="00ED0875" w:rsidRDefault="00ED0875" w:rsidP="00177FA6">
      <w:pPr>
        <w:pStyle w:val="EndNoteBibliography"/>
        <w:spacing w:after="0"/>
        <w:ind w:left="720" w:hanging="720"/>
        <w:rPr>
          <w:rFonts w:ascii="Times New Roman" w:hAnsi="Times New Roman" w:cs="Times New Roman"/>
        </w:rPr>
      </w:pPr>
      <w:r w:rsidRPr="00ED0875">
        <w:rPr>
          <w:rFonts w:ascii="Times New Roman" w:hAnsi="Times New Roman" w:cs="Times New Roman"/>
        </w:rPr>
        <w:t xml:space="preserve">Brundrett, M. C. 2002. Coevolution of roots and mycorrhizas of land plants. New Phytologist </w:t>
      </w:r>
      <w:r w:rsidRPr="00ED0875">
        <w:rPr>
          <w:rFonts w:ascii="Times New Roman" w:hAnsi="Times New Roman" w:cs="Times New Roman"/>
          <w:b/>
        </w:rPr>
        <w:t>154</w:t>
      </w:r>
      <w:r w:rsidRPr="00ED0875">
        <w:rPr>
          <w:rFonts w:ascii="Times New Roman" w:hAnsi="Times New Roman" w:cs="Times New Roman"/>
        </w:rPr>
        <w:t>:275-304.</w:t>
      </w:r>
    </w:p>
    <w:p w14:paraId="3FE97C75" w14:textId="77777777" w:rsidR="00ED0875" w:rsidRPr="00ED0875" w:rsidRDefault="00ED0875" w:rsidP="00177FA6">
      <w:pPr>
        <w:pStyle w:val="EndNoteBibliography"/>
        <w:spacing w:after="0"/>
        <w:ind w:left="720" w:hanging="720"/>
        <w:rPr>
          <w:rFonts w:ascii="Times New Roman" w:hAnsi="Times New Roman" w:cs="Times New Roman"/>
        </w:rPr>
      </w:pPr>
      <w:r w:rsidRPr="00ED0875">
        <w:rPr>
          <w:rFonts w:ascii="Times New Roman" w:hAnsi="Times New Roman" w:cs="Times New Roman"/>
        </w:rPr>
        <w:t xml:space="preserve">Brundrett, M. C. 2009. Mycorrhizal associations and other means of nutrition of vascular plants:  understanding the global diversity of host plants by resolving conflicting information and developing reliable means of diagnosis. Plant and Soil </w:t>
      </w:r>
      <w:r w:rsidRPr="00ED0875">
        <w:rPr>
          <w:rFonts w:ascii="Times New Roman" w:hAnsi="Times New Roman" w:cs="Times New Roman"/>
          <w:b/>
        </w:rPr>
        <w:t>320</w:t>
      </w:r>
      <w:r w:rsidRPr="00ED0875">
        <w:rPr>
          <w:rFonts w:ascii="Times New Roman" w:hAnsi="Times New Roman" w:cs="Times New Roman"/>
        </w:rPr>
        <w:t>:37-77.</w:t>
      </w:r>
    </w:p>
    <w:p w14:paraId="7B587DB3" w14:textId="77777777" w:rsidR="00ED0875" w:rsidRPr="00ED0875" w:rsidRDefault="00ED0875" w:rsidP="00177FA6">
      <w:pPr>
        <w:pStyle w:val="EndNoteBibliography"/>
        <w:spacing w:after="0"/>
        <w:ind w:left="720" w:hanging="720"/>
        <w:rPr>
          <w:rFonts w:ascii="Times New Roman" w:hAnsi="Times New Roman" w:cs="Times New Roman"/>
        </w:rPr>
      </w:pPr>
      <w:r w:rsidRPr="00ED0875">
        <w:rPr>
          <w:rFonts w:ascii="Times New Roman" w:hAnsi="Times New Roman" w:cs="Times New Roman"/>
        </w:rPr>
        <w:t xml:space="preserve">Brundrett, M. C., and B. Kendrick. 1988. The mycorrhizal status, root anatomy, and phenology of plants in a sugar maple forest. Canadian Journal of Botany </w:t>
      </w:r>
      <w:r w:rsidRPr="00ED0875">
        <w:rPr>
          <w:rFonts w:ascii="Times New Roman" w:hAnsi="Times New Roman" w:cs="Times New Roman"/>
          <w:b/>
        </w:rPr>
        <w:t>66</w:t>
      </w:r>
      <w:r w:rsidRPr="00ED0875">
        <w:rPr>
          <w:rFonts w:ascii="Times New Roman" w:hAnsi="Times New Roman" w:cs="Times New Roman"/>
        </w:rPr>
        <w:t>:1153-1173.</w:t>
      </w:r>
    </w:p>
    <w:p w14:paraId="0CDB3D22" w14:textId="77777777" w:rsidR="00ED0875" w:rsidRPr="00ED0875" w:rsidRDefault="00ED0875" w:rsidP="00177FA6">
      <w:pPr>
        <w:pStyle w:val="EndNoteBibliography"/>
        <w:spacing w:after="0"/>
        <w:ind w:left="720" w:hanging="720"/>
        <w:rPr>
          <w:rFonts w:ascii="Times New Roman" w:hAnsi="Times New Roman" w:cs="Times New Roman"/>
        </w:rPr>
      </w:pPr>
      <w:r w:rsidRPr="00ED0875">
        <w:rPr>
          <w:rFonts w:ascii="Times New Roman" w:hAnsi="Times New Roman" w:cs="Times New Roman"/>
        </w:rPr>
        <w:t xml:space="preserve">Chen, W., R. T. Koide, T. S. Adams, J. L. DeForest, L. Cheng, and D. M. Eissenstat. 2016. Root morphology and mycorrhizal symbioses together shape nutrient foraging strategies of temperate trees. Proceedings of the National Academy of Sciences </w:t>
      </w:r>
      <w:r w:rsidRPr="00ED0875">
        <w:rPr>
          <w:rFonts w:ascii="Times New Roman" w:hAnsi="Times New Roman" w:cs="Times New Roman"/>
          <w:b/>
        </w:rPr>
        <w:t>113</w:t>
      </w:r>
      <w:r w:rsidRPr="00ED0875">
        <w:rPr>
          <w:rFonts w:ascii="Times New Roman" w:hAnsi="Times New Roman" w:cs="Times New Roman"/>
        </w:rPr>
        <w:t>:8741-8746.</w:t>
      </w:r>
    </w:p>
    <w:p w14:paraId="51C4F3A1" w14:textId="77777777" w:rsidR="00ED0875" w:rsidRPr="00ED0875" w:rsidRDefault="00ED0875" w:rsidP="00177FA6">
      <w:pPr>
        <w:pStyle w:val="EndNoteBibliography"/>
        <w:spacing w:after="0"/>
        <w:ind w:left="720" w:hanging="720"/>
        <w:rPr>
          <w:rFonts w:ascii="Times New Roman" w:hAnsi="Times New Roman" w:cs="Times New Roman"/>
        </w:rPr>
      </w:pPr>
      <w:r w:rsidRPr="00ED0875">
        <w:rPr>
          <w:rFonts w:ascii="Times New Roman" w:hAnsi="Times New Roman" w:cs="Times New Roman"/>
        </w:rPr>
        <w:t xml:space="preserve">Fitter, A. 1982. Morphometric analysis of root systems: application of the technique and influence of soil fertility on root system development in two herbaceous species. Plant, Cell &amp; Environment </w:t>
      </w:r>
      <w:r w:rsidRPr="00ED0875">
        <w:rPr>
          <w:rFonts w:ascii="Times New Roman" w:hAnsi="Times New Roman" w:cs="Times New Roman"/>
          <w:b/>
        </w:rPr>
        <w:t>5</w:t>
      </w:r>
      <w:r w:rsidRPr="00ED0875">
        <w:rPr>
          <w:rFonts w:ascii="Times New Roman" w:hAnsi="Times New Roman" w:cs="Times New Roman"/>
        </w:rPr>
        <w:t>:313-322.</w:t>
      </w:r>
    </w:p>
    <w:p w14:paraId="0BC33CC3" w14:textId="77777777" w:rsidR="00ED0875" w:rsidRPr="001D300D" w:rsidRDefault="00ED0875" w:rsidP="00177FA6">
      <w:pPr>
        <w:pStyle w:val="EndNoteBibliography"/>
        <w:spacing w:after="0"/>
        <w:ind w:left="720" w:hanging="720"/>
        <w:rPr>
          <w:rFonts w:ascii="Times New Roman" w:hAnsi="Times New Roman" w:cs="Times New Roman"/>
          <w:lang w:val="de-DE"/>
        </w:rPr>
      </w:pPr>
      <w:r w:rsidRPr="00ED0875">
        <w:rPr>
          <w:rFonts w:ascii="Times New Roman" w:hAnsi="Times New Roman" w:cs="Times New Roman"/>
        </w:rPr>
        <w:t xml:space="preserve">Harley, J. L., and E. Harley. 1987. A check-list of mycorrhiza in the British flora. </w:t>
      </w:r>
      <w:r w:rsidRPr="001D300D">
        <w:rPr>
          <w:rFonts w:ascii="Times New Roman" w:hAnsi="Times New Roman" w:cs="Times New Roman"/>
          <w:lang w:val="de-DE"/>
        </w:rPr>
        <w:t>New Phytologist:1-102.</w:t>
      </w:r>
    </w:p>
    <w:p w14:paraId="5BFEAD13" w14:textId="77777777" w:rsidR="00ED0875" w:rsidRPr="00ED0875" w:rsidRDefault="00ED0875" w:rsidP="00177FA6">
      <w:pPr>
        <w:pStyle w:val="EndNoteBibliography"/>
        <w:spacing w:after="0"/>
        <w:ind w:left="720" w:hanging="720"/>
        <w:rPr>
          <w:rFonts w:ascii="Times New Roman" w:hAnsi="Times New Roman" w:cs="Times New Roman"/>
        </w:rPr>
      </w:pPr>
      <w:r w:rsidRPr="001D300D">
        <w:rPr>
          <w:rFonts w:ascii="Times New Roman" w:hAnsi="Times New Roman" w:cs="Times New Roman"/>
          <w:lang w:val="de-DE"/>
        </w:rPr>
        <w:t xml:space="preserve">Kong, D. L., C. G. Ma, Q. Zhang, L. Li, X. Y. Chen, H. Zeng, and D. L. Guo. 2014. </w:t>
      </w:r>
      <w:r w:rsidRPr="00ED0875">
        <w:rPr>
          <w:rFonts w:ascii="Times New Roman" w:hAnsi="Times New Roman" w:cs="Times New Roman"/>
        </w:rPr>
        <w:t xml:space="preserve">Leading dimensions in absorptive root trait variation across 96 subtropical forest species. New Phytologist </w:t>
      </w:r>
      <w:r w:rsidRPr="00ED0875">
        <w:rPr>
          <w:rFonts w:ascii="Times New Roman" w:hAnsi="Times New Roman" w:cs="Times New Roman"/>
          <w:b/>
        </w:rPr>
        <w:t>203</w:t>
      </w:r>
      <w:r w:rsidRPr="00ED0875">
        <w:rPr>
          <w:rFonts w:ascii="Times New Roman" w:hAnsi="Times New Roman" w:cs="Times New Roman"/>
        </w:rPr>
        <w:t>:863-872.</w:t>
      </w:r>
    </w:p>
    <w:p w14:paraId="5442A07F" w14:textId="77777777" w:rsidR="00ED0875" w:rsidRPr="00ED0875" w:rsidRDefault="00ED0875" w:rsidP="00177FA6">
      <w:pPr>
        <w:pStyle w:val="EndNoteBibliography"/>
        <w:spacing w:after="0"/>
        <w:ind w:left="720" w:hanging="720"/>
        <w:rPr>
          <w:rFonts w:ascii="Times New Roman" w:hAnsi="Times New Roman" w:cs="Times New Roman"/>
        </w:rPr>
      </w:pPr>
      <w:r w:rsidRPr="00ED0875">
        <w:rPr>
          <w:rFonts w:ascii="Times New Roman" w:hAnsi="Times New Roman" w:cs="Times New Roman"/>
        </w:rPr>
        <w:t xml:space="preserve">Li, H., B. Liu, M. L. McCormack, Z. Ma, and D. Guo. 2017. Diverse belowground resource strategies underlie plant species coexistence and spatial distribution in three grasslands along a precipitation gradient. New Phytologist </w:t>
      </w:r>
      <w:r w:rsidRPr="00ED0875">
        <w:rPr>
          <w:rFonts w:ascii="Times New Roman" w:hAnsi="Times New Roman" w:cs="Times New Roman"/>
          <w:b/>
        </w:rPr>
        <w:t>216</w:t>
      </w:r>
      <w:r w:rsidRPr="00ED0875">
        <w:rPr>
          <w:rFonts w:ascii="Times New Roman" w:hAnsi="Times New Roman" w:cs="Times New Roman"/>
        </w:rPr>
        <w:t>:1140-1150.</w:t>
      </w:r>
    </w:p>
    <w:p w14:paraId="1B1405E0" w14:textId="77777777" w:rsidR="00ED0875" w:rsidRPr="00ED0875" w:rsidRDefault="00ED0875" w:rsidP="00177FA6">
      <w:pPr>
        <w:pStyle w:val="EndNoteBibliography"/>
        <w:spacing w:after="0"/>
        <w:ind w:left="720" w:hanging="720"/>
        <w:rPr>
          <w:rFonts w:ascii="Times New Roman" w:hAnsi="Times New Roman" w:cs="Times New Roman"/>
        </w:rPr>
      </w:pPr>
      <w:r w:rsidRPr="00ED0875">
        <w:rPr>
          <w:rFonts w:ascii="Times New Roman" w:hAnsi="Times New Roman" w:cs="Times New Roman"/>
        </w:rPr>
        <w:t xml:space="preserve">Li, L., M. L. McCormack, F. Chen, H. Wang, Z. Ma, and D. Guo. 2019. Different responses of absorptive roots and arbuscular mycorrhizal fungi to fertilization provide diverse nutrient acquisition strategies in Chinese fir. Forest Ecology and Management </w:t>
      </w:r>
      <w:r w:rsidRPr="00ED0875">
        <w:rPr>
          <w:rFonts w:ascii="Times New Roman" w:hAnsi="Times New Roman" w:cs="Times New Roman"/>
          <w:b/>
        </w:rPr>
        <w:t>433</w:t>
      </w:r>
      <w:r w:rsidRPr="00ED0875">
        <w:rPr>
          <w:rFonts w:ascii="Times New Roman" w:hAnsi="Times New Roman" w:cs="Times New Roman"/>
        </w:rPr>
        <w:t>:64-72.</w:t>
      </w:r>
    </w:p>
    <w:p w14:paraId="6A321EC4" w14:textId="77777777" w:rsidR="00ED0875" w:rsidRPr="00ED0875" w:rsidRDefault="00ED0875" w:rsidP="00177FA6">
      <w:pPr>
        <w:pStyle w:val="EndNoteBibliography"/>
        <w:spacing w:after="0"/>
        <w:ind w:left="720" w:hanging="720"/>
        <w:rPr>
          <w:rFonts w:ascii="Times New Roman" w:hAnsi="Times New Roman" w:cs="Times New Roman"/>
        </w:rPr>
      </w:pPr>
      <w:r w:rsidRPr="00ED0875">
        <w:rPr>
          <w:rFonts w:ascii="Times New Roman" w:hAnsi="Times New Roman" w:cs="Times New Roman"/>
        </w:rPr>
        <w:t xml:space="preserve">Liu, B., H. Li, B. Zhu, R. T. Koide, D. M. Eissenstat, and D. Guo. 2015. Complementarity in nutrient foraging strategies of absorptive fine roots and arbuscular mycorrhizal fungi across 14 coexisting subtropical tree species. New Phytologist </w:t>
      </w:r>
      <w:r w:rsidRPr="00ED0875">
        <w:rPr>
          <w:rFonts w:ascii="Times New Roman" w:hAnsi="Times New Roman" w:cs="Times New Roman"/>
          <w:b/>
        </w:rPr>
        <w:t>208</w:t>
      </w:r>
      <w:r w:rsidRPr="00ED0875">
        <w:rPr>
          <w:rFonts w:ascii="Times New Roman" w:hAnsi="Times New Roman" w:cs="Times New Roman"/>
        </w:rPr>
        <w:t>:125-136.</w:t>
      </w:r>
    </w:p>
    <w:p w14:paraId="1FD32E7B" w14:textId="77777777" w:rsidR="00ED0875" w:rsidRPr="00ED0875" w:rsidRDefault="00ED0875" w:rsidP="00177FA6">
      <w:pPr>
        <w:pStyle w:val="EndNoteBibliography"/>
        <w:spacing w:after="0"/>
        <w:ind w:left="720" w:hanging="720"/>
        <w:rPr>
          <w:rFonts w:ascii="Times New Roman" w:hAnsi="Times New Roman" w:cs="Times New Roman"/>
        </w:rPr>
      </w:pPr>
      <w:r w:rsidRPr="00ED0875">
        <w:rPr>
          <w:rFonts w:ascii="Times New Roman" w:hAnsi="Times New Roman" w:cs="Times New Roman"/>
        </w:rPr>
        <w:t xml:space="preserve">Maherali, H., B. Oberle, P. F. Stevens, W. K. Cornwell, D. J. McGlinn, M. E. Frederickson, and A. A. Winn. 2016. Mutualism Persistence and Abandonment during the Evolution of the Mycorrhizal Symbiosis. American Naturalist </w:t>
      </w:r>
      <w:r w:rsidRPr="00ED0875">
        <w:rPr>
          <w:rFonts w:ascii="Times New Roman" w:hAnsi="Times New Roman" w:cs="Times New Roman"/>
          <w:b/>
        </w:rPr>
        <w:t>188</w:t>
      </w:r>
      <w:r w:rsidRPr="00ED0875">
        <w:rPr>
          <w:rFonts w:ascii="Times New Roman" w:hAnsi="Times New Roman" w:cs="Times New Roman"/>
        </w:rPr>
        <w:t>:E113-E125.</w:t>
      </w:r>
    </w:p>
    <w:p w14:paraId="03AAE008" w14:textId="77777777" w:rsidR="00ED0875" w:rsidRPr="00ED0875" w:rsidRDefault="00ED0875" w:rsidP="00177FA6">
      <w:pPr>
        <w:pStyle w:val="EndNoteBibliography"/>
        <w:spacing w:after="0"/>
        <w:ind w:left="720" w:hanging="720"/>
        <w:rPr>
          <w:rFonts w:ascii="Times New Roman" w:hAnsi="Times New Roman" w:cs="Times New Roman"/>
        </w:rPr>
      </w:pPr>
      <w:r w:rsidRPr="00ED0875">
        <w:rPr>
          <w:rFonts w:ascii="Times New Roman" w:hAnsi="Times New Roman" w:cs="Times New Roman"/>
        </w:rPr>
        <w:t xml:space="preserve">Manjunath, A., and M. Habte. 1991. Root morphological characteristics of host species having distinct mycorrhizal dependency. Canadian Journal of Botany </w:t>
      </w:r>
      <w:r w:rsidRPr="00ED0875">
        <w:rPr>
          <w:rFonts w:ascii="Times New Roman" w:hAnsi="Times New Roman" w:cs="Times New Roman"/>
          <w:b/>
        </w:rPr>
        <w:t>69</w:t>
      </w:r>
      <w:r w:rsidRPr="00ED0875">
        <w:rPr>
          <w:rFonts w:ascii="Times New Roman" w:hAnsi="Times New Roman" w:cs="Times New Roman"/>
        </w:rPr>
        <w:t>:671-676.</w:t>
      </w:r>
    </w:p>
    <w:p w14:paraId="4D6140FD" w14:textId="77777777" w:rsidR="00ED0875" w:rsidRPr="00ED0875" w:rsidRDefault="00ED0875" w:rsidP="00177FA6">
      <w:pPr>
        <w:pStyle w:val="EndNoteBibliography"/>
        <w:spacing w:after="0"/>
        <w:ind w:left="720" w:hanging="720"/>
        <w:rPr>
          <w:rFonts w:ascii="Times New Roman" w:hAnsi="Times New Roman" w:cs="Times New Roman"/>
        </w:rPr>
      </w:pPr>
      <w:r w:rsidRPr="00ED0875">
        <w:rPr>
          <w:rFonts w:ascii="Times New Roman" w:hAnsi="Times New Roman" w:cs="Times New Roman"/>
        </w:rPr>
        <w:t xml:space="preserve">Miller, R. M., J. D. Jastrow, and D. R. Reinhardt. 1995. External hyphal production of vesicular-arbuscular mycorrhizal fungi in pasture and tallgrass prairie communities. Oecologia </w:t>
      </w:r>
      <w:r w:rsidRPr="00ED0875">
        <w:rPr>
          <w:rFonts w:ascii="Times New Roman" w:hAnsi="Times New Roman" w:cs="Times New Roman"/>
          <w:b/>
        </w:rPr>
        <w:t>103</w:t>
      </w:r>
      <w:r w:rsidRPr="00ED0875">
        <w:rPr>
          <w:rFonts w:ascii="Times New Roman" w:hAnsi="Times New Roman" w:cs="Times New Roman"/>
        </w:rPr>
        <w:t>:17-23.</w:t>
      </w:r>
    </w:p>
    <w:p w14:paraId="2706F896" w14:textId="77777777" w:rsidR="00ED0875" w:rsidRPr="00ED0875" w:rsidRDefault="00ED0875" w:rsidP="00177FA6">
      <w:pPr>
        <w:pStyle w:val="EndNoteBibliography"/>
        <w:spacing w:after="0"/>
        <w:ind w:left="720" w:hanging="720"/>
        <w:rPr>
          <w:rFonts w:ascii="Times New Roman" w:hAnsi="Times New Roman" w:cs="Times New Roman"/>
        </w:rPr>
      </w:pPr>
      <w:r w:rsidRPr="00ED0875">
        <w:rPr>
          <w:rFonts w:ascii="Times New Roman" w:hAnsi="Times New Roman" w:cs="Times New Roman"/>
        </w:rPr>
        <w:t xml:space="preserve">Poorter, H., F. Fiorani, R. Pieruschka, T. Wojciechowski, W. H. Putten, M. Kleyer, U. Schurr, and J. Postma. 2016. Pampered inside, pestered outside? Differences and similarities between plants growing in controlled conditions and in the field. New Phytologist </w:t>
      </w:r>
      <w:r w:rsidRPr="00ED0875">
        <w:rPr>
          <w:rFonts w:ascii="Times New Roman" w:hAnsi="Times New Roman" w:cs="Times New Roman"/>
          <w:b/>
        </w:rPr>
        <w:t>212</w:t>
      </w:r>
      <w:r w:rsidRPr="00ED0875">
        <w:rPr>
          <w:rFonts w:ascii="Times New Roman" w:hAnsi="Times New Roman" w:cs="Times New Roman"/>
        </w:rPr>
        <w:t>:838-855.</w:t>
      </w:r>
    </w:p>
    <w:p w14:paraId="517B61B1" w14:textId="77777777" w:rsidR="00ED0875" w:rsidRPr="00ED0875" w:rsidRDefault="00ED0875" w:rsidP="00177FA6">
      <w:pPr>
        <w:pStyle w:val="EndNoteBibliography"/>
        <w:spacing w:after="0"/>
        <w:ind w:left="720" w:hanging="720"/>
        <w:rPr>
          <w:rFonts w:ascii="Times New Roman" w:hAnsi="Times New Roman" w:cs="Times New Roman"/>
        </w:rPr>
      </w:pPr>
      <w:r w:rsidRPr="00ED0875">
        <w:rPr>
          <w:rFonts w:ascii="Times New Roman" w:hAnsi="Times New Roman" w:cs="Times New Roman"/>
        </w:rPr>
        <w:t xml:space="preserve">Pregitzer, K. S., J. L. DeForest, A. J. Burton, M. F. Allen, R. W. Ruess, and R. L. Hendrick. 2002. Fine root architecture of nine North American trees. Ecological Monographs </w:t>
      </w:r>
      <w:r w:rsidRPr="00ED0875">
        <w:rPr>
          <w:rFonts w:ascii="Times New Roman" w:hAnsi="Times New Roman" w:cs="Times New Roman"/>
          <w:b/>
        </w:rPr>
        <w:t>72</w:t>
      </w:r>
      <w:r w:rsidRPr="00ED0875">
        <w:rPr>
          <w:rFonts w:ascii="Times New Roman" w:hAnsi="Times New Roman" w:cs="Times New Roman"/>
        </w:rPr>
        <w:t>:293-309.</w:t>
      </w:r>
    </w:p>
    <w:p w14:paraId="055F9CEB" w14:textId="77777777" w:rsidR="00ED0875" w:rsidRPr="001D300D" w:rsidRDefault="00ED0875" w:rsidP="00177FA6">
      <w:pPr>
        <w:pStyle w:val="EndNoteBibliography"/>
        <w:spacing w:after="0"/>
        <w:ind w:left="720" w:hanging="720"/>
        <w:rPr>
          <w:rFonts w:ascii="Times New Roman" w:hAnsi="Times New Roman" w:cs="Times New Roman"/>
          <w:lang w:val="it-IT"/>
        </w:rPr>
      </w:pPr>
      <w:r w:rsidRPr="001D300D">
        <w:rPr>
          <w:rFonts w:ascii="Times New Roman" w:hAnsi="Times New Roman" w:cs="Times New Roman"/>
          <w:lang w:val="de-DE"/>
        </w:rPr>
        <w:t xml:space="preserve">Pregitzer, K. S., M. E. Kubiske, C. K. Yu, and R. L. Hendrick. </w:t>
      </w:r>
      <w:r w:rsidRPr="00ED0875">
        <w:rPr>
          <w:rFonts w:ascii="Times New Roman" w:hAnsi="Times New Roman" w:cs="Times New Roman"/>
        </w:rPr>
        <w:t xml:space="preserve">1997. Relationships among roof branch order, carbon, and nitrogen in four temperate species. </w:t>
      </w:r>
      <w:r w:rsidRPr="001D300D">
        <w:rPr>
          <w:rFonts w:ascii="Times New Roman" w:hAnsi="Times New Roman" w:cs="Times New Roman"/>
          <w:lang w:val="it-IT"/>
        </w:rPr>
        <w:t xml:space="preserve">Oecologia </w:t>
      </w:r>
      <w:r w:rsidRPr="001D300D">
        <w:rPr>
          <w:rFonts w:ascii="Times New Roman" w:hAnsi="Times New Roman" w:cs="Times New Roman"/>
          <w:b/>
          <w:lang w:val="it-IT"/>
        </w:rPr>
        <w:t>111</w:t>
      </w:r>
      <w:r w:rsidRPr="001D300D">
        <w:rPr>
          <w:rFonts w:ascii="Times New Roman" w:hAnsi="Times New Roman" w:cs="Times New Roman"/>
          <w:lang w:val="it-IT"/>
        </w:rPr>
        <w:t>:302-308.</w:t>
      </w:r>
    </w:p>
    <w:p w14:paraId="4013A023" w14:textId="77777777" w:rsidR="00ED0875" w:rsidRPr="00ED0875" w:rsidRDefault="00ED0875" w:rsidP="00177FA6">
      <w:pPr>
        <w:pStyle w:val="EndNoteBibliography"/>
        <w:spacing w:after="0"/>
        <w:ind w:left="720" w:hanging="720"/>
        <w:rPr>
          <w:rFonts w:ascii="Times New Roman" w:hAnsi="Times New Roman" w:cs="Times New Roman"/>
        </w:rPr>
      </w:pPr>
      <w:r w:rsidRPr="001D300D">
        <w:rPr>
          <w:rFonts w:ascii="Times New Roman" w:hAnsi="Times New Roman" w:cs="Times New Roman"/>
          <w:lang w:val="it-IT"/>
        </w:rPr>
        <w:lastRenderedPageBreak/>
        <w:t xml:space="preserve">Sun, K., M. L. McCormack, L. Li, Z. Ma, and D. Guo. 2016. </w:t>
      </w:r>
      <w:r w:rsidRPr="00ED0875">
        <w:rPr>
          <w:rFonts w:ascii="Times New Roman" w:hAnsi="Times New Roman" w:cs="Times New Roman"/>
        </w:rPr>
        <w:t xml:space="preserve">Fast-cycling unit of root turnover in perennial herbaceous plants in a cold temperate ecosystem. Scientific reports </w:t>
      </w:r>
      <w:r w:rsidRPr="00ED0875">
        <w:rPr>
          <w:rFonts w:ascii="Times New Roman" w:hAnsi="Times New Roman" w:cs="Times New Roman"/>
          <w:b/>
        </w:rPr>
        <w:t>6</w:t>
      </w:r>
      <w:r w:rsidRPr="00ED0875">
        <w:rPr>
          <w:rFonts w:ascii="Times New Roman" w:hAnsi="Times New Roman" w:cs="Times New Roman"/>
        </w:rPr>
        <w:t>:19698.</w:t>
      </w:r>
    </w:p>
    <w:p w14:paraId="4BF34478" w14:textId="77777777" w:rsidR="00ED0875" w:rsidRPr="00ED0875" w:rsidRDefault="00ED0875" w:rsidP="00177FA6">
      <w:pPr>
        <w:pStyle w:val="EndNoteBibliography"/>
        <w:spacing w:after="0"/>
        <w:ind w:left="720" w:hanging="720"/>
        <w:rPr>
          <w:rFonts w:ascii="Times New Roman" w:hAnsi="Times New Roman" w:cs="Times New Roman"/>
        </w:rPr>
      </w:pPr>
      <w:r w:rsidRPr="00ED0875">
        <w:rPr>
          <w:rFonts w:ascii="Times New Roman" w:hAnsi="Times New Roman" w:cs="Times New Roman"/>
        </w:rPr>
        <w:t xml:space="preserve">Wang, B., and Y. L. Qiu. 2006. Phylogenetic distribution and evolution of mycorrhizas in land plants. Mycorrhiza </w:t>
      </w:r>
      <w:r w:rsidRPr="00ED0875">
        <w:rPr>
          <w:rFonts w:ascii="Times New Roman" w:hAnsi="Times New Roman" w:cs="Times New Roman"/>
          <w:b/>
        </w:rPr>
        <w:t>16</w:t>
      </w:r>
      <w:r w:rsidRPr="00ED0875">
        <w:rPr>
          <w:rFonts w:ascii="Times New Roman" w:hAnsi="Times New Roman" w:cs="Times New Roman"/>
        </w:rPr>
        <w:t>:299-363.</w:t>
      </w:r>
    </w:p>
    <w:p w14:paraId="4E967CB2" w14:textId="77777777" w:rsidR="00ED0875" w:rsidRPr="00ED0875" w:rsidRDefault="00ED0875" w:rsidP="00177FA6">
      <w:pPr>
        <w:pStyle w:val="EndNoteBibliography"/>
        <w:spacing w:after="0"/>
        <w:ind w:left="720" w:hanging="720"/>
        <w:rPr>
          <w:rFonts w:ascii="Times New Roman" w:hAnsi="Times New Roman" w:cs="Times New Roman"/>
        </w:rPr>
      </w:pPr>
      <w:r w:rsidRPr="00ED0875">
        <w:rPr>
          <w:rFonts w:ascii="Times New Roman" w:hAnsi="Times New Roman" w:cs="Times New Roman"/>
        </w:rPr>
        <w:t xml:space="preserve">Yanai, R. D., T. J. Fahey, and S. L. Miller. 1995. Efficiency of nutrient acquisition by fine roots and mycorrhizae. Pages 75-103 </w:t>
      </w:r>
      <w:r w:rsidRPr="00ED0875">
        <w:rPr>
          <w:rFonts w:ascii="Times New Roman" w:hAnsi="Times New Roman" w:cs="Times New Roman"/>
          <w:i/>
        </w:rPr>
        <w:t>in</w:t>
      </w:r>
      <w:r w:rsidRPr="00ED0875">
        <w:rPr>
          <w:rFonts w:ascii="Times New Roman" w:hAnsi="Times New Roman" w:cs="Times New Roman"/>
        </w:rPr>
        <w:t xml:space="preserve"> W. K. Smith and T. M. Hinckley, editors. Resource physiology of conifers: Acquisition, Allocation, and Utilization. Academic Press, San Diego.</w:t>
      </w:r>
    </w:p>
    <w:p w14:paraId="7E3A8EFA" w14:textId="77777777" w:rsidR="00ED0875" w:rsidRPr="00ED0875" w:rsidRDefault="00ED0875" w:rsidP="00177FA6">
      <w:pPr>
        <w:pStyle w:val="EndNoteBibliography"/>
        <w:spacing w:after="0"/>
        <w:ind w:left="720" w:hanging="720"/>
        <w:rPr>
          <w:rFonts w:ascii="Times New Roman" w:hAnsi="Times New Roman" w:cs="Times New Roman"/>
        </w:rPr>
      </w:pPr>
      <w:r w:rsidRPr="00ED0875">
        <w:rPr>
          <w:rFonts w:ascii="Times New Roman" w:hAnsi="Times New Roman" w:cs="Times New Roman"/>
        </w:rPr>
        <w:t xml:space="preserve">Zadworny, M., and D. M. Eissenstat. 2011. Contrasting the morphology, anatomy and fungal colonization of new pioneer and fibrous roots. New Phytologist </w:t>
      </w:r>
      <w:r w:rsidRPr="00ED0875">
        <w:rPr>
          <w:rFonts w:ascii="Times New Roman" w:hAnsi="Times New Roman" w:cs="Times New Roman"/>
          <w:b/>
        </w:rPr>
        <w:t>190</w:t>
      </w:r>
      <w:r w:rsidRPr="00ED0875">
        <w:rPr>
          <w:rFonts w:ascii="Times New Roman" w:hAnsi="Times New Roman" w:cs="Times New Roman"/>
        </w:rPr>
        <w:t>:213-221.</w:t>
      </w:r>
    </w:p>
    <w:p w14:paraId="278C169E" w14:textId="77777777" w:rsidR="00ED0875" w:rsidRPr="00ED0875" w:rsidRDefault="00ED0875" w:rsidP="00177FA6">
      <w:pPr>
        <w:pStyle w:val="EndNoteBibliography"/>
        <w:ind w:left="720" w:hanging="720"/>
        <w:rPr>
          <w:rFonts w:ascii="Times New Roman" w:hAnsi="Times New Roman" w:cs="Times New Roman"/>
        </w:rPr>
      </w:pPr>
      <w:r w:rsidRPr="00ED0875">
        <w:rPr>
          <w:rFonts w:ascii="Times New Roman" w:hAnsi="Times New Roman" w:cs="Times New Roman"/>
        </w:rPr>
        <w:t xml:space="preserve">Zadworny, M., M. L. McCormack, R. Żytkowiak, P. Karolewski, J. Mucha, and J. Oleksyn. 2017. Patterns of structural and defense investments in fine roots of Scots pine (Pinus sylvestris L.) across a strong temperature and latitudinal gradient in Europe. Global Change Biology </w:t>
      </w:r>
      <w:r w:rsidRPr="00ED0875">
        <w:rPr>
          <w:rFonts w:ascii="Times New Roman" w:hAnsi="Times New Roman" w:cs="Times New Roman"/>
          <w:b/>
        </w:rPr>
        <w:t>23</w:t>
      </w:r>
      <w:r w:rsidRPr="00ED0875">
        <w:rPr>
          <w:rFonts w:ascii="Times New Roman" w:hAnsi="Times New Roman" w:cs="Times New Roman"/>
        </w:rPr>
        <w:t>:1218-1231.</w:t>
      </w:r>
    </w:p>
    <w:p w14:paraId="444C605F" w14:textId="77777777" w:rsidR="00ED0875" w:rsidRPr="00ED0875" w:rsidRDefault="00ED0875" w:rsidP="009507CE">
      <w:pPr>
        <w:spacing w:after="0" w:line="480" w:lineRule="auto"/>
        <w:rPr>
          <w:rFonts w:ascii="Times New Roman" w:hAnsi="Times New Roman" w:cs="Times New Roman"/>
        </w:rPr>
      </w:pPr>
    </w:p>
    <w:p w14:paraId="411A0676" w14:textId="77777777" w:rsidR="00FE5F99" w:rsidRDefault="00FE5F99"/>
    <w:sectPr w:rsidR="00FE5F99" w:rsidSect="001D30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ED0875"/>
    <w:rsid w:val="001D300D"/>
    <w:rsid w:val="006E36F0"/>
    <w:rsid w:val="00CD62A7"/>
    <w:rsid w:val="00ED0875"/>
    <w:rsid w:val="00FE5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A57FC"/>
  <w15:chartTrackingRefBased/>
  <w15:docId w15:val="{696B67F3-59AE-41AA-B196-1CDC42A9D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D0875"/>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D0875"/>
    <w:rPr>
      <w:sz w:val="16"/>
      <w:szCs w:val="16"/>
    </w:rPr>
  </w:style>
  <w:style w:type="paragraph" w:styleId="CommentText">
    <w:name w:val="annotation text"/>
    <w:basedOn w:val="Normal"/>
    <w:link w:val="CommentTextChar"/>
    <w:uiPriority w:val="99"/>
    <w:unhideWhenUsed/>
    <w:rsid w:val="00ED0875"/>
    <w:pPr>
      <w:spacing w:line="240" w:lineRule="auto"/>
    </w:pPr>
    <w:rPr>
      <w:sz w:val="20"/>
      <w:szCs w:val="20"/>
    </w:rPr>
  </w:style>
  <w:style w:type="character" w:customStyle="1" w:styleId="CommentTextChar">
    <w:name w:val="Comment Text Char"/>
    <w:basedOn w:val="DefaultParagraphFont"/>
    <w:link w:val="CommentText"/>
    <w:uiPriority w:val="99"/>
    <w:rsid w:val="00ED0875"/>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ED0875"/>
    <w:rPr>
      <w:b/>
      <w:bCs/>
    </w:rPr>
  </w:style>
  <w:style w:type="character" w:customStyle="1" w:styleId="CommentSubjectChar">
    <w:name w:val="Comment Subject Char"/>
    <w:basedOn w:val="CommentTextChar"/>
    <w:link w:val="CommentSubject"/>
    <w:uiPriority w:val="99"/>
    <w:semiHidden/>
    <w:rsid w:val="00ED0875"/>
    <w:rPr>
      <w:rFonts w:eastAsiaTheme="minorEastAsia"/>
      <w:b/>
      <w:bCs/>
      <w:sz w:val="20"/>
      <w:szCs w:val="20"/>
      <w:lang w:eastAsia="zh-CN"/>
    </w:rPr>
  </w:style>
  <w:style w:type="paragraph" w:styleId="BalloonText">
    <w:name w:val="Balloon Text"/>
    <w:basedOn w:val="Normal"/>
    <w:link w:val="BalloonTextChar"/>
    <w:uiPriority w:val="99"/>
    <w:semiHidden/>
    <w:unhideWhenUsed/>
    <w:rsid w:val="00ED08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875"/>
    <w:rPr>
      <w:rFonts w:ascii="Segoe UI" w:eastAsiaTheme="minorEastAsia" w:hAnsi="Segoe UI" w:cs="Segoe UI"/>
      <w:sz w:val="18"/>
      <w:szCs w:val="18"/>
      <w:lang w:eastAsia="zh-CN"/>
    </w:rPr>
  </w:style>
  <w:style w:type="table" w:styleId="TableGrid">
    <w:name w:val="Table Grid"/>
    <w:basedOn w:val="TableNormal"/>
    <w:uiPriority w:val="59"/>
    <w:rsid w:val="00ED0875"/>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ED087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ED0875"/>
    <w:rPr>
      <w:rFonts w:ascii="Calibri" w:eastAsiaTheme="minorEastAsia" w:hAnsi="Calibri" w:cs="Calibri"/>
      <w:noProof/>
      <w:lang w:eastAsia="zh-CN"/>
    </w:rPr>
  </w:style>
  <w:style w:type="paragraph" w:customStyle="1" w:styleId="EndNoteBibliography">
    <w:name w:val="EndNote Bibliography"/>
    <w:basedOn w:val="Normal"/>
    <w:link w:val="EndNoteBibliographyChar"/>
    <w:rsid w:val="00ED0875"/>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ED0875"/>
    <w:rPr>
      <w:rFonts w:ascii="Calibri" w:eastAsiaTheme="minorEastAsia" w:hAnsi="Calibri" w:cs="Calibri"/>
      <w:noProof/>
      <w:lang w:eastAsia="zh-CN"/>
    </w:rPr>
  </w:style>
  <w:style w:type="character" w:styleId="LineNumber">
    <w:name w:val="line number"/>
    <w:basedOn w:val="DefaultParagraphFont"/>
    <w:uiPriority w:val="99"/>
    <w:semiHidden/>
    <w:unhideWhenUsed/>
    <w:rsid w:val="00CD6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2331</Words>
  <Characters>13292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McCormack</dc:creator>
  <cp:keywords/>
  <dc:description/>
  <cp:lastModifiedBy>Sidra Amiri</cp:lastModifiedBy>
  <cp:revision>2</cp:revision>
  <dcterms:created xsi:type="dcterms:W3CDTF">2019-09-30T12:28:00Z</dcterms:created>
  <dcterms:modified xsi:type="dcterms:W3CDTF">2019-09-30T12:28:00Z</dcterms:modified>
</cp:coreProperties>
</file>