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9A7A18" w14:textId="77777777" w:rsidR="00123152" w:rsidRPr="009668A4" w:rsidRDefault="00123152" w:rsidP="00123152">
      <w:pPr>
        <w:pStyle w:val="BATitle"/>
        <w:jc w:val="left"/>
        <w:rPr>
          <w:b/>
          <w:sz w:val="24"/>
          <w:szCs w:val="24"/>
        </w:rPr>
      </w:pPr>
      <w:bookmarkStart w:id="0" w:name="_Hlk521310876"/>
      <w:bookmarkStart w:id="1" w:name="_GoBack"/>
      <w:bookmarkEnd w:id="1"/>
      <w:r w:rsidRPr="009668A4">
        <w:rPr>
          <w:b/>
          <w:sz w:val="32"/>
          <w:szCs w:val="24"/>
        </w:rPr>
        <w:t xml:space="preserve">Effect of electrode properties on the performance of a photosynthetic microbial fuel cell for atrazine </w:t>
      </w:r>
      <w:r>
        <w:rPr>
          <w:b/>
          <w:sz w:val="32"/>
          <w:szCs w:val="24"/>
        </w:rPr>
        <w:t>detection</w:t>
      </w:r>
    </w:p>
    <w:bookmarkEnd w:id="0"/>
    <w:p w14:paraId="444AD38B" w14:textId="55D11BA9" w:rsidR="00123152" w:rsidRDefault="00B23245" w:rsidP="00123152">
      <w:pPr>
        <w:pStyle w:val="BBAuthorName"/>
        <w:jc w:val="left"/>
        <w:rPr>
          <w:rFonts w:ascii="Times New Roman" w:hAnsi="Times New Roman"/>
          <w:iCs/>
          <w:szCs w:val="24"/>
          <w:vertAlign w:val="superscript"/>
          <w:lang w:val="es-ES"/>
        </w:rPr>
      </w:pPr>
      <w:r w:rsidRPr="00B23245">
        <w:rPr>
          <w:rFonts w:ascii="Times New Roman" w:hAnsi="Times New Roman"/>
          <w:iCs/>
          <w:szCs w:val="24"/>
          <w:lang w:val="es-ES"/>
        </w:rPr>
        <w:t>Lola Gonzalez Olias</w:t>
      </w:r>
      <w:r>
        <w:rPr>
          <w:rFonts w:ascii="Times New Roman" w:hAnsi="Times New Roman"/>
          <w:iCs/>
          <w:szCs w:val="24"/>
          <w:lang w:val="es-ES"/>
        </w:rPr>
        <w:t>,</w:t>
      </w:r>
      <w:r w:rsidR="00123152" w:rsidRPr="009668A4">
        <w:rPr>
          <w:rFonts w:ascii="Times New Roman" w:hAnsi="Times New Roman"/>
          <w:iCs/>
          <w:szCs w:val="24"/>
          <w:vertAlign w:val="superscript"/>
          <w:lang w:val="es-ES"/>
        </w:rPr>
        <w:t>1,2</w:t>
      </w:r>
      <w:r w:rsidR="00123152" w:rsidRPr="009668A4">
        <w:rPr>
          <w:rFonts w:ascii="Times New Roman" w:hAnsi="Times New Roman"/>
          <w:iCs/>
          <w:szCs w:val="24"/>
          <w:lang w:val="es-ES"/>
        </w:rPr>
        <w:t xml:space="preserve"> Petra J. Cameron,</w:t>
      </w:r>
      <w:r w:rsidR="00123152" w:rsidRPr="009668A4">
        <w:rPr>
          <w:rFonts w:ascii="Times New Roman" w:hAnsi="Times New Roman"/>
          <w:iCs/>
          <w:szCs w:val="24"/>
          <w:vertAlign w:val="superscript"/>
          <w:lang w:val="es-ES"/>
        </w:rPr>
        <w:t>3</w:t>
      </w:r>
      <w:r w:rsidR="00123152" w:rsidRPr="009668A4">
        <w:rPr>
          <w:rFonts w:ascii="Times New Roman" w:hAnsi="Times New Roman"/>
          <w:iCs/>
          <w:szCs w:val="24"/>
          <w:lang w:val="es-ES"/>
        </w:rPr>
        <w:t xml:space="preserve"> Mirella Di Lorenzo</w:t>
      </w:r>
      <w:r w:rsidR="00123152" w:rsidRPr="009668A4">
        <w:rPr>
          <w:rFonts w:ascii="Times New Roman" w:hAnsi="Times New Roman"/>
          <w:iCs/>
          <w:szCs w:val="24"/>
          <w:vertAlign w:val="superscript"/>
          <w:lang w:val="es-ES"/>
        </w:rPr>
        <w:t>1,*</w:t>
      </w:r>
    </w:p>
    <w:p w14:paraId="263671CC" w14:textId="77777777" w:rsidR="00123152" w:rsidRPr="009668A4" w:rsidRDefault="00123152" w:rsidP="00123152">
      <w:pPr>
        <w:pStyle w:val="BCAuthorAddress"/>
        <w:jc w:val="left"/>
        <w:rPr>
          <w:rFonts w:ascii="Times New Roman" w:hAnsi="Times New Roman"/>
          <w:szCs w:val="24"/>
          <w:lang w:val="en-GB"/>
        </w:rPr>
      </w:pPr>
      <w:r w:rsidRPr="009668A4">
        <w:rPr>
          <w:rFonts w:ascii="Times New Roman" w:hAnsi="Times New Roman"/>
          <w:szCs w:val="24"/>
          <w:vertAlign w:val="superscript"/>
          <w:lang w:val="en-GB"/>
        </w:rPr>
        <w:t xml:space="preserve">1 </w:t>
      </w:r>
      <w:r w:rsidRPr="009668A4">
        <w:rPr>
          <w:rFonts w:ascii="Times New Roman" w:hAnsi="Times New Roman"/>
          <w:szCs w:val="24"/>
          <w:lang w:val="en-GB"/>
        </w:rPr>
        <w:t>Centre for Biosensors, Bioelectronics and Biodevices (C3Bio) and Department of Chemical Engineering, University of Bath, Bath BA2 7AY, United Kingdom</w:t>
      </w:r>
    </w:p>
    <w:p w14:paraId="11B85F7A" w14:textId="77777777" w:rsidR="00123152" w:rsidRPr="009668A4" w:rsidRDefault="00123152" w:rsidP="00123152">
      <w:pPr>
        <w:pStyle w:val="BCAuthorAddress"/>
        <w:jc w:val="left"/>
        <w:rPr>
          <w:rFonts w:ascii="Times New Roman" w:hAnsi="Times New Roman"/>
          <w:szCs w:val="24"/>
          <w:lang w:val="en-GB"/>
        </w:rPr>
      </w:pPr>
      <w:r w:rsidRPr="009668A4">
        <w:rPr>
          <w:rFonts w:ascii="Times New Roman" w:hAnsi="Times New Roman"/>
          <w:szCs w:val="24"/>
          <w:vertAlign w:val="superscript"/>
          <w:lang w:val="en-GB"/>
        </w:rPr>
        <w:t>2</w:t>
      </w:r>
      <w:r w:rsidRPr="009668A4">
        <w:rPr>
          <w:rFonts w:ascii="Times New Roman" w:hAnsi="Times New Roman"/>
          <w:szCs w:val="24"/>
          <w:lang w:val="en-GB"/>
        </w:rPr>
        <w:t xml:space="preserve"> Water Innovation Research Centre (WIRC), University of Bath, Bath BA2 7AY, United Kingdom</w:t>
      </w:r>
    </w:p>
    <w:p w14:paraId="69337FEB" w14:textId="77777777" w:rsidR="00123152" w:rsidRPr="009668A4" w:rsidRDefault="00123152" w:rsidP="00123152">
      <w:pPr>
        <w:pStyle w:val="BCAuthorAddress"/>
        <w:jc w:val="left"/>
        <w:rPr>
          <w:rFonts w:ascii="Times New Roman" w:hAnsi="Times New Roman"/>
          <w:szCs w:val="24"/>
          <w:lang w:val="en-GB"/>
        </w:rPr>
      </w:pPr>
      <w:r w:rsidRPr="009668A4">
        <w:rPr>
          <w:rFonts w:ascii="Times New Roman" w:hAnsi="Times New Roman"/>
          <w:szCs w:val="24"/>
          <w:vertAlign w:val="superscript"/>
          <w:lang w:val="en-GB"/>
        </w:rPr>
        <w:t xml:space="preserve">3 </w:t>
      </w:r>
      <w:r w:rsidRPr="009668A4">
        <w:rPr>
          <w:rFonts w:ascii="Times New Roman" w:hAnsi="Times New Roman"/>
          <w:szCs w:val="24"/>
          <w:lang w:val="en-GB"/>
        </w:rPr>
        <w:t>Department of Chemistry, University of Bath, Bath BA2 7AY, United Kingdom</w:t>
      </w:r>
    </w:p>
    <w:p w14:paraId="597986D5" w14:textId="77777777" w:rsidR="00123152" w:rsidRPr="00123152" w:rsidRDefault="00123152" w:rsidP="00123152">
      <w:pPr>
        <w:rPr>
          <w:lang w:val="es-ES"/>
        </w:rPr>
      </w:pPr>
    </w:p>
    <w:p w14:paraId="4D1A6926" w14:textId="77777777" w:rsidR="001F2FE3" w:rsidRPr="00123152" w:rsidRDefault="006E4349" w:rsidP="00123152">
      <w:pPr>
        <w:jc w:val="center"/>
        <w:rPr>
          <w:rFonts w:ascii="Times New Roman" w:hAnsi="Times New Roman" w:cs="Times New Roman"/>
          <w:b/>
          <w:sz w:val="32"/>
          <w:szCs w:val="28"/>
        </w:rPr>
      </w:pPr>
      <w:r w:rsidRPr="00123152">
        <w:rPr>
          <w:rFonts w:ascii="Times New Roman" w:hAnsi="Times New Roman" w:cs="Times New Roman"/>
          <w:b/>
          <w:sz w:val="32"/>
          <w:szCs w:val="28"/>
        </w:rPr>
        <w:t>Supp</w:t>
      </w:r>
      <w:r w:rsidR="006B34BF" w:rsidRPr="00123152">
        <w:rPr>
          <w:rFonts w:ascii="Times New Roman" w:hAnsi="Times New Roman" w:cs="Times New Roman"/>
          <w:b/>
          <w:sz w:val="32"/>
          <w:szCs w:val="28"/>
        </w:rPr>
        <w:t>lementary information</w:t>
      </w:r>
    </w:p>
    <w:p w14:paraId="7B21DFA3" w14:textId="05A259C3" w:rsidR="00123152" w:rsidRDefault="00123152">
      <w:r>
        <w:br w:type="page"/>
      </w:r>
    </w:p>
    <w:p w14:paraId="405A2E49" w14:textId="77777777" w:rsidR="001F2FE3" w:rsidRDefault="001F2FE3"/>
    <w:p w14:paraId="5D8D657A" w14:textId="77777777" w:rsidR="00B20D70" w:rsidRDefault="006B34BF">
      <w:r>
        <w:rPr>
          <w:noProof/>
          <w:lang w:eastAsia="en-GB"/>
        </w:rPr>
        <w:drawing>
          <wp:inline distT="0" distB="0" distL="0" distR="0" wp14:anchorId="41E44A29" wp14:editId="6DFDF184">
            <wp:extent cx="2847228" cy="2395571"/>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56400" cy="2403288"/>
                    </a:xfrm>
                    <a:prstGeom prst="rect">
                      <a:avLst/>
                    </a:prstGeom>
                    <a:noFill/>
                  </pic:spPr>
                </pic:pic>
              </a:graphicData>
            </a:graphic>
          </wp:inline>
        </w:drawing>
      </w:r>
      <w:r>
        <w:rPr>
          <w:noProof/>
          <w:lang w:eastAsia="en-GB"/>
        </w:rPr>
        <w:drawing>
          <wp:inline distT="0" distB="0" distL="0" distR="0" wp14:anchorId="42274100" wp14:editId="76F57423">
            <wp:extent cx="2468880" cy="2169786"/>
            <wp:effectExtent l="0" t="0" r="762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75808" cy="2175875"/>
                    </a:xfrm>
                    <a:prstGeom prst="rect">
                      <a:avLst/>
                    </a:prstGeom>
                    <a:noFill/>
                  </pic:spPr>
                </pic:pic>
              </a:graphicData>
            </a:graphic>
          </wp:inline>
        </w:drawing>
      </w:r>
    </w:p>
    <w:p w14:paraId="147ADD81" w14:textId="4E139B87" w:rsidR="000A36C6" w:rsidRPr="005F3F35" w:rsidRDefault="000A36C6" w:rsidP="00EF61BF">
      <w:pPr>
        <w:spacing w:line="360" w:lineRule="auto"/>
        <w:jc w:val="both"/>
        <w:rPr>
          <w:rFonts w:ascii="Times New Roman" w:hAnsi="Times New Roman" w:cs="Times New Roman"/>
          <w:i/>
          <w:sz w:val="24"/>
          <w:szCs w:val="24"/>
        </w:rPr>
      </w:pPr>
      <w:r w:rsidRPr="005F3F35">
        <w:rPr>
          <w:rFonts w:ascii="Times New Roman" w:hAnsi="Times New Roman" w:cs="Times New Roman"/>
          <w:i/>
          <w:sz w:val="24"/>
          <w:szCs w:val="24"/>
        </w:rPr>
        <w:t xml:space="preserve">Figure S1. Growth curves </w:t>
      </w:r>
      <w:r w:rsidR="008B1D36">
        <w:rPr>
          <w:rFonts w:ascii="Times New Roman" w:hAnsi="Times New Roman" w:cs="Times New Roman"/>
          <w:i/>
          <w:sz w:val="24"/>
          <w:szCs w:val="24"/>
        </w:rPr>
        <w:t xml:space="preserve">of </w:t>
      </w:r>
      <w:r w:rsidRPr="005F3F35">
        <w:rPr>
          <w:rFonts w:ascii="Times New Roman" w:hAnsi="Times New Roman" w:cs="Times New Roman"/>
          <w:i/>
          <w:sz w:val="24"/>
          <w:szCs w:val="24"/>
        </w:rPr>
        <w:t>Sc. Obliquus on BBM</w:t>
      </w:r>
      <w:r w:rsidR="00F41CBD" w:rsidRPr="005F3F35">
        <w:rPr>
          <w:rFonts w:ascii="Times New Roman" w:hAnsi="Times New Roman" w:cs="Times New Roman"/>
          <w:i/>
          <w:sz w:val="24"/>
          <w:szCs w:val="24"/>
        </w:rPr>
        <w:t xml:space="preserve"> in batch at 2</w:t>
      </w:r>
      <w:r w:rsidR="00695D9F">
        <w:rPr>
          <w:rFonts w:ascii="Times New Roman" w:hAnsi="Times New Roman" w:cs="Times New Roman"/>
          <w:i/>
          <w:sz w:val="24"/>
          <w:szCs w:val="24"/>
        </w:rPr>
        <w:t>5 ̊</w:t>
      </w:r>
      <w:r w:rsidR="00F41CBD" w:rsidRPr="005F3F35">
        <w:rPr>
          <w:rFonts w:ascii="Times New Roman" w:hAnsi="Times New Roman" w:cs="Times New Roman"/>
          <w:i/>
          <w:sz w:val="24"/>
          <w:szCs w:val="24"/>
        </w:rPr>
        <w:t>C and 12h/12h white light regime of 5 lm m</w:t>
      </w:r>
      <w:r w:rsidR="00F41CBD" w:rsidRPr="005F3F35">
        <w:rPr>
          <w:rFonts w:ascii="Times New Roman" w:hAnsi="Times New Roman" w:cs="Times New Roman"/>
          <w:i/>
          <w:sz w:val="24"/>
          <w:szCs w:val="24"/>
          <w:vertAlign w:val="superscript"/>
        </w:rPr>
        <w:t>-1</w:t>
      </w:r>
      <w:r w:rsidR="00F41CBD" w:rsidRPr="005F3F35">
        <w:rPr>
          <w:rFonts w:ascii="Times New Roman" w:hAnsi="Times New Roman" w:cs="Times New Roman"/>
          <w:i/>
          <w:sz w:val="24"/>
          <w:szCs w:val="24"/>
        </w:rPr>
        <w:t>.</w:t>
      </w:r>
      <w:r w:rsidR="005F3F35">
        <w:rPr>
          <w:rFonts w:ascii="Times New Roman" w:hAnsi="Times New Roman" w:cs="Times New Roman"/>
          <w:i/>
          <w:sz w:val="24"/>
          <w:szCs w:val="24"/>
        </w:rPr>
        <w:t xml:space="preserve"> Cell count and OD were assessed on a daily basis for 10 days. The growth curve was not continued until steady state because after </w:t>
      </w:r>
      <w:r w:rsidR="00B55E7F">
        <w:rPr>
          <w:rFonts w:ascii="Times New Roman" w:hAnsi="Times New Roman" w:cs="Times New Roman"/>
          <w:i/>
          <w:sz w:val="24"/>
          <w:szCs w:val="24"/>
        </w:rPr>
        <w:t>1</w:t>
      </w:r>
      <w:r w:rsidR="005F3F35">
        <w:rPr>
          <w:rFonts w:ascii="Times New Roman" w:hAnsi="Times New Roman" w:cs="Times New Roman"/>
          <w:i/>
          <w:sz w:val="24"/>
          <w:szCs w:val="24"/>
        </w:rPr>
        <w:t>0 days the culture started to clump and OD measurements became unreliable.</w:t>
      </w:r>
    </w:p>
    <w:p w14:paraId="48904BB8" w14:textId="77777777" w:rsidR="000A36C6" w:rsidRPr="005F3F35" w:rsidRDefault="000A36C6">
      <w:pPr>
        <w:rPr>
          <w:rFonts w:ascii="Times New Roman" w:hAnsi="Times New Roman" w:cs="Times New Roman"/>
          <w:i/>
          <w:sz w:val="24"/>
          <w:szCs w:val="24"/>
        </w:rPr>
      </w:pPr>
    </w:p>
    <w:p w14:paraId="62B5B1FA" w14:textId="77777777" w:rsidR="000A36C6" w:rsidRDefault="000A36C6"/>
    <w:p w14:paraId="6F799F61" w14:textId="77777777" w:rsidR="000A36C6" w:rsidRDefault="000A36C6" w:rsidP="000A36C6">
      <w:pPr>
        <w:rPr>
          <w:noProof/>
          <w:lang w:eastAsia="en-GB"/>
        </w:rPr>
      </w:pPr>
      <w:r w:rsidRPr="00915CA6">
        <w:rPr>
          <w:noProof/>
          <w:lang w:eastAsia="en-GB"/>
        </w:rPr>
        <w:t xml:space="preserve"> </w:t>
      </w:r>
      <w:r w:rsidRPr="00AE6CA7">
        <w:rPr>
          <w:noProof/>
          <w:lang w:eastAsia="en-GB"/>
        </w:rPr>
        <w:drawing>
          <wp:inline distT="0" distB="0" distL="0" distR="0" wp14:anchorId="41756C6F" wp14:editId="3F511758">
            <wp:extent cx="2000250" cy="2705100"/>
            <wp:effectExtent l="0" t="0" r="0" b="0"/>
            <wp:docPr id="5"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rotWithShape="1">
                    <a:blip r:embed="rId9">
                      <a:extLst>
                        <a:ext uri="{BEBA8EAE-BF5A-486C-A8C5-ECC9F3942E4B}">
                          <a14:imgProps xmlns:a14="http://schemas.microsoft.com/office/drawing/2010/main">
                            <a14:imgLayer r:embed="rId10">
                              <a14:imgEffect>
                                <a14:sharpenSoften amount="50000"/>
                              </a14:imgEffect>
                              <a14:imgEffect>
                                <a14:colorTemperature colorTemp="7000"/>
                              </a14:imgEffect>
                              <a14:imgEffect>
                                <a14:brightnessContrast bright="20000"/>
                              </a14:imgEffect>
                            </a14:imgLayer>
                          </a14:imgProps>
                        </a:ext>
                      </a:extLst>
                    </a:blip>
                    <a:srcRect l="4942" t="19913" r="1799" b="17305"/>
                    <a:stretch/>
                  </pic:blipFill>
                  <pic:spPr>
                    <a:xfrm>
                      <a:off x="0" y="0"/>
                      <a:ext cx="2000970" cy="2706074"/>
                    </a:xfrm>
                    <a:prstGeom prst="roundRect">
                      <a:avLst>
                        <a:gd name="adj" fmla="val 27536"/>
                      </a:avLst>
                    </a:prstGeom>
                  </pic:spPr>
                </pic:pic>
              </a:graphicData>
            </a:graphic>
          </wp:inline>
        </w:drawing>
      </w:r>
      <w:r>
        <w:rPr>
          <w:noProof/>
          <w:lang w:eastAsia="en-GB"/>
        </w:rPr>
        <w:drawing>
          <wp:inline distT="0" distB="0" distL="0" distR="0" wp14:anchorId="7E4FFE3D" wp14:editId="5DD95FB9">
            <wp:extent cx="2613660" cy="194880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17497" cy="1951670"/>
                    </a:xfrm>
                    <a:prstGeom prst="rect">
                      <a:avLst/>
                    </a:prstGeom>
                    <a:noFill/>
                  </pic:spPr>
                </pic:pic>
              </a:graphicData>
            </a:graphic>
          </wp:inline>
        </w:drawing>
      </w:r>
    </w:p>
    <w:p w14:paraId="27E44B18" w14:textId="4DA31BAA" w:rsidR="000A36C6" w:rsidRPr="005F3F35" w:rsidRDefault="000A36C6" w:rsidP="000A36C6">
      <w:pPr>
        <w:rPr>
          <w:rFonts w:ascii="Times New Roman" w:hAnsi="Times New Roman" w:cs="Times New Roman"/>
          <w:i/>
          <w:sz w:val="24"/>
          <w:szCs w:val="24"/>
        </w:rPr>
      </w:pPr>
      <w:r w:rsidRPr="005F3F35">
        <w:rPr>
          <w:rFonts w:ascii="Times New Roman" w:hAnsi="Times New Roman" w:cs="Times New Roman"/>
          <w:i/>
          <w:sz w:val="24"/>
          <w:szCs w:val="24"/>
        </w:rPr>
        <w:t>Figure S2. Experimental set up</w:t>
      </w:r>
      <w:r w:rsidR="005F3F35">
        <w:rPr>
          <w:rFonts w:ascii="Times New Roman" w:hAnsi="Times New Roman" w:cs="Times New Roman"/>
          <w:i/>
          <w:sz w:val="24"/>
          <w:szCs w:val="24"/>
        </w:rPr>
        <w:t xml:space="preserve"> (left</w:t>
      </w:r>
      <w:r w:rsidR="00F41CBD" w:rsidRPr="005F3F35">
        <w:rPr>
          <w:rFonts w:ascii="Times New Roman" w:hAnsi="Times New Roman" w:cs="Times New Roman"/>
          <w:i/>
          <w:sz w:val="24"/>
          <w:szCs w:val="24"/>
        </w:rPr>
        <w:t>). Example of the H-cell p</w:t>
      </w:r>
      <w:r w:rsidR="00A44187">
        <w:rPr>
          <w:rFonts w:ascii="Times New Roman" w:hAnsi="Times New Roman" w:cs="Times New Roman"/>
          <w:i/>
          <w:sz w:val="24"/>
          <w:szCs w:val="24"/>
        </w:rPr>
        <w:t>-</w:t>
      </w:r>
      <w:r w:rsidR="00F41CBD" w:rsidRPr="005F3F35">
        <w:rPr>
          <w:rFonts w:ascii="Times New Roman" w:hAnsi="Times New Roman" w:cs="Times New Roman"/>
          <w:i/>
          <w:sz w:val="24"/>
          <w:szCs w:val="24"/>
        </w:rPr>
        <w:t>MFC for graphite felt</w:t>
      </w:r>
      <w:r w:rsidR="005F3F35">
        <w:rPr>
          <w:rFonts w:ascii="Times New Roman" w:hAnsi="Times New Roman" w:cs="Times New Roman"/>
          <w:i/>
          <w:sz w:val="24"/>
          <w:szCs w:val="24"/>
        </w:rPr>
        <w:t xml:space="preserve"> (right)</w:t>
      </w:r>
      <w:r w:rsidR="00F41CBD" w:rsidRPr="005F3F35">
        <w:rPr>
          <w:rFonts w:ascii="Times New Roman" w:hAnsi="Times New Roman" w:cs="Times New Roman"/>
          <w:i/>
          <w:sz w:val="24"/>
          <w:szCs w:val="24"/>
        </w:rPr>
        <w:t>.</w:t>
      </w:r>
    </w:p>
    <w:p w14:paraId="7C219F1F" w14:textId="77777777" w:rsidR="000A36C6" w:rsidRPr="005F3F35" w:rsidRDefault="000A36C6" w:rsidP="000A36C6">
      <w:pPr>
        <w:rPr>
          <w:rFonts w:ascii="Times New Roman" w:hAnsi="Times New Roman" w:cs="Times New Roman"/>
          <w:i/>
          <w:sz w:val="24"/>
          <w:szCs w:val="24"/>
        </w:rPr>
      </w:pPr>
    </w:p>
    <w:p w14:paraId="30E26C70" w14:textId="77777777" w:rsidR="000A36C6" w:rsidRDefault="000A36C6" w:rsidP="000A36C6"/>
    <w:p w14:paraId="7966C80B" w14:textId="77777777" w:rsidR="000A36C6" w:rsidRDefault="000A36C6" w:rsidP="000A36C6"/>
    <w:p w14:paraId="77155982" w14:textId="0779C772" w:rsidR="006E4349" w:rsidRDefault="00384515" w:rsidP="005F3F35">
      <w:pPr>
        <w:jc w:val="center"/>
      </w:pPr>
      <w:r>
        <w:rPr>
          <w:noProof/>
          <w:lang w:eastAsia="en-GB"/>
        </w:rPr>
        <w:lastRenderedPageBreak/>
        <w:drawing>
          <wp:inline distT="0" distB="0" distL="0" distR="0" wp14:anchorId="58D7F993" wp14:editId="26E93374">
            <wp:extent cx="3771900" cy="246341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82512" cy="2470350"/>
                    </a:xfrm>
                    <a:prstGeom prst="rect">
                      <a:avLst/>
                    </a:prstGeom>
                    <a:noFill/>
                  </pic:spPr>
                </pic:pic>
              </a:graphicData>
            </a:graphic>
          </wp:inline>
        </w:drawing>
      </w:r>
    </w:p>
    <w:p w14:paraId="0917D8D3" w14:textId="77777777" w:rsidR="000A36C6" w:rsidRDefault="000A36C6" w:rsidP="000A36C6"/>
    <w:p w14:paraId="72E5CF38" w14:textId="13A91572" w:rsidR="000A36C6" w:rsidRDefault="000A36C6" w:rsidP="00EF61BF">
      <w:pPr>
        <w:spacing w:line="360" w:lineRule="auto"/>
        <w:jc w:val="both"/>
        <w:rPr>
          <w:rFonts w:ascii="Times New Roman" w:hAnsi="Times New Roman" w:cs="Times New Roman"/>
          <w:i/>
          <w:sz w:val="24"/>
          <w:szCs w:val="24"/>
        </w:rPr>
      </w:pPr>
      <w:r w:rsidRPr="005F3F35">
        <w:rPr>
          <w:rFonts w:ascii="Times New Roman" w:hAnsi="Times New Roman" w:cs="Times New Roman"/>
          <w:i/>
          <w:sz w:val="24"/>
          <w:szCs w:val="24"/>
        </w:rPr>
        <w:t xml:space="preserve"> </w:t>
      </w:r>
      <w:r w:rsidR="00AF724C">
        <w:rPr>
          <w:rFonts w:ascii="Times New Roman" w:hAnsi="Times New Roman" w:cs="Times New Roman"/>
          <w:i/>
          <w:sz w:val="24"/>
          <w:szCs w:val="24"/>
        </w:rPr>
        <w:t>Figure S3.</w:t>
      </w:r>
      <w:r w:rsidR="00695D9F">
        <w:rPr>
          <w:rFonts w:ascii="Times New Roman" w:hAnsi="Times New Roman" w:cs="Times New Roman"/>
          <w:i/>
          <w:sz w:val="24"/>
          <w:szCs w:val="24"/>
        </w:rPr>
        <w:t xml:space="preserve"> </w:t>
      </w:r>
      <w:r w:rsidR="00AF724C">
        <w:rPr>
          <w:rFonts w:ascii="Times New Roman" w:hAnsi="Times New Roman" w:cs="Times New Roman"/>
          <w:i/>
          <w:sz w:val="24"/>
          <w:szCs w:val="24"/>
        </w:rPr>
        <w:t>Catholyte pH and conductivity evolution over time after</w:t>
      </w:r>
      <w:r w:rsidRPr="005F3F35">
        <w:rPr>
          <w:rFonts w:ascii="Times New Roman" w:hAnsi="Times New Roman" w:cs="Times New Roman"/>
          <w:i/>
          <w:sz w:val="24"/>
          <w:szCs w:val="24"/>
        </w:rPr>
        <w:t xml:space="preserve"> atrazine addition</w:t>
      </w:r>
      <w:r w:rsidR="00F41CBD" w:rsidRPr="005F3F35">
        <w:rPr>
          <w:rFonts w:ascii="Times New Roman" w:hAnsi="Times New Roman" w:cs="Times New Roman"/>
          <w:i/>
          <w:sz w:val="24"/>
          <w:szCs w:val="24"/>
        </w:rPr>
        <w:t>.</w:t>
      </w:r>
      <w:r w:rsidR="005F3F35">
        <w:rPr>
          <w:rFonts w:ascii="Times New Roman" w:hAnsi="Times New Roman" w:cs="Times New Roman"/>
          <w:i/>
          <w:sz w:val="24"/>
          <w:szCs w:val="24"/>
        </w:rPr>
        <w:t xml:space="preserve"> The study was performed in a catholyte extracted from the cathode chamber after 20 days of operation.</w:t>
      </w:r>
    </w:p>
    <w:p w14:paraId="4E01041D" w14:textId="77777777" w:rsidR="00695D9F" w:rsidRPr="005F3F35" w:rsidRDefault="00695D9F" w:rsidP="00EF61BF">
      <w:pPr>
        <w:spacing w:line="360" w:lineRule="auto"/>
        <w:jc w:val="both"/>
        <w:rPr>
          <w:rFonts w:ascii="Times New Roman" w:hAnsi="Times New Roman" w:cs="Times New Roman"/>
          <w:i/>
          <w:sz w:val="24"/>
          <w:szCs w:val="24"/>
        </w:rPr>
      </w:pPr>
    </w:p>
    <w:p w14:paraId="3D050502" w14:textId="77777777" w:rsidR="002B5AD7" w:rsidRPr="009668A4" w:rsidRDefault="002B5AD7" w:rsidP="00EF61BF">
      <w:pPr>
        <w:keepNext/>
        <w:autoSpaceDE w:val="0"/>
        <w:autoSpaceDN w:val="0"/>
        <w:adjustRightInd w:val="0"/>
        <w:rPr>
          <w:rFonts w:ascii="Times New Roman" w:hAnsi="Times New Roman" w:cs="Times New Roman"/>
          <w:sz w:val="24"/>
          <w:szCs w:val="24"/>
        </w:rPr>
      </w:pPr>
      <w:r w:rsidRPr="009668A4">
        <w:rPr>
          <w:rFonts w:ascii="Times New Roman" w:hAnsi="Times New Roman" w:cs="Times New Roman"/>
          <w:noProof/>
          <w:sz w:val="24"/>
          <w:szCs w:val="24"/>
          <w:lang w:eastAsia="en-GB"/>
        </w:rPr>
        <w:drawing>
          <wp:inline distT="0" distB="0" distL="0" distR="0" wp14:anchorId="3C93B750" wp14:editId="09EC452B">
            <wp:extent cx="5880100" cy="2441684"/>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88811" cy="2445301"/>
                    </a:xfrm>
                    <a:prstGeom prst="rect">
                      <a:avLst/>
                    </a:prstGeom>
                    <a:noFill/>
                  </pic:spPr>
                </pic:pic>
              </a:graphicData>
            </a:graphic>
          </wp:inline>
        </w:drawing>
      </w:r>
    </w:p>
    <w:p w14:paraId="049E00DC" w14:textId="77777777" w:rsidR="002B5AD7" w:rsidRPr="009668A4" w:rsidRDefault="002B5AD7" w:rsidP="002B5AD7">
      <w:pPr>
        <w:spacing w:line="480" w:lineRule="auto"/>
        <w:jc w:val="both"/>
        <w:rPr>
          <w:rFonts w:ascii="Times New Roman" w:hAnsi="Times New Roman" w:cs="Times New Roman"/>
          <w:sz w:val="24"/>
          <w:szCs w:val="24"/>
        </w:rPr>
      </w:pPr>
      <w:r w:rsidRPr="00752561">
        <w:rPr>
          <w:rFonts w:ascii="Times New Roman" w:hAnsi="Times New Roman" w:cs="Times New Roman"/>
          <w:i/>
          <w:sz w:val="24"/>
          <w:szCs w:val="24"/>
        </w:rPr>
        <w:t>Figure S4. Example</w:t>
      </w:r>
      <w:r w:rsidRPr="009668A4">
        <w:rPr>
          <w:rFonts w:ascii="Times New Roman" w:hAnsi="Times New Roman" w:cs="Times New Roman"/>
          <w:i/>
          <w:sz w:val="24"/>
          <w:szCs w:val="24"/>
        </w:rPr>
        <w:t xml:space="preserve"> of the short-term response (left) and long-term response (right) of the p-MFCs to a toxic event. A is the moment of injection of the toxicant. B indicates the moment when a response is observed in the signal output. C is the moment when the current has reached the 95% of its steady state following the change in current. D is the point when the sensor has recovered from the toxicant event. E is the moment when the day baseline of the photosynthetic cycle stabilises. I</w:t>
      </w:r>
      <w:r w:rsidRPr="009668A4">
        <w:rPr>
          <w:rFonts w:ascii="Times New Roman" w:hAnsi="Times New Roman" w:cs="Times New Roman"/>
          <w:i/>
          <w:sz w:val="24"/>
          <w:szCs w:val="24"/>
          <w:vertAlign w:val="subscript"/>
        </w:rPr>
        <w:t>b</w:t>
      </w:r>
      <w:r w:rsidRPr="009668A4">
        <w:rPr>
          <w:rFonts w:ascii="Times New Roman" w:hAnsi="Times New Roman" w:cs="Times New Roman"/>
          <w:i/>
          <w:sz w:val="24"/>
          <w:szCs w:val="24"/>
        </w:rPr>
        <w:t xml:space="preserve"> is the day current baseline before the event, I</w:t>
      </w:r>
      <w:r w:rsidRPr="009668A4">
        <w:rPr>
          <w:rFonts w:ascii="Times New Roman" w:hAnsi="Times New Roman" w:cs="Times New Roman"/>
          <w:i/>
          <w:sz w:val="24"/>
          <w:szCs w:val="24"/>
          <w:vertAlign w:val="subscript"/>
        </w:rPr>
        <w:t>nb</w:t>
      </w:r>
      <w:r w:rsidRPr="009668A4">
        <w:rPr>
          <w:rFonts w:ascii="Times New Roman" w:hAnsi="Times New Roman" w:cs="Times New Roman"/>
          <w:i/>
          <w:sz w:val="24"/>
          <w:szCs w:val="24"/>
        </w:rPr>
        <w:t xml:space="preserve"> is the day current baseline after the event. t</w:t>
      </w:r>
      <w:r w:rsidRPr="009668A4">
        <w:rPr>
          <w:rFonts w:ascii="Times New Roman" w:hAnsi="Times New Roman" w:cs="Times New Roman"/>
          <w:i/>
          <w:sz w:val="24"/>
          <w:szCs w:val="24"/>
          <w:vertAlign w:val="subscript"/>
        </w:rPr>
        <w:t>lag</w:t>
      </w:r>
      <w:r w:rsidRPr="009668A4">
        <w:rPr>
          <w:rFonts w:ascii="Times New Roman" w:hAnsi="Times New Roman" w:cs="Times New Roman"/>
          <w:i/>
          <w:sz w:val="24"/>
          <w:szCs w:val="24"/>
        </w:rPr>
        <w:t xml:space="preserve"> is the lag period from the injection of the toxicant until it reached the biofilm. t</w:t>
      </w:r>
      <w:r w:rsidRPr="009668A4">
        <w:rPr>
          <w:rFonts w:ascii="Times New Roman" w:hAnsi="Times New Roman" w:cs="Times New Roman"/>
          <w:i/>
          <w:sz w:val="24"/>
          <w:szCs w:val="24"/>
          <w:vertAlign w:val="subscript"/>
        </w:rPr>
        <w:t>r</w:t>
      </w:r>
      <w:r w:rsidRPr="009668A4">
        <w:rPr>
          <w:rFonts w:ascii="Times New Roman" w:hAnsi="Times New Roman" w:cs="Times New Roman"/>
          <w:i/>
          <w:sz w:val="24"/>
          <w:szCs w:val="24"/>
        </w:rPr>
        <w:t xml:space="preserve"> is the response time of the sensor. t</w:t>
      </w:r>
      <w:r w:rsidRPr="009668A4">
        <w:rPr>
          <w:rFonts w:ascii="Times New Roman" w:hAnsi="Times New Roman" w:cs="Times New Roman"/>
          <w:i/>
          <w:sz w:val="24"/>
          <w:szCs w:val="24"/>
          <w:vertAlign w:val="subscript"/>
        </w:rPr>
        <w:t>rec</w:t>
      </w:r>
      <w:r w:rsidRPr="009668A4">
        <w:rPr>
          <w:rFonts w:ascii="Times New Roman" w:hAnsi="Times New Roman" w:cs="Times New Roman"/>
          <w:i/>
          <w:sz w:val="24"/>
          <w:szCs w:val="24"/>
        </w:rPr>
        <w:t xml:space="preserve"> is the recovery time of the sensor.</w:t>
      </w:r>
    </w:p>
    <w:p w14:paraId="7F92C7B9" w14:textId="77777777" w:rsidR="002B5AD7" w:rsidRDefault="002B5AD7" w:rsidP="000A36C6"/>
    <w:p w14:paraId="754B9CDD" w14:textId="393127A7" w:rsidR="005D3F9C" w:rsidRDefault="00695D9F" w:rsidP="005D3F9C">
      <w:r>
        <w:rPr>
          <w:noProof/>
          <w:lang w:eastAsia="en-GB"/>
        </w:rPr>
        <w:drawing>
          <wp:inline distT="0" distB="0" distL="0" distR="0" wp14:anchorId="2DCB10C1" wp14:editId="759000B9">
            <wp:extent cx="4138613" cy="2704580"/>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53154" cy="2714083"/>
                    </a:xfrm>
                    <a:prstGeom prst="rect">
                      <a:avLst/>
                    </a:prstGeom>
                    <a:noFill/>
                  </pic:spPr>
                </pic:pic>
              </a:graphicData>
            </a:graphic>
          </wp:inline>
        </w:drawing>
      </w:r>
    </w:p>
    <w:p w14:paraId="720113AA" w14:textId="48E348F4" w:rsidR="0079640A" w:rsidRDefault="002B5AD7" w:rsidP="00EF61BF">
      <w:pPr>
        <w:spacing w:line="360" w:lineRule="auto"/>
        <w:jc w:val="both"/>
        <w:rPr>
          <w:rFonts w:ascii="Times New Roman" w:hAnsi="Times New Roman" w:cs="Times New Roman"/>
          <w:i/>
          <w:sz w:val="24"/>
          <w:szCs w:val="24"/>
        </w:rPr>
      </w:pPr>
      <w:r w:rsidRPr="00384515">
        <w:rPr>
          <w:rFonts w:ascii="Times New Roman" w:hAnsi="Times New Roman" w:cs="Times New Roman"/>
          <w:i/>
          <w:sz w:val="24"/>
          <w:szCs w:val="24"/>
        </w:rPr>
        <w:t>Figure S</w:t>
      </w:r>
      <w:r w:rsidR="00C058A1">
        <w:rPr>
          <w:rFonts w:ascii="Times New Roman" w:hAnsi="Times New Roman" w:cs="Times New Roman"/>
          <w:i/>
          <w:sz w:val="24"/>
          <w:szCs w:val="24"/>
        </w:rPr>
        <w:t>5</w:t>
      </w:r>
      <w:r w:rsidR="00C76C41" w:rsidRPr="00384515">
        <w:rPr>
          <w:rFonts w:ascii="Times New Roman" w:hAnsi="Times New Roman" w:cs="Times New Roman"/>
          <w:i/>
          <w:sz w:val="24"/>
          <w:szCs w:val="24"/>
        </w:rPr>
        <w:t xml:space="preserve">. </w:t>
      </w:r>
      <w:r w:rsidR="00384515" w:rsidRPr="00384515">
        <w:rPr>
          <w:rFonts w:ascii="Times New Roman" w:hAnsi="Times New Roman" w:cs="Times New Roman"/>
          <w:i/>
          <w:sz w:val="24"/>
          <w:szCs w:val="24"/>
        </w:rPr>
        <w:t>Start-up</w:t>
      </w:r>
      <w:r w:rsidR="00C76C41" w:rsidRPr="00384515">
        <w:rPr>
          <w:rFonts w:ascii="Times New Roman" w:hAnsi="Times New Roman" w:cs="Times New Roman"/>
          <w:i/>
          <w:sz w:val="24"/>
          <w:szCs w:val="24"/>
        </w:rPr>
        <w:t xml:space="preserve"> period </w:t>
      </w:r>
      <w:r w:rsidR="00384515">
        <w:rPr>
          <w:rFonts w:ascii="Times New Roman" w:hAnsi="Times New Roman" w:cs="Times New Roman"/>
          <w:i/>
          <w:sz w:val="24"/>
          <w:szCs w:val="24"/>
        </w:rPr>
        <w:t>of the p</w:t>
      </w:r>
      <w:r w:rsidR="00A44187">
        <w:rPr>
          <w:rFonts w:ascii="Times New Roman" w:hAnsi="Times New Roman" w:cs="Times New Roman"/>
          <w:i/>
          <w:sz w:val="24"/>
          <w:szCs w:val="24"/>
        </w:rPr>
        <w:t>-</w:t>
      </w:r>
      <w:r w:rsidR="00384515">
        <w:rPr>
          <w:rFonts w:ascii="Times New Roman" w:hAnsi="Times New Roman" w:cs="Times New Roman"/>
          <w:i/>
          <w:sz w:val="24"/>
          <w:szCs w:val="24"/>
        </w:rPr>
        <w:t xml:space="preserve">MFCs </w:t>
      </w:r>
      <w:r w:rsidR="00C76C41" w:rsidRPr="00384515">
        <w:rPr>
          <w:rFonts w:ascii="Times New Roman" w:hAnsi="Times New Roman" w:cs="Times New Roman"/>
          <w:i/>
          <w:sz w:val="24"/>
          <w:szCs w:val="24"/>
        </w:rPr>
        <w:t>with error bars.</w:t>
      </w:r>
      <w:r w:rsidR="00384515">
        <w:rPr>
          <w:rFonts w:ascii="Times New Roman" w:hAnsi="Times New Roman" w:cs="Times New Roman"/>
          <w:i/>
          <w:sz w:val="24"/>
          <w:szCs w:val="24"/>
        </w:rPr>
        <w:t xml:space="preserve"> </w:t>
      </w:r>
      <w:r w:rsidR="00A44187">
        <w:rPr>
          <w:rFonts w:ascii="Times New Roman" w:hAnsi="Times New Roman" w:cs="Times New Roman"/>
          <w:i/>
          <w:sz w:val="24"/>
          <w:szCs w:val="24"/>
        </w:rPr>
        <w:t>P-</w:t>
      </w:r>
      <w:r w:rsidR="00384515">
        <w:rPr>
          <w:rFonts w:ascii="Times New Roman" w:hAnsi="Times New Roman" w:cs="Times New Roman"/>
          <w:i/>
          <w:sz w:val="24"/>
          <w:szCs w:val="24"/>
        </w:rPr>
        <w:t>MFC</w:t>
      </w:r>
      <w:r w:rsidR="00384515" w:rsidRPr="00384515">
        <w:rPr>
          <w:rFonts w:ascii="Times New Roman" w:hAnsi="Times New Roman" w:cs="Times New Roman"/>
          <w:i/>
          <w:sz w:val="24"/>
          <w:szCs w:val="24"/>
          <w:vertAlign w:val="subscript"/>
        </w:rPr>
        <w:t>GF</w:t>
      </w:r>
      <w:r w:rsidR="00384515">
        <w:rPr>
          <w:rFonts w:ascii="Times New Roman" w:hAnsi="Times New Roman" w:cs="Times New Roman"/>
          <w:i/>
          <w:sz w:val="24"/>
          <w:szCs w:val="24"/>
        </w:rPr>
        <w:t xml:space="preserve"> corresponds to the black line and p</w:t>
      </w:r>
      <w:r w:rsidR="00A44187">
        <w:rPr>
          <w:rFonts w:ascii="Times New Roman" w:hAnsi="Times New Roman" w:cs="Times New Roman"/>
          <w:i/>
          <w:sz w:val="24"/>
          <w:szCs w:val="24"/>
        </w:rPr>
        <w:t>-</w:t>
      </w:r>
      <w:r w:rsidR="00384515">
        <w:rPr>
          <w:rFonts w:ascii="Times New Roman" w:hAnsi="Times New Roman" w:cs="Times New Roman"/>
          <w:i/>
          <w:sz w:val="24"/>
          <w:szCs w:val="24"/>
        </w:rPr>
        <w:t>MFC</w:t>
      </w:r>
      <w:r w:rsidR="00384515" w:rsidRPr="00384515">
        <w:rPr>
          <w:rFonts w:ascii="Times New Roman" w:hAnsi="Times New Roman" w:cs="Times New Roman"/>
          <w:i/>
          <w:sz w:val="24"/>
          <w:szCs w:val="24"/>
          <w:vertAlign w:val="subscript"/>
        </w:rPr>
        <w:t>ITO</w:t>
      </w:r>
      <w:r w:rsidR="00384515">
        <w:rPr>
          <w:rFonts w:ascii="Times New Roman" w:hAnsi="Times New Roman" w:cs="Times New Roman"/>
          <w:i/>
          <w:sz w:val="24"/>
          <w:szCs w:val="24"/>
        </w:rPr>
        <w:t xml:space="preserve"> to the red line</w:t>
      </w:r>
      <w:r w:rsidR="002B4432">
        <w:rPr>
          <w:rFonts w:ascii="Times New Roman" w:hAnsi="Times New Roman" w:cs="Times New Roman"/>
          <w:i/>
          <w:sz w:val="24"/>
          <w:szCs w:val="24"/>
        </w:rPr>
        <w:t xml:space="preserve">. </w:t>
      </w:r>
      <w:r w:rsidR="00695D9F">
        <w:rPr>
          <w:rFonts w:ascii="Times New Roman" w:hAnsi="Times New Roman" w:cs="Times New Roman"/>
          <w:i/>
          <w:sz w:val="24"/>
          <w:szCs w:val="24"/>
        </w:rPr>
        <w:t xml:space="preserve">Current density refers to the projected surface area. </w:t>
      </w:r>
      <w:r w:rsidR="00F41CBD" w:rsidRPr="00384515">
        <w:rPr>
          <w:rFonts w:ascii="Times New Roman" w:hAnsi="Times New Roman" w:cs="Times New Roman"/>
          <w:i/>
          <w:sz w:val="24"/>
          <w:szCs w:val="24"/>
        </w:rPr>
        <w:t>Error bars correspond to the standard deviation of 6 replicates.</w:t>
      </w:r>
    </w:p>
    <w:p w14:paraId="1CB3FD8A" w14:textId="77777777" w:rsidR="00C058A1" w:rsidRPr="00384515" w:rsidRDefault="00C058A1" w:rsidP="00EF61BF">
      <w:pPr>
        <w:spacing w:line="360" w:lineRule="auto"/>
        <w:jc w:val="both"/>
        <w:rPr>
          <w:rFonts w:ascii="Times New Roman" w:hAnsi="Times New Roman" w:cs="Times New Roman"/>
          <w:i/>
          <w:sz w:val="24"/>
          <w:szCs w:val="24"/>
        </w:rPr>
      </w:pPr>
    </w:p>
    <w:p w14:paraId="2768617B" w14:textId="0C328993" w:rsidR="00DB5933" w:rsidRDefault="00F41CBD" w:rsidP="00384515">
      <w:pPr>
        <w:spacing w:line="360" w:lineRule="auto"/>
        <w:jc w:val="both"/>
        <w:rPr>
          <w:rFonts w:ascii="Times New Roman" w:hAnsi="Times New Roman" w:cs="Times New Roman"/>
          <w:i/>
          <w:sz w:val="24"/>
          <w:szCs w:val="24"/>
        </w:rPr>
      </w:pPr>
      <w:r w:rsidRPr="00384515">
        <w:rPr>
          <w:rFonts w:ascii="Times New Roman" w:hAnsi="Times New Roman" w:cs="Times New Roman"/>
          <w:i/>
          <w:sz w:val="24"/>
          <w:szCs w:val="24"/>
        </w:rPr>
        <w:t>.</w:t>
      </w:r>
    </w:p>
    <w:p w14:paraId="5E08E99B" w14:textId="7051B9BF" w:rsidR="00AB6CD2" w:rsidRDefault="000063D4" w:rsidP="000063D4">
      <w:pPr>
        <w:jc w:val="center"/>
      </w:pPr>
      <w:r>
        <w:rPr>
          <w:noProof/>
          <w:lang w:eastAsia="en-GB"/>
        </w:rPr>
        <w:drawing>
          <wp:inline distT="0" distB="0" distL="0" distR="0" wp14:anchorId="370EFE29" wp14:editId="59471A30">
            <wp:extent cx="3185160" cy="205837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08815" cy="2073659"/>
                    </a:xfrm>
                    <a:prstGeom prst="rect">
                      <a:avLst/>
                    </a:prstGeom>
                    <a:noFill/>
                  </pic:spPr>
                </pic:pic>
              </a:graphicData>
            </a:graphic>
          </wp:inline>
        </w:drawing>
      </w:r>
      <w:r>
        <w:rPr>
          <w:rFonts w:ascii="Times New Roman" w:hAnsi="Times New Roman" w:cs="Times New Roman"/>
          <w:i/>
          <w:noProof/>
          <w:sz w:val="24"/>
          <w:szCs w:val="24"/>
          <w:lang w:eastAsia="en-GB"/>
        </w:rPr>
        <w:drawing>
          <wp:inline distT="0" distB="0" distL="0" distR="0" wp14:anchorId="0A4FD9EA" wp14:editId="4193A638">
            <wp:extent cx="3286109" cy="2125980"/>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07337" cy="2139714"/>
                    </a:xfrm>
                    <a:prstGeom prst="rect">
                      <a:avLst/>
                    </a:prstGeom>
                    <a:noFill/>
                  </pic:spPr>
                </pic:pic>
              </a:graphicData>
            </a:graphic>
          </wp:inline>
        </w:drawing>
      </w:r>
      <w:r w:rsidR="00AB6CD2">
        <w:br w:type="textWrapping" w:clear="all"/>
      </w:r>
    </w:p>
    <w:p w14:paraId="3EC2A4BA" w14:textId="4AC90C6F" w:rsidR="00A03A12" w:rsidRDefault="00A03A12" w:rsidP="00AB6CD2"/>
    <w:p w14:paraId="15761500" w14:textId="3A9C69BD" w:rsidR="00AB6CD2" w:rsidRDefault="00FE3329" w:rsidP="00384515">
      <w:pPr>
        <w:spacing w:line="360" w:lineRule="auto"/>
        <w:jc w:val="both"/>
        <w:rPr>
          <w:rFonts w:ascii="Times New Roman" w:hAnsi="Times New Roman" w:cs="Times New Roman"/>
          <w:i/>
          <w:sz w:val="24"/>
          <w:szCs w:val="24"/>
        </w:rPr>
      </w:pPr>
      <w:r>
        <w:rPr>
          <w:rFonts w:ascii="Times New Roman" w:hAnsi="Times New Roman" w:cs="Times New Roman"/>
          <w:i/>
          <w:sz w:val="24"/>
          <w:szCs w:val="24"/>
        </w:rPr>
        <w:t>Figure S</w:t>
      </w:r>
      <w:r w:rsidR="00247FAE">
        <w:rPr>
          <w:rFonts w:ascii="Times New Roman" w:hAnsi="Times New Roman" w:cs="Times New Roman"/>
          <w:i/>
          <w:sz w:val="24"/>
          <w:szCs w:val="24"/>
        </w:rPr>
        <w:t>6</w:t>
      </w:r>
      <w:r>
        <w:rPr>
          <w:rFonts w:ascii="Times New Roman" w:hAnsi="Times New Roman" w:cs="Times New Roman"/>
          <w:i/>
          <w:sz w:val="24"/>
          <w:szCs w:val="24"/>
        </w:rPr>
        <w:t>.</w:t>
      </w:r>
      <w:r w:rsidR="00AB6CD2">
        <w:rPr>
          <w:rFonts w:ascii="Times New Roman" w:hAnsi="Times New Roman" w:cs="Times New Roman"/>
          <w:i/>
          <w:sz w:val="24"/>
          <w:szCs w:val="24"/>
        </w:rPr>
        <w:t xml:space="preserve"> </w:t>
      </w:r>
      <w:r>
        <w:rPr>
          <w:rFonts w:ascii="Times New Roman" w:hAnsi="Times New Roman" w:cs="Times New Roman"/>
          <w:i/>
          <w:sz w:val="24"/>
          <w:szCs w:val="24"/>
        </w:rPr>
        <w:t xml:space="preserve">Values of </w:t>
      </w:r>
      <w:r w:rsidR="00A03A12">
        <w:rPr>
          <w:rFonts w:ascii="Times New Roman" w:hAnsi="Times New Roman" w:cs="Times New Roman"/>
          <w:i/>
          <w:sz w:val="24"/>
          <w:szCs w:val="24"/>
        </w:rPr>
        <w:t>pH</w:t>
      </w:r>
      <w:r w:rsidR="00AB6CD2">
        <w:rPr>
          <w:rFonts w:ascii="Times New Roman" w:hAnsi="Times New Roman" w:cs="Times New Roman"/>
          <w:i/>
          <w:sz w:val="24"/>
          <w:szCs w:val="24"/>
        </w:rPr>
        <w:t xml:space="preserve"> </w:t>
      </w:r>
      <w:r w:rsidR="00A03A12">
        <w:rPr>
          <w:rFonts w:ascii="Times New Roman" w:hAnsi="Times New Roman" w:cs="Times New Roman"/>
          <w:i/>
          <w:sz w:val="24"/>
          <w:szCs w:val="24"/>
        </w:rPr>
        <w:t>and dissolved oxygen</w:t>
      </w:r>
      <w:r w:rsidR="00AB6CD2">
        <w:rPr>
          <w:rFonts w:ascii="Times New Roman" w:hAnsi="Times New Roman" w:cs="Times New Roman"/>
          <w:i/>
          <w:sz w:val="24"/>
          <w:szCs w:val="24"/>
        </w:rPr>
        <w:t xml:space="preserve"> evolution</w:t>
      </w:r>
      <w:r w:rsidR="00215624">
        <w:rPr>
          <w:rFonts w:ascii="Times New Roman" w:hAnsi="Times New Roman" w:cs="Times New Roman"/>
          <w:i/>
          <w:sz w:val="24"/>
          <w:szCs w:val="24"/>
        </w:rPr>
        <w:t xml:space="preserve"> in the catholyte </w:t>
      </w:r>
      <w:r>
        <w:rPr>
          <w:rFonts w:ascii="Times New Roman" w:hAnsi="Times New Roman" w:cs="Times New Roman"/>
          <w:i/>
          <w:sz w:val="24"/>
          <w:szCs w:val="24"/>
        </w:rPr>
        <w:t>during</w:t>
      </w:r>
      <w:r w:rsidR="00215624">
        <w:rPr>
          <w:rFonts w:ascii="Times New Roman" w:hAnsi="Times New Roman" w:cs="Times New Roman"/>
          <w:i/>
          <w:sz w:val="24"/>
          <w:szCs w:val="24"/>
        </w:rPr>
        <w:t xml:space="preserve"> the</w:t>
      </w:r>
      <w:r>
        <w:rPr>
          <w:rFonts w:ascii="Times New Roman" w:hAnsi="Times New Roman" w:cs="Times New Roman"/>
          <w:i/>
          <w:sz w:val="24"/>
          <w:szCs w:val="24"/>
        </w:rPr>
        <w:t xml:space="preserve"> start up</w:t>
      </w:r>
      <w:r w:rsidR="00215624">
        <w:rPr>
          <w:rFonts w:ascii="Times New Roman" w:hAnsi="Times New Roman" w:cs="Times New Roman"/>
          <w:i/>
          <w:sz w:val="24"/>
          <w:szCs w:val="24"/>
        </w:rPr>
        <w:t xml:space="preserve">. The </w:t>
      </w:r>
      <w:r w:rsidR="00A03A12">
        <w:rPr>
          <w:rFonts w:ascii="Times New Roman" w:hAnsi="Times New Roman" w:cs="Times New Roman"/>
          <w:i/>
          <w:sz w:val="24"/>
          <w:szCs w:val="24"/>
        </w:rPr>
        <w:t xml:space="preserve">control </w:t>
      </w:r>
      <w:r w:rsidR="00215624">
        <w:rPr>
          <w:rFonts w:ascii="Times New Roman" w:hAnsi="Times New Roman" w:cs="Times New Roman"/>
          <w:i/>
          <w:sz w:val="24"/>
          <w:szCs w:val="24"/>
        </w:rPr>
        <w:t>refers to a beaker with the catholyte solution only without the</w:t>
      </w:r>
      <w:r w:rsidR="00A03A12">
        <w:rPr>
          <w:rFonts w:ascii="Times New Roman" w:hAnsi="Times New Roman" w:cs="Times New Roman"/>
          <w:i/>
          <w:sz w:val="24"/>
          <w:szCs w:val="24"/>
        </w:rPr>
        <w:t xml:space="preserve"> </w:t>
      </w:r>
      <w:r w:rsidR="00215624">
        <w:rPr>
          <w:rFonts w:ascii="Times New Roman" w:hAnsi="Times New Roman" w:cs="Times New Roman"/>
          <w:i/>
          <w:sz w:val="24"/>
          <w:szCs w:val="24"/>
        </w:rPr>
        <w:t>cathode, so that no electr</w:t>
      </w:r>
      <w:r w:rsidR="00247FAE">
        <w:rPr>
          <w:rFonts w:ascii="Times New Roman" w:hAnsi="Times New Roman" w:cs="Times New Roman"/>
          <w:i/>
          <w:sz w:val="24"/>
          <w:szCs w:val="24"/>
        </w:rPr>
        <w:t>ochemical reactions would occur</w:t>
      </w:r>
      <w:r w:rsidR="00A03A12">
        <w:rPr>
          <w:rFonts w:ascii="Times New Roman" w:hAnsi="Times New Roman" w:cs="Times New Roman"/>
          <w:i/>
          <w:sz w:val="24"/>
          <w:szCs w:val="24"/>
        </w:rPr>
        <w:t xml:space="preserve">. </w:t>
      </w:r>
      <w:r w:rsidR="00215624">
        <w:rPr>
          <w:rFonts w:ascii="Times New Roman" w:hAnsi="Times New Roman" w:cs="Times New Roman"/>
          <w:i/>
          <w:sz w:val="24"/>
          <w:szCs w:val="24"/>
        </w:rPr>
        <w:t xml:space="preserve">In each case, the same starting algal solution was </w:t>
      </w:r>
      <w:r w:rsidR="00A03A12">
        <w:rPr>
          <w:rFonts w:ascii="Times New Roman" w:hAnsi="Times New Roman" w:cs="Times New Roman"/>
          <w:i/>
          <w:sz w:val="24"/>
          <w:szCs w:val="24"/>
        </w:rPr>
        <w:t xml:space="preserve"> </w:t>
      </w:r>
      <w:r w:rsidR="00215624">
        <w:rPr>
          <w:rFonts w:ascii="Times New Roman" w:hAnsi="Times New Roman" w:cs="Times New Roman"/>
          <w:i/>
          <w:sz w:val="24"/>
          <w:szCs w:val="24"/>
        </w:rPr>
        <w:t>used as described in the Methods Section</w:t>
      </w:r>
      <w:r w:rsidR="00A03A12">
        <w:rPr>
          <w:rFonts w:ascii="Times New Roman" w:hAnsi="Times New Roman" w:cs="Times New Roman"/>
          <w:i/>
          <w:sz w:val="24"/>
          <w:szCs w:val="24"/>
        </w:rPr>
        <w:t>.</w:t>
      </w:r>
    </w:p>
    <w:p w14:paraId="57E5C96F" w14:textId="77777777" w:rsidR="00247FAE" w:rsidRDefault="00247FAE" w:rsidP="00247FAE">
      <w:pPr>
        <w:jc w:val="center"/>
      </w:pPr>
      <w:r w:rsidRPr="00752561">
        <w:rPr>
          <w:noProof/>
          <w:lang w:eastAsia="en-GB"/>
        </w:rPr>
        <w:drawing>
          <wp:inline distT="0" distB="0" distL="0" distR="0" wp14:anchorId="748B1F3B" wp14:editId="183A0356">
            <wp:extent cx="4124325" cy="315470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30959" cy="3159777"/>
                    </a:xfrm>
                    <a:prstGeom prst="rect">
                      <a:avLst/>
                    </a:prstGeom>
                    <a:noFill/>
                    <a:ln>
                      <a:noFill/>
                    </a:ln>
                  </pic:spPr>
                </pic:pic>
              </a:graphicData>
            </a:graphic>
          </wp:inline>
        </w:drawing>
      </w:r>
    </w:p>
    <w:p w14:paraId="362F83F3" w14:textId="5EB47D74" w:rsidR="00247FAE" w:rsidRDefault="00247FAE" w:rsidP="00247FAE">
      <w:pPr>
        <w:spacing w:line="360" w:lineRule="auto"/>
        <w:jc w:val="both"/>
        <w:rPr>
          <w:rFonts w:ascii="Times New Roman" w:hAnsi="Times New Roman" w:cs="Times New Roman"/>
          <w:i/>
          <w:sz w:val="24"/>
          <w:szCs w:val="24"/>
        </w:rPr>
      </w:pPr>
      <w:r w:rsidRPr="00384515">
        <w:rPr>
          <w:rFonts w:ascii="Times New Roman" w:hAnsi="Times New Roman" w:cs="Times New Roman"/>
          <w:i/>
          <w:sz w:val="24"/>
          <w:szCs w:val="24"/>
        </w:rPr>
        <w:t>Figure S</w:t>
      </w:r>
      <w:r>
        <w:rPr>
          <w:rFonts w:ascii="Times New Roman" w:hAnsi="Times New Roman" w:cs="Times New Roman"/>
          <w:i/>
          <w:sz w:val="24"/>
          <w:szCs w:val="24"/>
        </w:rPr>
        <w:t>7</w:t>
      </w:r>
      <w:r w:rsidRPr="00384515">
        <w:rPr>
          <w:rFonts w:ascii="Times New Roman" w:hAnsi="Times New Roman" w:cs="Times New Roman"/>
          <w:i/>
          <w:sz w:val="24"/>
          <w:szCs w:val="24"/>
        </w:rPr>
        <w:t>. Power</w:t>
      </w:r>
      <w:r>
        <w:rPr>
          <w:rFonts w:ascii="Times New Roman" w:hAnsi="Times New Roman" w:cs="Times New Roman"/>
          <w:i/>
          <w:sz w:val="24"/>
          <w:szCs w:val="24"/>
        </w:rPr>
        <w:t xml:space="preserve"> density curves of the p-MFC</w:t>
      </w:r>
      <w:r w:rsidRPr="00384515">
        <w:rPr>
          <w:rFonts w:ascii="Times New Roman" w:hAnsi="Times New Roman" w:cs="Times New Roman"/>
          <w:i/>
          <w:sz w:val="24"/>
          <w:szCs w:val="24"/>
          <w:vertAlign w:val="subscript"/>
        </w:rPr>
        <w:t>GF</w:t>
      </w:r>
      <w:r>
        <w:rPr>
          <w:rFonts w:ascii="Times New Roman" w:hAnsi="Times New Roman" w:cs="Times New Roman"/>
          <w:i/>
          <w:sz w:val="24"/>
          <w:szCs w:val="24"/>
        </w:rPr>
        <w:t xml:space="preserve"> (black) and p-MFC</w:t>
      </w:r>
      <w:r w:rsidRPr="00384515">
        <w:rPr>
          <w:rFonts w:ascii="Times New Roman" w:hAnsi="Times New Roman" w:cs="Times New Roman"/>
          <w:i/>
          <w:sz w:val="24"/>
          <w:szCs w:val="24"/>
          <w:vertAlign w:val="subscript"/>
        </w:rPr>
        <w:t>ITO</w:t>
      </w:r>
      <w:r>
        <w:rPr>
          <w:rFonts w:ascii="Times New Roman" w:hAnsi="Times New Roman" w:cs="Times New Roman"/>
          <w:i/>
          <w:sz w:val="24"/>
          <w:szCs w:val="24"/>
        </w:rPr>
        <w:t xml:space="preserve"> (grey). Data points are the a</w:t>
      </w:r>
      <w:r w:rsidRPr="00384515">
        <w:rPr>
          <w:rFonts w:ascii="Times New Roman" w:hAnsi="Times New Roman" w:cs="Times New Roman"/>
          <w:i/>
          <w:sz w:val="24"/>
          <w:szCs w:val="24"/>
        </w:rPr>
        <w:t>verage of two replicates. The power curve corresponds to the</w:t>
      </w:r>
      <w:r>
        <w:rPr>
          <w:rFonts w:ascii="Times New Roman" w:hAnsi="Times New Roman" w:cs="Times New Roman"/>
          <w:i/>
          <w:sz w:val="24"/>
          <w:szCs w:val="24"/>
        </w:rPr>
        <w:t xml:space="preserve"> polarisation curves on Figure 2.</w:t>
      </w:r>
    </w:p>
    <w:p w14:paraId="10CB153E" w14:textId="77777777" w:rsidR="00695D9F" w:rsidRDefault="00695D9F" w:rsidP="00384515">
      <w:pPr>
        <w:spacing w:line="360" w:lineRule="auto"/>
        <w:jc w:val="both"/>
        <w:rPr>
          <w:rFonts w:ascii="Times New Roman" w:hAnsi="Times New Roman" w:cs="Times New Roman"/>
          <w:i/>
          <w:sz w:val="24"/>
          <w:szCs w:val="24"/>
        </w:rPr>
      </w:pPr>
    </w:p>
    <w:p w14:paraId="21373299" w14:textId="77777777" w:rsidR="002651B5" w:rsidRPr="009668A4" w:rsidRDefault="002651B5" w:rsidP="002651B5">
      <w:pPr>
        <w:spacing w:line="480" w:lineRule="auto"/>
        <w:jc w:val="center"/>
        <w:rPr>
          <w:rFonts w:ascii="Times New Roman" w:hAnsi="Times New Roman" w:cs="Times New Roman"/>
          <w:sz w:val="24"/>
          <w:szCs w:val="24"/>
        </w:rPr>
      </w:pPr>
      <w:r w:rsidRPr="00115437">
        <w:rPr>
          <w:noProof/>
          <w:lang w:eastAsia="en-GB"/>
        </w:rPr>
        <w:drawing>
          <wp:inline distT="0" distB="0" distL="0" distR="0" wp14:anchorId="65BED23F" wp14:editId="23BF525D">
            <wp:extent cx="4333875" cy="266974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35412" cy="2670696"/>
                    </a:xfrm>
                    <a:prstGeom prst="rect">
                      <a:avLst/>
                    </a:prstGeom>
                    <a:noFill/>
                    <a:ln>
                      <a:noFill/>
                    </a:ln>
                  </pic:spPr>
                </pic:pic>
              </a:graphicData>
            </a:graphic>
          </wp:inline>
        </w:drawing>
      </w:r>
    </w:p>
    <w:p w14:paraId="077F3037" w14:textId="34945F40" w:rsidR="00AB6CD2" w:rsidRPr="00384515" w:rsidRDefault="002651B5" w:rsidP="002651B5">
      <w:pPr>
        <w:spacing w:line="360" w:lineRule="auto"/>
        <w:jc w:val="both"/>
        <w:rPr>
          <w:rFonts w:ascii="Times New Roman" w:hAnsi="Times New Roman" w:cs="Times New Roman"/>
          <w:i/>
          <w:sz w:val="24"/>
          <w:szCs w:val="24"/>
        </w:rPr>
      </w:pPr>
      <w:r w:rsidRPr="009668A4">
        <w:rPr>
          <w:rFonts w:ascii="Times New Roman" w:hAnsi="Times New Roman" w:cs="Times New Roman"/>
          <w:i/>
          <w:sz w:val="24"/>
          <w:szCs w:val="24"/>
        </w:rPr>
        <w:t xml:space="preserve">Figure </w:t>
      </w:r>
      <w:r>
        <w:rPr>
          <w:rFonts w:ascii="Times New Roman" w:hAnsi="Times New Roman" w:cs="Times New Roman"/>
          <w:i/>
          <w:sz w:val="24"/>
          <w:szCs w:val="24"/>
        </w:rPr>
        <w:t>S</w:t>
      </w:r>
      <w:r w:rsidR="00695D9F">
        <w:rPr>
          <w:rFonts w:ascii="Times New Roman" w:hAnsi="Times New Roman" w:cs="Times New Roman"/>
          <w:i/>
          <w:sz w:val="24"/>
          <w:szCs w:val="24"/>
        </w:rPr>
        <w:t>8</w:t>
      </w:r>
      <w:r w:rsidRPr="009668A4">
        <w:rPr>
          <w:rFonts w:ascii="Times New Roman" w:hAnsi="Times New Roman" w:cs="Times New Roman"/>
          <w:i/>
          <w:sz w:val="24"/>
          <w:szCs w:val="24"/>
        </w:rPr>
        <w:t xml:space="preserve">. SEM images of the electrodes at 10 kW x1000 magnification. A and B refer to </w:t>
      </w:r>
      <w:r w:rsidRPr="009668A4">
        <w:rPr>
          <w:rFonts w:ascii="Times New Roman" w:hAnsi="Times New Roman" w:cs="Times New Roman"/>
          <w:sz w:val="24"/>
          <w:szCs w:val="24"/>
        </w:rPr>
        <w:t>p-MFC</w:t>
      </w:r>
      <w:r w:rsidRPr="009668A4">
        <w:rPr>
          <w:rFonts w:ascii="Times New Roman" w:hAnsi="Times New Roman" w:cs="Times New Roman"/>
          <w:sz w:val="24"/>
          <w:szCs w:val="24"/>
          <w:vertAlign w:val="subscript"/>
        </w:rPr>
        <w:t>GF</w:t>
      </w:r>
      <w:r w:rsidRPr="009668A4">
        <w:rPr>
          <w:rFonts w:ascii="Times New Roman" w:hAnsi="Times New Roman" w:cs="Times New Roman"/>
          <w:i/>
          <w:sz w:val="24"/>
          <w:szCs w:val="24"/>
        </w:rPr>
        <w:t xml:space="preserve"> and </w:t>
      </w:r>
      <w:r w:rsidRPr="009668A4">
        <w:rPr>
          <w:rFonts w:ascii="Times New Roman" w:hAnsi="Times New Roman" w:cs="Times New Roman"/>
          <w:sz w:val="24"/>
          <w:szCs w:val="24"/>
        </w:rPr>
        <w:t>p-MFC</w:t>
      </w:r>
      <w:r w:rsidRPr="009668A4">
        <w:rPr>
          <w:rFonts w:ascii="Times New Roman" w:hAnsi="Times New Roman" w:cs="Times New Roman"/>
          <w:sz w:val="24"/>
          <w:szCs w:val="24"/>
          <w:vertAlign w:val="subscript"/>
        </w:rPr>
        <w:t>ITO</w:t>
      </w:r>
      <w:r w:rsidRPr="009668A4">
        <w:rPr>
          <w:rFonts w:ascii="Times New Roman" w:hAnsi="Times New Roman" w:cs="Times New Roman"/>
          <w:i/>
          <w:sz w:val="24"/>
          <w:szCs w:val="24"/>
        </w:rPr>
        <w:t xml:space="preserve"> not exposed to atrazine. C and D refer to </w:t>
      </w:r>
      <w:r w:rsidRPr="009668A4">
        <w:rPr>
          <w:rFonts w:ascii="Times New Roman" w:hAnsi="Times New Roman" w:cs="Times New Roman"/>
          <w:sz w:val="24"/>
          <w:szCs w:val="24"/>
        </w:rPr>
        <w:t>p-MFC</w:t>
      </w:r>
      <w:r w:rsidRPr="009668A4">
        <w:rPr>
          <w:rFonts w:ascii="Times New Roman" w:hAnsi="Times New Roman" w:cs="Times New Roman"/>
          <w:sz w:val="24"/>
          <w:szCs w:val="24"/>
          <w:vertAlign w:val="subscript"/>
        </w:rPr>
        <w:t>GF</w:t>
      </w:r>
      <w:r w:rsidRPr="009668A4">
        <w:rPr>
          <w:rFonts w:ascii="Times New Roman" w:hAnsi="Times New Roman" w:cs="Times New Roman"/>
          <w:i/>
          <w:sz w:val="24"/>
          <w:szCs w:val="24"/>
        </w:rPr>
        <w:t xml:space="preserve"> and </w:t>
      </w:r>
      <w:r w:rsidRPr="009668A4">
        <w:rPr>
          <w:rFonts w:ascii="Times New Roman" w:hAnsi="Times New Roman" w:cs="Times New Roman"/>
          <w:sz w:val="24"/>
          <w:szCs w:val="24"/>
        </w:rPr>
        <w:t>p-MFC</w:t>
      </w:r>
      <w:r w:rsidRPr="009668A4">
        <w:rPr>
          <w:rFonts w:ascii="Times New Roman" w:hAnsi="Times New Roman" w:cs="Times New Roman"/>
          <w:sz w:val="24"/>
          <w:szCs w:val="24"/>
          <w:vertAlign w:val="subscript"/>
        </w:rPr>
        <w:t>ITO</w:t>
      </w:r>
      <w:r w:rsidRPr="009668A4">
        <w:rPr>
          <w:rFonts w:ascii="Times New Roman" w:hAnsi="Times New Roman" w:cs="Times New Roman"/>
          <w:i/>
          <w:sz w:val="24"/>
          <w:szCs w:val="24"/>
        </w:rPr>
        <w:t xml:space="preserve"> exposed to atrazine. The images were taken after three months of operation and one month after the first exposure to atrazine</w:t>
      </w:r>
      <w:r w:rsidR="00B51982">
        <w:rPr>
          <w:rFonts w:ascii="Times New Roman" w:hAnsi="Times New Roman" w:cs="Times New Roman"/>
          <w:i/>
          <w:sz w:val="24"/>
          <w:szCs w:val="24"/>
        </w:rPr>
        <w:t>.</w:t>
      </w:r>
    </w:p>
    <w:p w14:paraId="6A706F6B" w14:textId="77777777" w:rsidR="00DB5933" w:rsidRDefault="00DB5933"/>
    <w:p w14:paraId="766F3D80" w14:textId="77777777" w:rsidR="00275595" w:rsidRDefault="00275595" w:rsidP="00384515">
      <w:pPr>
        <w:jc w:val="center"/>
      </w:pPr>
      <w:r>
        <w:rPr>
          <w:noProof/>
          <w:lang w:eastAsia="en-GB"/>
        </w:rPr>
        <w:drawing>
          <wp:inline distT="0" distB="0" distL="0" distR="0" wp14:anchorId="431D07BF" wp14:editId="45FA9724">
            <wp:extent cx="4119563" cy="236727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28644" cy="2372494"/>
                    </a:xfrm>
                    <a:prstGeom prst="rect">
                      <a:avLst/>
                    </a:prstGeom>
                    <a:noFill/>
                  </pic:spPr>
                </pic:pic>
              </a:graphicData>
            </a:graphic>
          </wp:inline>
        </w:drawing>
      </w:r>
    </w:p>
    <w:p w14:paraId="24974B57" w14:textId="2F28D9E2" w:rsidR="00C76C41" w:rsidRDefault="00EF29A0" w:rsidP="00384515">
      <w:pPr>
        <w:spacing w:line="360" w:lineRule="auto"/>
        <w:jc w:val="both"/>
        <w:rPr>
          <w:rFonts w:ascii="Times New Roman" w:hAnsi="Times New Roman" w:cs="Times New Roman"/>
          <w:i/>
          <w:sz w:val="24"/>
        </w:rPr>
      </w:pPr>
      <w:r w:rsidRPr="00384515">
        <w:rPr>
          <w:rFonts w:ascii="Times New Roman" w:hAnsi="Times New Roman" w:cs="Times New Roman"/>
          <w:i/>
          <w:sz w:val="24"/>
        </w:rPr>
        <w:t xml:space="preserve">Figure </w:t>
      </w:r>
      <w:r w:rsidR="002651B5">
        <w:rPr>
          <w:rFonts w:ascii="Times New Roman" w:hAnsi="Times New Roman" w:cs="Times New Roman"/>
          <w:i/>
          <w:sz w:val="24"/>
        </w:rPr>
        <w:t>S</w:t>
      </w:r>
      <w:r w:rsidR="00695D9F">
        <w:rPr>
          <w:rFonts w:ascii="Times New Roman" w:hAnsi="Times New Roman" w:cs="Times New Roman"/>
          <w:i/>
          <w:sz w:val="24"/>
        </w:rPr>
        <w:t>9</w:t>
      </w:r>
      <w:r w:rsidR="00C76C41" w:rsidRPr="00384515">
        <w:rPr>
          <w:rFonts w:ascii="Times New Roman" w:hAnsi="Times New Roman" w:cs="Times New Roman"/>
          <w:i/>
          <w:sz w:val="24"/>
        </w:rPr>
        <w:t>. Cyclic voltammetry of the colonised cathodes at a scan rate of 1 mV s</w:t>
      </w:r>
      <w:r w:rsidR="00C76C41" w:rsidRPr="00384515">
        <w:rPr>
          <w:rFonts w:ascii="Times New Roman" w:hAnsi="Times New Roman" w:cs="Times New Roman"/>
          <w:i/>
          <w:sz w:val="24"/>
          <w:vertAlign w:val="superscript"/>
        </w:rPr>
        <w:t>-1</w:t>
      </w:r>
      <w:r w:rsidR="00EF61BF">
        <w:rPr>
          <w:rFonts w:ascii="Times New Roman" w:hAnsi="Times New Roman" w:cs="Times New Roman"/>
          <w:i/>
          <w:sz w:val="24"/>
        </w:rPr>
        <w:t xml:space="preserve"> vs. Ag/AgCl, under light. </w:t>
      </w:r>
      <w:r w:rsidR="00C76C41" w:rsidRPr="00384515">
        <w:rPr>
          <w:rFonts w:ascii="Times New Roman" w:hAnsi="Times New Roman" w:cs="Times New Roman"/>
          <w:i/>
          <w:sz w:val="24"/>
        </w:rPr>
        <w:t xml:space="preserve">The curves are the third scan, representative of two replicates. </w:t>
      </w:r>
      <w:r w:rsidR="00384515">
        <w:rPr>
          <w:rFonts w:ascii="Times New Roman" w:hAnsi="Times New Roman" w:cs="Times New Roman"/>
          <w:i/>
          <w:sz w:val="24"/>
        </w:rPr>
        <w:t xml:space="preserve">Dissolved oxygen concentrations </w:t>
      </w:r>
      <w:r w:rsidR="00EF61BF">
        <w:rPr>
          <w:rFonts w:ascii="Times New Roman" w:hAnsi="Times New Roman" w:cs="Times New Roman"/>
          <w:i/>
          <w:sz w:val="24"/>
        </w:rPr>
        <w:t xml:space="preserve">of the electrolyte </w:t>
      </w:r>
      <w:r w:rsidR="00384515">
        <w:rPr>
          <w:rFonts w:ascii="Times New Roman" w:hAnsi="Times New Roman" w:cs="Times New Roman"/>
          <w:i/>
          <w:sz w:val="24"/>
        </w:rPr>
        <w:t>are similar in both cases, around 10 mg L</w:t>
      </w:r>
      <w:r w:rsidR="00384515" w:rsidRPr="00384515">
        <w:rPr>
          <w:rFonts w:ascii="Times New Roman" w:hAnsi="Times New Roman" w:cs="Times New Roman"/>
          <w:i/>
          <w:sz w:val="24"/>
          <w:vertAlign w:val="superscript"/>
        </w:rPr>
        <w:t>-1</w:t>
      </w:r>
      <w:r w:rsidR="00384515">
        <w:rPr>
          <w:rFonts w:ascii="Times New Roman" w:hAnsi="Times New Roman" w:cs="Times New Roman"/>
          <w:i/>
          <w:sz w:val="24"/>
        </w:rPr>
        <w:t>.</w:t>
      </w:r>
    </w:p>
    <w:p w14:paraId="049B8508" w14:textId="38F266C8" w:rsidR="0006414C" w:rsidRPr="009668A4" w:rsidRDefault="0006414C" w:rsidP="0006414C">
      <w:pPr>
        <w:spacing w:line="480" w:lineRule="auto"/>
        <w:jc w:val="center"/>
        <w:rPr>
          <w:rFonts w:ascii="Times New Roman" w:hAnsi="Times New Roman" w:cs="Times New Roman"/>
          <w:i/>
          <w:sz w:val="24"/>
          <w:szCs w:val="24"/>
        </w:rPr>
      </w:pPr>
      <w:r w:rsidRPr="009668A4">
        <w:rPr>
          <w:rFonts w:ascii="Times New Roman" w:hAnsi="Times New Roman" w:cs="Times New Roman"/>
          <w:i/>
          <w:sz w:val="24"/>
          <w:szCs w:val="24"/>
        </w:rPr>
        <w:t xml:space="preserve">. </w:t>
      </w:r>
    </w:p>
    <w:p w14:paraId="5B321B8D" w14:textId="77777777" w:rsidR="00C76C41" w:rsidRDefault="00653298">
      <w:r w:rsidRPr="00653298">
        <w:rPr>
          <w:noProof/>
          <w:lang w:eastAsia="en-GB"/>
        </w:rPr>
        <w:drawing>
          <wp:inline distT="0" distB="0" distL="0" distR="0" wp14:anchorId="7A1A965A" wp14:editId="10920113">
            <wp:extent cx="4676775" cy="3459283"/>
            <wp:effectExtent l="0" t="0" r="0" b="8255"/>
            <wp:docPr id="14" name="Picture 14" descr="C:\Users\dg568\Desktop\Paper Cathode DC\Graphs\Final\0.1 ugL-1 sup info GF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g568\Desktop\Paper Cathode DC\Graphs\Final\0.1 ugL-1 sup info GF1.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87180" cy="3466979"/>
                    </a:xfrm>
                    <a:prstGeom prst="rect">
                      <a:avLst/>
                    </a:prstGeom>
                    <a:noFill/>
                    <a:ln>
                      <a:noFill/>
                    </a:ln>
                  </pic:spPr>
                </pic:pic>
              </a:graphicData>
            </a:graphic>
          </wp:inline>
        </w:drawing>
      </w:r>
    </w:p>
    <w:p w14:paraId="2C57CCFC" w14:textId="77777777" w:rsidR="00653298" w:rsidRPr="00EF61BF" w:rsidRDefault="00653298" w:rsidP="00EF61BF">
      <w:pPr>
        <w:jc w:val="center"/>
        <w:rPr>
          <w:rFonts w:ascii="Times New Roman" w:hAnsi="Times New Roman" w:cs="Times New Roman"/>
          <w:sz w:val="24"/>
        </w:rPr>
      </w:pPr>
    </w:p>
    <w:p w14:paraId="3F5FB471" w14:textId="005FDDE1" w:rsidR="006A4AD6" w:rsidRDefault="002651B5" w:rsidP="00EF61BF">
      <w:pPr>
        <w:spacing w:line="360" w:lineRule="auto"/>
        <w:jc w:val="both"/>
        <w:rPr>
          <w:rFonts w:ascii="Times New Roman" w:hAnsi="Times New Roman" w:cs="Times New Roman"/>
          <w:i/>
          <w:sz w:val="24"/>
        </w:rPr>
      </w:pPr>
      <w:r>
        <w:rPr>
          <w:rFonts w:ascii="Times New Roman" w:hAnsi="Times New Roman" w:cs="Times New Roman"/>
          <w:i/>
          <w:sz w:val="24"/>
        </w:rPr>
        <w:t>Figure S1</w:t>
      </w:r>
      <w:r w:rsidR="00695D9F">
        <w:rPr>
          <w:rFonts w:ascii="Times New Roman" w:hAnsi="Times New Roman" w:cs="Times New Roman"/>
          <w:i/>
          <w:sz w:val="24"/>
        </w:rPr>
        <w:t>0</w:t>
      </w:r>
      <w:r w:rsidR="00F41CBD" w:rsidRPr="00EF61BF">
        <w:rPr>
          <w:rFonts w:ascii="Times New Roman" w:hAnsi="Times New Roman" w:cs="Times New Roman"/>
          <w:i/>
          <w:sz w:val="24"/>
        </w:rPr>
        <w:t>. Linear fitting</w:t>
      </w:r>
      <w:r w:rsidR="005D3FA1" w:rsidRPr="00EF61BF">
        <w:rPr>
          <w:rFonts w:ascii="Times New Roman" w:hAnsi="Times New Roman" w:cs="Times New Roman"/>
          <w:i/>
          <w:sz w:val="24"/>
        </w:rPr>
        <w:t xml:space="preserve"> of cathodic DO with </w:t>
      </w:r>
      <w:r w:rsidR="00F41CBD" w:rsidRPr="00EF61BF">
        <w:rPr>
          <w:rFonts w:ascii="Times New Roman" w:hAnsi="Times New Roman" w:cs="Times New Roman"/>
          <w:i/>
          <w:sz w:val="24"/>
        </w:rPr>
        <w:t>current</w:t>
      </w:r>
      <w:r w:rsidR="005D3FA1" w:rsidRPr="00EF61BF">
        <w:rPr>
          <w:rFonts w:ascii="Times New Roman" w:hAnsi="Times New Roman" w:cs="Times New Roman"/>
          <w:i/>
          <w:sz w:val="24"/>
        </w:rPr>
        <w:t xml:space="preserve"> for p</w:t>
      </w:r>
      <w:r w:rsidR="00A44187">
        <w:rPr>
          <w:rFonts w:ascii="Times New Roman" w:hAnsi="Times New Roman" w:cs="Times New Roman"/>
          <w:i/>
          <w:sz w:val="24"/>
        </w:rPr>
        <w:t>-</w:t>
      </w:r>
      <w:r w:rsidR="005D3FA1" w:rsidRPr="00EF61BF">
        <w:rPr>
          <w:rFonts w:ascii="Times New Roman" w:hAnsi="Times New Roman" w:cs="Times New Roman"/>
          <w:i/>
          <w:sz w:val="24"/>
        </w:rPr>
        <w:t>MFC</w:t>
      </w:r>
      <w:r w:rsidR="005D3FA1" w:rsidRPr="00EF61BF">
        <w:rPr>
          <w:rFonts w:ascii="Times New Roman" w:hAnsi="Times New Roman" w:cs="Times New Roman"/>
          <w:i/>
          <w:sz w:val="24"/>
          <w:vertAlign w:val="subscript"/>
        </w:rPr>
        <w:t>GF</w:t>
      </w:r>
      <w:r w:rsidR="00F41CBD" w:rsidRPr="00EF61BF">
        <w:rPr>
          <w:rFonts w:ascii="Times New Roman" w:hAnsi="Times New Roman" w:cs="Times New Roman"/>
          <w:i/>
          <w:sz w:val="24"/>
        </w:rPr>
        <w:t xml:space="preserve"> on a 12h light cycle.</w:t>
      </w:r>
      <w:r w:rsidR="00EF61BF">
        <w:rPr>
          <w:rFonts w:ascii="Times New Roman" w:hAnsi="Times New Roman" w:cs="Times New Roman"/>
          <w:i/>
          <w:sz w:val="24"/>
        </w:rPr>
        <w:t xml:space="preserve"> The analysis was performed with OriginPro 9.</w:t>
      </w:r>
    </w:p>
    <w:p w14:paraId="19BBF897" w14:textId="2B6D2CD3" w:rsidR="00EF61BF" w:rsidRPr="00EF61BF" w:rsidRDefault="00EF61BF" w:rsidP="00EF61BF">
      <w:pPr>
        <w:spacing w:line="360" w:lineRule="auto"/>
        <w:jc w:val="center"/>
        <w:rPr>
          <w:rFonts w:ascii="Times New Roman" w:hAnsi="Times New Roman" w:cs="Times New Roman"/>
          <w:i/>
          <w:sz w:val="24"/>
        </w:rPr>
      </w:pPr>
    </w:p>
    <w:p w14:paraId="4A65C202" w14:textId="376518EF" w:rsidR="00266C32" w:rsidRPr="00A03A12" w:rsidRDefault="00695D9F" w:rsidP="001D6BEB">
      <w:pPr>
        <w:spacing w:line="360" w:lineRule="auto"/>
        <w:jc w:val="center"/>
        <w:rPr>
          <w:rFonts w:ascii="Times New Roman" w:hAnsi="Times New Roman" w:cs="Times New Roman"/>
          <w:i/>
          <w:sz w:val="24"/>
        </w:rPr>
      </w:pPr>
      <w:r>
        <w:rPr>
          <w:rFonts w:ascii="Times New Roman" w:hAnsi="Times New Roman" w:cs="Times New Roman"/>
          <w:i/>
          <w:noProof/>
          <w:sz w:val="24"/>
          <w:lang w:eastAsia="en-GB"/>
        </w:rPr>
        <w:drawing>
          <wp:inline distT="0" distB="0" distL="0" distR="0" wp14:anchorId="3C7A5746" wp14:editId="52E5693B">
            <wp:extent cx="3967163" cy="2695831"/>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l="12181" r="17186" b="4010"/>
                    <a:stretch/>
                  </pic:blipFill>
                  <pic:spPr bwMode="auto">
                    <a:xfrm>
                      <a:off x="0" y="0"/>
                      <a:ext cx="3985149" cy="2708053"/>
                    </a:xfrm>
                    <a:prstGeom prst="rect">
                      <a:avLst/>
                    </a:prstGeom>
                    <a:noFill/>
                    <a:ln>
                      <a:noFill/>
                    </a:ln>
                    <a:extLst>
                      <a:ext uri="{53640926-AAD7-44D8-BBD7-CCE9431645EC}">
                        <a14:shadowObscured xmlns:a14="http://schemas.microsoft.com/office/drawing/2010/main"/>
                      </a:ext>
                    </a:extLst>
                  </pic:spPr>
                </pic:pic>
              </a:graphicData>
            </a:graphic>
          </wp:inline>
        </w:drawing>
      </w:r>
    </w:p>
    <w:p w14:paraId="66473C4B" w14:textId="1F50EBAB" w:rsidR="00695D9F" w:rsidRDefault="002651B5" w:rsidP="00A03A12">
      <w:pPr>
        <w:spacing w:line="360" w:lineRule="auto"/>
        <w:jc w:val="both"/>
        <w:rPr>
          <w:rFonts w:ascii="Times New Roman" w:hAnsi="Times New Roman" w:cs="Times New Roman"/>
          <w:i/>
          <w:sz w:val="24"/>
        </w:rPr>
      </w:pPr>
      <w:r w:rsidRPr="00A03A12">
        <w:rPr>
          <w:rFonts w:ascii="Times New Roman" w:hAnsi="Times New Roman" w:cs="Times New Roman"/>
          <w:i/>
          <w:sz w:val="24"/>
        </w:rPr>
        <w:t>Figure S1</w:t>
      </w:r>
      <w:r w:rsidR="00695D9F">
        <w:rPr>
          <w:rFonts w:ascii="Times New Roman" w:hAnsi="Times New Roman" w:cs="Times New Roman"/>
          <w:i/>
          <w:sz w:val="24"/>
        </w:rPr>
        <w:t>1</w:t>
      </w:r>
      <w:r w:rsidRPr="00A03A12">
        <w:rPr>
          <w:rFonts w:ascii="Times New Roman" w:hAnsi="Times New Roman" w:cs="Times New Roman"/>
          <w:i/>
          <w:sz w:val="24"/>
        </w:rPr>
        <w:t xml:space="preserve">. </w:t>
      </w:r>
      <w:r w:rsidR="00811E46" w:rsidRPr="00811E46">
        <w:rPr>
          <w:rFonts w:ascii="Times New Roman" w:hAnsi="Times New Roman" w:cs="Times New Roman"/>
          <w:i/>
          <w:sz w:val="24"/>
        </w:rPr>
        <w:t xml:space="preserve">Cyclic voltammogram at the anode of the p-MFC before (red line), and after (blue line) the injection of atrazine. </w:t>
      </w:r>
      <w:r w:rsidR="00811E46" w:rsidRPr="00997B9E">
        <w:rPr>
          <w:rFonts w:ascii="Times New Roman" w:hAnsi="Times New Roman" w:cs="Times New Roman"/>
          <w:i/>
          <w:sz w:val="24"/>
        </w:rPr>
        <w:t>The tests were performed in a three-electrode set-up with Ag/AgCl as the reference electrode and Pt as the counter electrode</w:t>
      </w:r>
      <w:r w:rsidR="00B51982">
        <w:rPr>
          <w:rFonts w:ascii="Times New Roman" w:hAnsi="Times New Roman" w:cs="Times New Roman"/>
          <w:i/>
          <w:sz w:val="24"/>
        </w:rPr>
        <w:t xml:space="preserve"> at a scan rate of 1 mV s</w:t>
      </w:r>
      <w:r w:rsidR="00B51982" w:rsidRPr="00B51982">
        <w:rPr>
          <w:rFonts w:ascii="Times New Roman" w:hAnsi="Times New Roman" w:cs="Times New Roman"/>
          <w:i/>
          <w:sz w:val="24"/>
          <w:vertAlign w:val="superscript"/>
        </w:rPr>
        <w:t>-1</w:t>
      </w:r>
      <w:r w:rsidR="00B51982">
        <w:rPr>
          <w:rFonts w:ascii="Times New Roman" w:hAnsi="Times New Roman" w:cs="Times New Roman"/>
          <w:i/>
          <w:sz w:val="24"/>
        </w:rPr>
        <w:t>. The graph shows the third scan of one sample.</w:t>
      </w:r>
    </w:p>
    <w:p w14:paraId="7E6DBB23" w14:textId="52B11A83" w:rsidR="001D6BEB" w:rsidRDefault="001D6BEB" w:rsidP="00A03A12">
      <w:pPr>
        <w:spacing w:line="360" w:lineRule="auto"/>
        <w:jc w:val="both"/>
        <w:rPr>
          <w:rFonts w:ascii="Times New Roman" w:hAnsi="Times New Roman" w:cs="Times New Roman"/>
          <w:i/>
          <w:sz w:val="24"/>
        </w:rPr>
      </w:pPr>
    </w:p>
    <w:p w14:paraId="6F52E389" w14:textId="59EFF7B4" w:rsidR="001D6BEB" w:rsidRDefault="001D6BEB" w:rsidP="00A03A12">
      <w:pPr>
        <w:spacing w:line="360" w:lineRule="auto"/>
        <w:jc w:val="both"/>
        <w:rPr>
          <w:rFonts w:ascii="Times New Roman" w:hAnsi="Times New Roman" w:cs="Times New Roman"/>
          <w:i/>
          <w:sz w:val="24"/>
        </w:rPr>
      </w:pPr>
    </w:p>
    <w:p w14:paraId="65FE94D2" w14:textId="72A033B9" w:rsidR="001D6BEB" w:rsidRDefault="001D6BEB" w:rsidP="00A03A12">
      <w:pPr>
        <w:spacing w:line="360" w:lineRule="auto"/>
        <w:jc w:val="both"/>
        <w:rPr>
          <w:rFonts w:ascii="Times New Roman" w:hAnsi="Times New Roman" w:cs="Times New Roman"/>
          <w:i/>
          <w:sz w:val="24"/>
        </w:rPr>
      </w:pPr>
    </w:p>
    <w:p w14:paraId="06ED2E95" w14:textId="5420ACAC" w:rsidR="001D6BEB" w:rsidRDefault="001D6BEB" w:rsidP="00A03A12">
      <w:pPr>
        <w:spacing w:line="360" w:lineRule="auto"/>
        <w:jc w:val="both"/>
        <w:rPr>
          <w:rFonts w:ascii="Times New Roman" w:hAnsi="Times New Roman" w:cs="Times New Roman"/>
          <w:i/>
          <w:sz w:val="24"/>
        </w:rPr>
      </w:pPr>
    </w:p>
    <w:p w14:paraId="048D1236" w14:textId="33005F49" w:rsidR="001D6BEB" w:rsidRDefault="001D6BEB" w:rsidP="00A03A12">
      <w:pPr>
        <w:spacing w:line="360" w:lineRule="auto"/>
        <w:jc w:val="both"/>
        <w:rPr>
          <w:rFonts w:ascii="Times New Roman" w:hAnsi="Times New Roman" w:cs="Times New Roman"/>
          <w:i/>
          <w:sz w:val="24"/>
        </w:rPr>
      </w:pPr>
    </w:p>
    <w:p w14:paraId="305439CE" w14:textId="77777777" w:rsidR="001D6BEB" w:rsidRPr="00A03A12" w:rsidRDefault="001D6BEB" w:rsidP="00A03A12">
      <w:pPr>
        <w:spacing w:line="360" w:lineRule="auto"/>
        <w:jc w:val="both"/>
        <w:rPr>
          <w:rFonts w:ascii="Times New Roman" w:hAnsi="Times New Roman" w:cs="Times New Roman"/>
          <w:i/>
          <w:sz w:val="24"/>
        </w:rPr>
      </w:pPr>
    </w:p>
    <w:p w14:paraId="3E2D9A8E" w14:textId="05A66F7F" w:rsidR="002F7814" w:rsidRDefault="00795A45" w:rsidP="002F7814">
      <w:pPr>
        <w:jc w:val="center"/>
      </w:pPr>
      <w:r w:rsidRPr="00795A45">
        <w:rPr>
          <w:noProof/>
          <w:lang w:eastAsia="en-GB"/>
        </w:rPr>
        <w:drawing>
          <wp:inline distT="0" distB="0" distL="0" distR="0" wp14:anchorId="454E6952" wp14:editId="23FD5F05">
            <wp:extent cx="3588327" cy="264350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r="5294"/>
                    <a:stretch/>
                  </pic:blipFill>
                  <pic:spPr bwMode="auto">
                    <a:xfrm>
                      <a:off x="0" y="0"/>
                      <a:ext cx="3592463" cy="2646552"/>
                    </a:xfrm>
                    <a:prstGeom prst="rect">
                      <a:avLst/>
                    </a:prstGeom>
                    <a:noFill/>
                    <a:ln>
                      <a:noFill/>
                    </a:ln>
                    <a:extLst>
                      <a:ext uri="{53640926-AAD7-44D8-BBD7-CCE9431645EC}">
                        <a14:shadowObscured xmlns:a14="http://schemas.microsoft.com/office/drawing/2010/main"/>
                      </a:ext>
                    </a:extLst>
                  </pic:spPr>
                </pic:pic>
              </a:graphicData>
            </a:graphic>
          </wp:inline>
        </w:drawing>
      </w:r>
    </w:p>
    <w:p w14:paraId="768EFF91" w14:textId="2E0E9B00" w:rsidR="002F7814" w:rsidRDefault="00795A45" w:rsidP="002F7814">
      <w:pPr>
        <w:jc w:val="center"/>
      </w:pPr>
      <w:r>
        <w:rPr>
          <w:noProof/>
          <w:lang w:eastAsia="en-GB"/>
        </w:rPr>
        <mc:AlternateContent>
          <mc:Choice Requires="wps">
            <w:drawing>
              <wp:anchor distT="0" distB="0" distL="114300" distR="114300" simplePos="0" relativeHeight="251659264" behindDoc="0" locked="0" layoutInCell="1" allowOverlap="1" wp14:anchorId="030ACAE3" wp14:editId="497797E4">
                <wp:simplePos x="0" y="0"/>
                <wp:positionH relativeFrom="column">
                  <wp:posOffset>3837593</wp:posOffset>
                </wp:positionH>
                <wp:positionV relativeFrom="paragraph">
                  <wp:posOffset>511868</wp:posOffset>
                </wp:positionV>
                <wp:extent cx="457200" cy="159328"/>
                <wp:effectExtent l="0" t="0" r="19050" b="12700"/>
                <wp:wrapNone/>
                <wp:docPr id="2" name="Rectangle 2"/>
                <wp:cNvGraphicFramePr/>
                <a:graphic xmlns:a="http://schemas.openxmlformats.org/drawingml/2006/main">
                  <a:graphicData uri="http://schemas.microsoft.com/office/word/2010/wordprocessingShape">
                    <wps:wsp>
                      <wps:cNvSpPr/>
                      <wps:spPr>
                        <a:xfrm>
                          <a:off x="0" y="0"/>
                          <a:ext cx="457200" cy="15932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E414ACE" id="Rectangle 2" o:spid="_x0000_s1026" style="position:absolute;margin-left:302.15pt;margin-top:40.3pt;width:36pt;height:12.5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" fillcolor="white [3212]" strokecolor="white [3212]" strokeweight="1pt"/>
            </w:pict>
          </mc:Fallback>
        </mc:AlternateContent>
      </w:r>
      <w:r w:rsidRPr="00795A45">
        <w:rPr>
          <w:noProof/>
          <w:lang w:eastAsia="en-GB"/>
        </w:rPr>
        <w:drawing>
          <wp:inline distT="0" distB="0" distL="0" distR="0" wp14:anchorId="5D39F56F" wp14:editId="799DC4BD">
            <wp:extent cx="3732669" cy="29870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53641" cy="3003823"/>
                    </a:xfrm>
                    <a:prstGeom prst="rect">
                      <a:avLst/>
                    </a:prstGeom>
                    <a:noFill/>
                    <a:ln>
                      <a:noFill/>
                    </a:ln>
                  </pic:spPr>
                </pic:pic>
              </a:graphicData>
            </a:graphic>
          </wp:inline>
        </w:drawing>
      </w:r>
    </w:p>
    <w:p w14:paraId="66EF508A" w14:textId="5B6EB5CF" w:rsidR="002F7814" w:rsidRDefault="002F7814" w:rsidP="002F7814">
      <w:pPr>
        <w:spacing w:line="360" w:lineRule="auto"/>
        <w:jc w:val="both"/>
        <w:rPr>
          <w:rFonts w:ascii="Times New Roman" w:hAnsi="Times New Roman" w:cs="Times New Roman"/>
          <w:i/>
          <w:sz w:val="24"/>
        </w:rPr>
      </w:pPr>
      <w:r>
        <w:rPr>
          <w:rFonts w:ascii="Times New Roman" w:hAnsi="Times New Roman" w:cs="Times New Roman"/>
          <w:i/>
          <w:sz w:val="24"/>
        </w:rPr>
        <w:t>Figure S1</w:t>
      </w:r>
      <w:r w:rsidR="00695D9F">
        <w:rPr>
          <w:rFonts w:ascii="Times New Roman" w:hAnsi="Times New Roman" w:cs="Times New Roman"/>
          <w:i/>
          <w:sz w:val="24"/>
        </w:rPr>
        <w:t>2</w:t>
      </w:r>
      <w:r>
        <w:rPr>
          <w:rFonts w:ascii="Times New Roman" w:hAnsi="Times New Roman" w:cs="Times New Roman"/>
          <w:i/>
          <w:sz w:val="24"/>
        </w:rPr>
        <w:t>. Response of the sensors to 0.1 µg L</w:t>
      </w:r>
      <w:r>
        <w:rPr>
          <w:rFonts w:ascii="Times New Roman" w:hAnsi="Times New Roman" w:cs="Times New Roman"/>
          <w:i/>
          <w:sz w:val="24"/>
          <w:vertAlign w:val="superscript"/>
        </w:rPr>
        <w:t>-1</w:t>
      </w:r>
      <w:r>
        <w:rPr>
          <w:rFonts w:ascii="Times New Roman" w:hAnsi="Times New Roman" w:cs="Times New Roman"/>
          <w:i/>
          <w:sz w:val="24"/>
        </w:rPr>
        <w:t xml:space="preserve"> of atrazine for p-MFC</w:t>
      </w:r>
      <w:r>
        <w:rPr>
          <w:rFonts w:ascii="Times New Roman" w:hAnsi="Times New Roman" w:cs="Times New Roman"/>
          <w:i/>
          <w:sz w:val="24"/>
          <w:vertAlign w:val="subscript"/>
        </w:rPr>
        <w:t>GF</w:t>
      </w:r>
      <w:r>
        <w:rPr>
          <w:rFonts w:ascii="Times New Roman" w:hAnsi="Times New Roman" w:cs="Times New Roman"/>
          <w:i/>
          <w:sz w:val="24"/>
        </w:rPr>
        <w:t xml:space="preserve"> (A) and p-MFC</w:t>
      </w:r>
      <w:r>
        <w:rPr>
          <w:rFonts w:ascii="Times New Roman" w:hAnsi="Times New Roman" w:cs="Times New Roman"/>
          <w:i/>
          <w:sz w:val="24"/>
          <w:vertAlign w:val="subscript"/>
        </w:rPr>
        <w:t>ITO</w:t>
      </w:r>
      <w:r>
        <w:rPr>
          <w:rFonts w:ascii="Times New Roman" w:hAnsi="Times New Roman" w:cs="Times New Roman"/>
          <w:i/>
          <w:sz w:val="24"/>
        </w:rPr>
        <w:t xml:space="preserve"> (B) during the first 24 h after intoxication. Black lines correspond to the </w:t>
      </w:r>
      <w:r w:rsidR="001F4F7E">
        <w:rPr>
          <w:rFonts w:ascii="Times New Roman" w:hAnsi="Times New Roman" w:cs="Times New Roman"/>
          <w:i/>
          <w:sz w:val="24"/>
        </w:rPr>
        <w:t>fuel cells exposed to atrazine</w:t>
      </w:r>
      <w:r>
        <w:rPr>
          <w:rFonts w:ascii="Times New Roman" w:hAnsi="Times New Roman" w:cs="Times New Roman"/>
          <w:i/>
          <w:sz w:val="24"/>
        </w:rPr>
        <w:t xml:space="preserve"> and grey lines correspond to the control p-MFCs. Mean values and error bars (absolute error) correspond to two replicates.</w:t>
      </w:r>
    </w:p>
    <w:p w14:paraId="2364C58D" w14:textId="58A86E89" w:rsidR="009C5E90" w:rsidRDefault="00AF724C">
      <w:r>
        <w:br w:type="page"/>
      </w:r>
    </w:p>
    <w:p w14:paraId="1F77DDD6" w14:textId="77777777" w:rsidR="00A03A12" w:rsidRPr="00727F02" w:rsidRDefault="00A03A12" w:rsidP="00A03A12">
      <w:pPr>
        <w:pStyle w:val="Caption"/>
        <w:keepNext/>
        <w:rPr>
          <w:rFonts w:ascii="Times New Roman" w:hAnsi="Times New Roman" w:cs="Times New Roman"/>
          <w:color w:val="auto"/>
          <w:sz w:val="24"/>
          <w:szCs w:val="24"/>
        </w:rPr>
      </w:pPr>
      <w:r w:rsidRPr="00727F02">
        <w:rPr>
          <w:rFonts w:ascii="Times New Roman" w:hAnsi="Times New Roman" w:cs="Times New Roman"/>
          <w:color w:val="auto"/>
          <w:sz w:val="24"/>
          <w:szCs w:val="24"/>
        </w:rPr>
        <w:t xml:space="preserve">Table </w:t>
      </w:r>
      <w:r>
        <w:rPr>
          <w:rFonts w:ascii="Times New Roman" w:hAnsi="Times New Roman" w:cs="Times New Roman"/>
          <w:color w:val="auto"/>
          <w:sz w:val="24"/>
          <w:szCs w:val="24"/>
        </w:rPr>
        <w:t>S1</w:t>
      </w:r>
      <w:r w:rsidRPr="00727F02">
        <w:rPr>
          <w:rFonts w:ascii="Times New Roman" w:hAnsi="Times New Roman" w:cs="Times New Roman"/>
          <w:color w:val="auto"/>
          <w:sz w:val="24"/>
          <w:szCs w:val="24"/>
        </w:rPr>
        <w:t>. Summary of performance of two-chamber p-MFC previously reported.</w:t>
      </w:r>
    </w:p>
    <w:tbl>
      <w:tblPr>
        <w:tblStyle w:val="TableGridLight"/>
        <w:tblW w:w="9209" w:type="dxa"/>
        <w:tblLayout w:type="fixed"/>
        <w:tblLook w:val="04A0" w:firstRow="1" w:lastRow="0" w:firstColumn="1" w:lastColumn="0" w:noHBand="0" w:noVBand="1"/>
      </w:tblPr>
      <w:tblGrid>
        <w:gridCol w:w="1555"/>
        <w:gridCol w:w="1417"/>
        <w:gridCol w:w="851"/>
        <w:gridCol w:w="850"/>
        <w:gridCol w:w="1559"/>
        <w:gridCol w:w="709"/>
        <w:gridCol w:w="1276"/>
        <w:gridCol w:w="992"/>
      </w:tblGrid>
      <w:tr w:rsidR="00A03A12" w:rsidRPr="009668A4" w14:paraId="2200722A" w14:textId="77777777" w:rsidTr="007A37CA">
        <w:tc>
          <w:tcPr>
            <w:tcW w:w="1555" w:type="dxa"/>
            <w:vAlign w:val="center"/>
          </w:tcPr>
          <w:p w14:paraId="54861290" w14:textId="77777777" w:rsidR="00A03A12" w:rsidRPr="009668A4" w:rsidRDefault="00A03A12" w:rsidP="007A37CA">
            <w:pPr>
              <w:autoSpaceDE w:val="0"/>
              <w:autoSpaceDN w:val="0"/>
              <w:adjustRightInd w:val="0"/>
              <w:jc w:val="center"/>
              <w:rPr>
                <w:rFonts w:ascii="Times New Roman" w:hAnsi="Times New Roman" w:cs="Times New Roman"/>
                <w:b/>
                <w:sz w:val="24"/>
                <w:szCs w:val="24"/>
              </w:rPr>
            </w:pPr>
            <w:r w:rsidRPr="009668A4">
              <w:rPr>
                <w:rFonts w:ascii="Times New Roman" w:hAnsi="Times New Roman" w:cs="Times New Roman"/>
                <w:b/>
                <w:sz w:val="24"/>
                <w:szCs w:val="24"/>
              </w:rPr>
              <w:t>Cathode material</w:t>
            </w:r>
          </w:p>
        </w:tc>
        <w:tc>
          <w:tcPr>
            <w:tcW w:w="1417" w:type="dxa"/>
            <w:vAlign w:val="center"/>
          </w:tcPr>
          <w:p w14:paraId="36830484" w14:textId="77777777" w:rsidR="00A03A12" w:rsidRPr="009668A4" w:rsidRDefault="00A03A12" w:rsidP="007A37CA">
            <w:pPr>
              <w:autoSpaceDE w:val="0"/>
              <w:autoSpaceDN w:val="0"/>
              <w:adjustRightInd w:val="0"/>
              <w:jc w:val="center"/>
              <w:rPr>
                <w:rFonts w:ascii="Times New Roman" w:hAnsi="Times New Roman" w:cs="Times New Roman"/>
                <w:b/>
                <w:sz w:val="24"/>
                <w:szCs w:val="24"/>
              </w:rPr>
            </w:pPr>
            <w:r w:rsidRPr="009668A4">
              <w:rPr>
                <w:rFonts w:ascii="Times New Roman" w:hAnsi="Times New Roman" w:cs="Times New Roman"/>
                <w:b/>
                <w:sz w:val="24"/>
                <w:szCs w:val="24"/>
              </w:rPr>
              <w:t>Cathodic algae</w:t>
            </w:r>
          </w:p>
        </w:tc>
        <w:tc>
          <w:tcPr>
            <w:tcW w:w="851" w:type="dxa"/>
            <w:vAlign w:val="center"/>
          </w:tcPr>
          <w:p w14:paraId="5B510C80" w14:textId="77777777" w:rsidR="00A03A12" w:rsidRPr="009668A4" w:rsidRDefault="00A03A12" w:rsidP="007A37CA">
            <w:pPr>
              <w:autoSpaceDE w:val="0"/>
              <w:autoSpaceDN w:val="0"/>
              <w:adjustRightInd w:val="0"/>
              <w:jc w:val="center"/>
              <w:rPr>
                <w:rFonts w:ascii="Times New Roman" w:hAnsi="Times New Roman" w:cs="Times New Roman"/>
                <w:b/>
                <w:sz w:val="24"/>
                <w:szCs w:val="24"/>
              </w:rPr>
            </w:pPr>
            <w:r w:rsidRPr="009668A4">
              <w:rPr>
                <w:rFonts w:ascii="Times New Roman" w:hAnsi="Times New Roman" w:cs="Times New Roman"/>
                <w:b/>
                <w:sz w:val="24"/>
                <w:szCs w:val="24"/>
              </w:rPr>
              <w:t>OCV (mV)</w:t>
            </w:r>
          </w:p>
        </w:tc>
        <w:tc>
          <w:tcPr>
            <w:tcW w:w="850" w:type="dxa"/>
            <w:vAlign w:val="center"/>
          </w:tcPr>
          <w:p w14:paraId="4F596E74" w14:textId="77777777" w:rsidR="00A03A12" w:rsidRPr="009668A4" w:rsidRDefault="00A03A12" w:rsidP="007A37CA">
            <w:pPr>
              <w:autoSpaceDE w:val="0"/>
              <w:autoSpaceDN w:val="0"/>
              <w:adjustRightInd w:val="0"/>
              <w:jc w:val="center"/>
              <w:rPr>
                <w:rFonts w:ascii="Times New Roman" w:hAnsi="Times New Roman" w:cs="Times New Roman"/>
                <w:b/>
                <w:sz w:val="24"/>
                <w:szCs w:val="24"/>
              </w:rPr>
            </w:pPr>
            <w:r w:rsidRPr="009668A4">
              <w:rPr>
                <w:rFonts w:ascii="Times New Roman" w:hAnsi="Times New Roman" w:cs="Times New Roman"/>
                <w:b/>
                <w:sz w:val="24"/>
                <w:szCs w:val="24"/>
              </w:rPr>
              <w:t>R</w:t>
            </w:r>
            <w:r w:rsidRPr="009668A4">
              <w:rPr>
                <w:rFonts w:ascii="Times New Roman" w:hAnsi="Times New Roman" w:cs="Times New Roman"/>
                <w:b/>
                <w:sz w:val="24"/>
                <w:szCs w:val="24"/>
                <w:vertAlign w:val="subscript"/>
              </w:rPr>
              <w:t xml:space="preserve">int </w:t>
            </w:r>
            <w:r w:rsidRPr="009668A4">
              <w:rPr>
                <w:rFonts w:ascii="Times New Roman" w:hAnsi="Times New Roman" w:cs="Times New Roman"/>
                <w:b/>
                <w:sz w:val="24"/>
                <w:szCs w:val="24"/>
              </w:rPr>
              <w:t>(</w:t>
            </w:r>
            <w:r>
              <w:rPr>
                <w:rFonts w:ascii="Times New Roman" w:hAnsi="Times New Roman" w:cs="Times New Roman"/>
                <w:b/>
                <w:sz w:val="24"/>
                <w:szCs w:val="24"/>
              </w:rPr>
              <w:t>Ω</w:t>
            </w:r>
            <w:r w:rsidRPr="009668A4">
              <w:rPr>
                <w:rFonts w:ascii="Times New Roman" w:hAnsi="Times New Roman" w:cs="Times New Roman"/>
                <w:b/>
                <w:sz w:val="24"/>
                <w:szCs w:val="24"/>
              </w:rPr>
              <w:t>)</w:t>
            </w:r>
          </w:p>
        </w:tc>
        <w:tc>
          <w:tcPr>
            <w:tcW w:w="1559" w:type="dxa"/>
            <w:vAlign w:val="center"/>
          </w:tcPr>
          <w:p w14:paraId="34EF3DD2" w14:textId="77777777" w:rsidR="00A03A12" w:rsidRDefault="00A03A12" w:rsidP="007A37CA">
            <w:pPr>
              <w:autoSpaceDE w:val="0"/>
              <w:autoSpaceDN w:val="0"/>
              <w:adjustRightInd w:val="0"/>
              <w:jc w:val="center"/>
              <w:rPr>
                <w:rFonts w:ascii="Times New Roman" w:hAnsi="Times New Roman" w:cs="Times New Roman"/>
                <w:b/>
                <w:sz w:val="24"/>
                <w:szCs w:val="24"/>
              </w:rPr>
            </w:pPr>
            <w:r w:rsidRPr="009668A4">
              <w:rPr>
                <w:rFonts w:ascii="Times New Roman" w:hAnsi="Times New Roman" w:cs="Times New Roman"/>
                <w:b/>
                <w:sz w:val="24"/>
                <w:szCs w:val="24"/>
              </w:rPr>
              <w:t>Max power density</w:t>
            </w:r>
          </w:p>
          <w:p w14:paraId="5923676C" w14:textId="77777777" w:rsidR="00A03A12" w:rsidRPr="009668A4" w:rsidRDefault="00A03A12" w:rsidP="007A37CA">
            <w:pPr>
              <w:autoSpaceDE w:val="0"/>
              <w:autoSpaceDN w:val="0"/>
              <w:adjustRightInd w:val="0"/>
              <w:jc w:val="center"/>
              <w:rPr>
                <w:rFonts w:ascii="Times New Roman" w:hAnsi="Times New Roman" w:cs="Times New Roman"/>
                <w:b/>
                <w:sz w:val="24"/>
                <w:szCs w:val="24"/>
              </w:rPr>
            </w:pPr>
            <w:r w:rsidRPr="009668A4">
              <w:rPr>
                <w:rFonts w:ascii="Times New Roman" w:hAnsi="Times New Roman" w:cs="Times New Roman"/>
                <w:b/>
                <w:sz w:val="24"/>
                <w:szCs w:val="24"/>
              </w:rPr>
              <w:t xml:space="preserve"> (mW m</w:t>
            </w:r>
            <w:r w:rsidRPr="009668A4">
              <w:rPr>
                <w:rFonts w:ascii="Times New Roman" w:hAnsi="Times New Roman" w:cs="Times New Roman"/>
                <w:b/>
                <w:sz w:val="24"/>
                <w:szCs w:val="24"/>
                <w:vertAlign w:val="superscript"/>
              </w:rPr>
              <w:t>-2</w:t>
            </w:r>
            <w:r w:rsidRPr="009668A4">
              <w:rPr>
                <w:rFonts w:ascii="Times New Roman" w:hAnsi="Times New Roman" w:cs="Times New Roman"/>
                <w:b/>
                <w:sz w:val="24"/>
                <w:szCs w:val="24"/>
              </w:rPr>
              <w:t>)</w:t>
            </w:r>
          </w:p>
        </w:tc>
        <w:tc>
          <w:tcPr>
            <w:tcW w:w="709" w:type="dxa"/>
            <w:vAlign w:val="center"/>
          </w:tcPr>
          <w:p w14:paraId="3E4374AC" w14:textId="77777777" w:rsidR="00A03A12" w:rsidRPr="009668A4" w:rsidRDefault="00A03A12" w:rsidP="007A37CA">
            <w:pPr>
              <w:autoSpaceDE w:val="0"/>
              <w:autoSpaceDN w:val="0"/>
              <w:adjustRightInd w:val="0"/>
              <w:jc w:val="center"/>
              <w:rPr>
                <w:rFonts w:ascii="Times New Roman" w:hAnsi="Times New Roman" w:cs="Times New Roman"/>
                <w:b/>
                <w:sz w:val="24"/>
                <w:szCs w:val="24"/>
              </w:rPr>
            </w:pPr>
            <w:r w:rsidRPr="009668A4">
              <w:rPr>
                <w:rFonts w:ascii="Times New Roman" w:hAnsi="Times New Roman" w:cs="Times New Roman"/>
                <w:b/>
                <w:sz w:val="24"/>
                <w:szCs w:val="24"/>
              </w:rPr>
              <w:t>pH</w:t>
            </w:r>
          </w:p>
        </w:tc>
        <w:tc>
          <w:tcPr>
            <w:tcW w:w="1276" w:type="dxa"/>
            <w:vAlign w:val="center"/>
          </w:tcPr>
          <w:p w14:paraId="3CDFCD8A" w14:textId="77777777" w:rsidR="00A03A12" w:rsidRPr="009668A4" w:rsidRDefault="00A03A12" w:rsidP="007A37CA">
            <w:pPr>
              <w:autoSpaceDE w:val="0"/>
              <w:autoSpaceDN w:val="0"/>
              <w:adjustRightInd w:val="0"/>
              <w:jc w:val="center"/>
              <w:rPr>
                <w:rFonts w:ascii="Times New Roman" w:hAnsi="Times New Roman" w:cs="Times New Roman"/>
                <w:b/>
                <w:sz w:val="24"/>
                <w:szCs w:val="24"/>
              </w:rPr>
            </w:pPr>
            <w:r w:rsidRPr="009668A4">
              <w:rPr>
                <w:rFonts w:ascii="Times New Roman" w:hAnsi="Times New Roman" w:cs="Times New Roman"/>
                <w:b/>
                <w:sz w:val="24"/>
                <w:szCs w:val="24"/>
              </w:rPr>
              <w:t>DO</w:t>
            </w:r>
          </w:p>
          <w:p w14:paraId="70DD05EA" w14:textId="77777777" w:rsidR="00A03A12" w:rsidRPr="009668A4" w:rsidRDefault="00A03A12" w:rsidP="007A37CA">
            <w:pPr>
              <w:autoSpaceDE w:val="0"/>
              <w:autoSpaceDN w:val="0"/>
              <w:adjustRightInd w:val="0"/>
              <w:jc w:val="center"/>
              <w:rPr>
                <w:rFonts w:ascii="Times New Roman" w:hAnsi="Times New Roman" w:cs="Times New Roman"/>
                <w:b/>
                <w:sz w:val="24"/>
                <w:szCs w:val="24"/>
              </w:rPr>
            </w:pPr>
            <w:r w:rsidRPr="009668A4">
              <w:rPr>
                <w:rFonts w:ascii="Times New Roman" w:hAnsi="Times New Roman" w:cs="Times New Roman"/>
                <w:b/>
                <w:sz w:val="24"/>
                <w:szCs w:val="24"/>
              </w:rPr>
              <w:t>(mg mL</w:t>
            </w:r>
            <w:r w:rsidRPr="009668A4">
              <w:rPr>
                <w:rFonts w:ascii="Times New Roman" w:hAnsi="Times New Roman" w:cs="Times New Roman"/>
                <w:b/>
                <w:sz w:val="24"/>
                <w:szCs w:val="24"/>
                <w:vertAlign w:val="superscript"/>
              </w:rPr>
              <w:t>-1</w:t>
            </w:r>
            <w:r w:rsidRPr="009668A4">
              <w:rPr>
                <w:rFonts w:ascii="Times New Roman" w:hAnsi="Times New Roman" w:cs="Times New Roman"/>
                <w:b/>
                <w:sz w:val="24"/>
                <w:szCs w:val="24"/>
              </w:rPr>
              <w:t>)</w:t>
            </w:r>
          </w:p>
        </w:tc>
        <w:tc>
          <w:tcPr>
            <w:tcW w:w="992" w:type="dxa"/>
            <w:vAlign w:val="center"/>
          </w:tcPr>
          <w:p w14:paraId="6A38D997" w14:textId="77777777" w:rsidR="00A03A12" w:rsidRPr="009668A4" w:rsidRDefault="00A03A12" w:rsidP="007A37CA">
            <w:pPr>
              <w:autoSpaceDE w:val="0"/>
              <w:autoSpaceDN w:val="0"/>
              <w:adjustRightInd w:val="0"/>
              <w:jc w:val="center"/>
              <w:rPr>
                <w:rFonts w:ascii="Times New Roman" w:hAnsi="Times New Roman" w:cs="Times New Roman"/>
                <w:b/>
                <w:sz w:val="24"/>
                <w:szCs w:val="24"/>
              </w:rPr>
            </w:pPr>
            <w:r w:rsidRPr="009668A4">
              <w:rPr>
                <w:rFonts w:ascii="Times New Roman" w:hAnsi="Times New Roman" w:cs="Times New Roman"/>
                <w:b/>
                <w:sz w:val="24"/>
                <w:szCs w:val="24"/>
              </w:rPr>
              <w:t>Ref.</w:t>
            </w:r>
          </w:p>
        </w:tc>
      </w:tr>
      <w:tr w:rsidR="00A03A12" w:rsidRPr="009668A4" w14:paraId="4148F9C2" w14:textId="77777777" w:rsidTr="007A37CA">
        <w:tc>
          <w:tcPr>
            <w:tcW w:w="1555" w:type="dxa"/>
            <w:vAlign w:val="center"/>
          </w:tcPr>
          <w:p w14:paraId="062875DA"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Carbon cloth/10%Teflon</w:t>
            </w:r>
          </w:p>
        </w:tc>
        <w:tc>
          <w:tcPr>
            <w:tcW w:w="1417" w:type="dxa"/>
            <w:vAlign w:val="center"/>
          </w:tcPr>
          <w:p w14:paraId="593DCF56"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Mixed</w:t>
            </w:r>
          </w:p>
        </w:tc>
        <w:tc>
          <w:tcPr>
            <w:tcW w:w="851" w:type="dxa"/>
            <w:vAlign w:val="center"/>
          </w:tcPr>
          <w:p w14:paraId="3347F75A" w14:textId="77777777" w:rsidR="00A03A12" w:rsidRPr="005655F8" w:rsidRDefault="00A03A12" w:rsidP="007A37CA">
            <w:pPr>
              <w:autoSpaceDE w:val="0"/>
              <w:autoSpaceDN w:val="0"/>
              <w:adjustRightInd w:val="0"/>
              <w:jc w:val="center"/>
              <w:rPr>
                <w:rFonts w:ascii="Times New Roman" w:hAnsi="Times New Roman" w:cs="Times New Roman"/>
              </w:rPr>
            </w:pPr>
          </w:p>
        </w:tc>
        <w:tc>
          <w:tcPr>
            <w:tcW w:w="850" w:type="dxa"/>
            <w:vAlign w:val="center"/>
          </w:tcPr>
          <w:p w14:paraId="6AE8FAC1"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9600</w:t>
            </w:r>
          </w:p>
        </w:tc>
        <w:tc>
          <w:tcPr>
            <w:tcW w:w="1559" w:type="dxa"/>
            <w:vAlign w:val="center"/>
          </w:tcPr>
          <w:p w14:paraId="06E8ADC3"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11.5</w:t>
            </w:r>
          </w:p>
        </w:tc>
        <w:tc>
          <w:tcPr>
            <w:tcW w:w="709" w:type="dxa"/>
            <w:vAlign w:val="center"/>
          </w:tcPr>
          <w:p w14:paraId="275EB7D5"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7.5</w:t>
            </w:r>
          </w:p>
        </w:tc>
        <w:tc>
          <w:tcPr>
            <w:tcW w:w="1276" w:type="dxa"/>
            <w:vAlign w:val="center"/>
          </w:tcPr>
          <w:p w14:paraId="77BF1D60"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7.5</w:t>
            </w:r>
          </w:p>
        </w:tc>
        <w:tc>
          <w:tcPr>
            <w:tcW w:w="992" w:type="dxa"/>
            <w:vAlign w:val="center"/>
          </w:tcPr>
          <w:p w14:paraId="79D6D226"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fldChar w:fldCharType="begin" w:fldLock="1"/>
            </w:r>
            <w:r>
              <w:rPr>
                <w:rFonts w:ascii="Times New Roman" w:hAnsi="Times New Roman" w:cs="Times New Roman"/>
              </w:rPr>
              <w:instrText>ADDIN CSL_CITATION {"citationItems":[{"id":"ITEM-1","itemData":{"DOI":"10.1016/j.apenergy.2013.04.010","ISBN":"03062619","ISSN":"03062619","abstract":"The paper focused on the start-up and performance characterisation of a new type of microbial fuel cell (MFC), in which an algae culture was seeded in the cathodic chamber to produce the oxygen required to complete the electrochemical reactions of the MFC, thus circumventing the need for a mechanical aerator. The system did not use mediators or high cost catalysts and it can be started-up easily using a straightforward three-stage procedure. The start-up consists of the separate production of the electricity-producing microorganisms and the algae cultures (stage I), replacement of the mechanical aeration system by the algae culture (stage II) and a change in the light dosage from a continuous input to a dynamic day/night profile. The MFC was operated under a regime of 12. h light and 12. h dark and was also operated in batch and continuous substrate-feeding modes. The same cell voltage was achieved when the cathode compartment was operated with air supplied by aerators, which means that this configuration can perform as well as the traditional one. The results also show the influence of both the organic load and light irradiation on electricity production and demonstrate that this type MFC is a robust and promising technology that can be considered as a first approach to perform a lagooning wastewater treatment with microbial fuel cells. © 2013 Elsevier Ltd.","author":[{"dropping-particle":"","family":"Lobato","given":"Justo","non-dropping-particle":"","parse-names":false,"suffix":""},{"dropping-particle":"","family":"González del Campo","given":"Araceli","non-dropping-particle":"","parse-names":false,"suffix":""},{"dropping-particle":"","family":"Fernández","given":"Francisco J","non-dropping-particle":"","parse-names":false,"suffix":""},{"dropping-particle":"","family":"Cañizares","given":"Pablo","non-dropping-particle":"","parse-names":false,"suffix":""},{"dropping-particle":"","family":"Rodrigo","given":"Manuel A","non-dropping-particle":"","parse-names":false,"suffix":""}],"container-title":"Applied Energy","id":"ITEM-1","issued":{"date-parts":[["2013"]]},"page":"220-226","title":"Lagooning microbial fuel cells: A first approach by coupling electricity-producing microorganisms and algae","type":"article-journal","volume":"110"},"uris":["http://www.mendeley.com/documents/?uuid=572358e8-b5fe-49c3-824e-a0158e745f43","http://www.mendeley.com/documents/?uuid=0b563820-df5d-39ea-a86a-6dab61e50fc7"]}],"mendeley":{"formattedCitation":"[25]","plainTextFormattedCitation":"[25]","previouslyFormattedCitation":"[26]"},"properties":{"noteIndex":0},"schema":"https://github.com/citation-style-language/schema/raw/master/csl-citation.json"}</w:instrText>
            </w:r>
            <w:r w:rsidRPr="005655F8">
              <w:rPr>
                <w:rFonts w:ascii="Times New Roman" w:hAnsi="Times New Roman" w:cs="Times New Roman"/>
              </w:rPr>
              <w:fldChar w:fldCharType="separate"/>
            </w:r>
            <w:r w:rsidRPr="00402641">
              <w:rPr>
                <w:rFonts w:ascii="Times New Roman" w:hAnsi="Times New Roman" w:cs="Times New Roman"/>
                <w:noProof/>
              </w:rPr>
              <w:t>[25]</w:t>
            </w:r>
            <w:r w:rsidRPr="005655F8">
              <w:rPr>
                <w:rFonts w:ascii="Times New Roman" w:hAnsi="Times New Roman" w:cs="Times New Roman"/>
              </w:rPr>
              <w:fldChar w:fldCharType="end"/>
            </w:r>
          </w:p>
        </w:tc>
      </w:tr>
      <w:tr w:rsidR="00A03A12" w:rsidRPr="009668A4" w14:paraId="1DD52FEE" w14:textId="77777777" w:rsidTr="007A37CA">
        <w:tc>
          <w:tcPr>
            <w:tcW w:w="1555" w:type="dxa"/>
            <w:vAlign w:val="center"/>
          </w:tcPr>
          <w:p w14:paraId="27A26E5B"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Carbon fibre cloth</w:t>
            </w:r>
          </w:p>
        </w:tc>
        <w:tc>
          <w:tcPr>
            <w:tcW w:w="1417" w:type="dxa"/>
            <w:vAlign w:val="center"/>
          </w:tcPr>
          <w:p w14:paraId="1D705B99"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i/>
              </w:rPr>
              <w:t>Ch. Vulgaris</w:t>
            </w:r>
          </w:p>
        </w:tc>
        <w:tc>
          <w:tcPr>
            <w:tcW w:w="851" w:type="dxa"/>
            <w:vAlign w:val="center"/>
          </w:tcPr>
          <w:p w14:paraId="7A76BB72"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429</w:t>
            </w:r>
          </w:p>
        </w:tc>
        <w:tc>
          <w:tcPr>
            <w:tcW w:w="850" w:type="dxa"/>
            <w:vAlign w:val="center"/>
          </w:tcPr>
          <w:p w14:paraId="3801ED77"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138</w:t>
            </w:r>
          </w:p>
        </w:tc>
        <w:tc>
          <w:tcPr>
            <w:tcW w:w="1559" w:type="dxa"/>
            <w:vAlign w:val="center"/>
          </w:tcPr>
          <w:p w14:paraId="3CFFBB2F"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44.6</w:t>
            </w:r>
          </w:p>
        </w:tc>
        <w:tc>
          <w:tcPr>
            <w:tcW w:w="709" w:type="dxa"/>
            <w:vAlign w:val="center"/>
          </w:tcPr>
          <w:p w14:paraId="39BCC275"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7</w:t>
            </w:r>
          </w:p>
        </w:tc>
        <w:tc>
          <w:tcPr>
            <w:tcW w:w="1276" w:type="dxa"/>
            <w:vAlign w:val="center"/>
          </w:tcPr>
          <w:p w14:paraId="197CC7D1"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5.65</w:t>
            </w:r>
          </w:p>
        </w:tc>
        <w:tc>
          <w:tcPr>
            <w:tcW w:w="992" w:type="dxa"/>
            <w:vAlign w:val="center"/>
          </w:tcPr>
          <w:p w14:paraId="630A5113"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fldChar w:fldCharType="begin" w:fldLock="1"/>
            </w:r>
            <w:r>
              <w:rPr>
                <w:rFonts w:ascii="Times New Roman" w:hAnsi="Times New Roman" w:cs="Times New Roman"/>
              </w:rPr>
              <w:instrText>ADDIN CSL_CITATION {"citationItems":[{"id":"ITEM-1","itemData":{"DOI":"10.1039/c5ra26299b","ISBN":"0065-3527","ISSN":"20462069","abstract":"The effect of algal species ( Chlorella vulgaris and Chlorella sp.) and light intensity on the performance of air-lift-type microbial carbon capture cells (ALMCCs) was investigated.","author":[{"dropping-particle":"","family":"Hu","given":"Xia","non-dropping-particle":"","parse-names":false,"suffix":""},{"dropping-particle":"","family":"Zhou","given":"Jiti","non-dropping-particle":"","parse-names":false,"suffix":""},{"dropping-particle":"","family":"Liu","given":"Baojun","non-dropping-particle":"","parse-names":false,"suffix":""}],"container-title":"RSC Advances","id":"ITEM-1","issue":"30","issued":{"date-parts":[["2016"]]},"page":"25094-25100","title":"Effect of algal species and light intensity on the performance of an air-lift-type microbial carbon capture cell with an algae-assisted cathode","type":"article-journal","volume":"6"},"uris":["http://www.mendeley.com/documents/?uuid=4117c938-2d33-3bce-b7c2-a2f33fb9701b"]}],"mendeley":{"formattedCitation":"[26]","plainTextFormattedCitation":"[26]","previouslyFormattedCitation":"[27]"},"properties":{"noteIndex":0},"schema":"https://github.com/citation-style-language/schema/raw/master/csl-citation.json"}</w:instrText>
            </w:r>
            <w:r w:rsidRPr="005655F8">
              <w:rPr>
                <w:rFonts w:ascii="Times New Roman" w:hAnsi="Times New Roman" w:cs="Times New Roman"/>
              </w:rPr>
              <w:fldChar w:fldCharType="separate"/>
            </w:r>
            <w:r w:rsidRPr="00402641">
              <w:rPr>
                <w:rFonts w:ascii="Times New Roman" w:hAnsi="Times New Roman" w:cs="Times New Roman"/>
                <w:noProof/>
              </w:rPr>
              <w:t>[26]</w:t>
            </w:r>
            <w:r w:rsidRPr="005655F8">
              <w:rPr>
                <w:rFonts w:ascii="Times New Roman" w:hAnsi="Times New Roman" w:cs="Times New Roman"/>
              </w:rPr>
              <w:fldChar w:fldCharType="end"/>
            </w:r>
          </w:p>
        </w:tc>
      </w:tr>
      <w:tr w:rsidR="00A03A12" w:rsidRPr="009668A4" w14:paraId="0BC48B4A" w14:textId="77777777" w:rsidTr="007A37CA">
        <w:tc>
          <w:tcPr>
            <w:tcW w:w="1555" w:type="dxa"/>
            <w:vAlign w:val="center"/>
          </w:tcPr>
          <w:p w14:paraId="169C71C4"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Carbon fibre cloth</w:t>
            </w:r>
          </w:p>
        </w:tc>
        <w:tc>
          <w:tcPr>
            <w:tcW w:w="1417" w:type="dxa"/>
            <w:vAlign w:val="center"/>
          </w:tcPr>
          <w:p w14:paraId="0AC51771"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i/>
              </w:rPr>
              <w:t>Ch. species</w:t>
            </w:r>
          </w:p>
        </w:tc>
        <w:tc>
          <w:tcPr>
            <w:tcW w:w="851" w:type="dxa"/>
            <w:vAlign w:val="center"/>
          </w:tcPr>
          <w:p w14:paraId="4620F61C"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379</w:t>
            </w:r>
          </w:p>
        </w:tc>
        <w:tc>
          <w:tcPr>
            <w:tcW w:w="850" w:type="dxa"/>
            <w:vAlign w:val="center"/>
          </w:tcPr>
          <w:p w14:paraId="798E6284"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158</w:t>
            </w:r>
          </w:p>
        </w:tc>
        <w:tc>
          <w:tcPr>
            <w:tcW w:w="1559" w:type="dxa"/>
            <w:vAlign w:val="center"/>
          </w:tcPr>
          <w:p w14:paraId="666653B1"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39.75</w:t>
            </w:r>
          </w:p>
        </w:tc>
        <w:tc>
          <w:tcPr>
            <w:tcW w:w="709" w:type="dxa"/>
            <w:vAlign w:val="center"/>
          </w:tcPr>
          <w:p w14:paraId="7EA5A34F"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7</w:t>
            </w:r>
          </w:p>
        </w:tc>
        <w:tc>
          <w:tcPr>
            <w:tcW w:w="1276" w:type="dxa"/>
            <w:vAlign w:val="center"/>
          </w:tcPr>
          <w:p w14:paraId="33771120"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5.22</w:t>
            </w:r>
          </w:p>
        </w:tc>
        <w:tc>
          <w:tcPr>
            <w:tcW w:w="992" w:type="dxa"/>
            <w:vAlign w:val="center"/>
          </w:tcPr>
          <w:p w14:paraId="79D8C32D"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fldChar w:fldCharType="begin" w:fldLock="1"/>
            </w:r>
            <w:r>
              <w:rPr>
                <w:rFonts w:ascii="Times New Roman" w:hAnsi="Times New Roman" w:cs="Times New Roman"/>
              </w:rPr>
              <w:instrText>ADDIN CSL_CITATION {"citationItems":[{"id":"ITEM-1","itemData":{"DOI":"10.1039/c5ra26299b","ISBN":"0065-3527","ISSN":"20462069","abstract":"The effect of algal species ( Chlorella vulgaris and Chlorella sp.) and light intensity on the performance of air-lift-type microbial carbon capture cells (ALMCCs) was investigated.","author":[{"dropping-particle":"","family":"Hu","given":"Xia","non-dropping-particle":"","parse-names":false,"suffix":""},{"dropping-particle":"","family":"Zhou","given":"Jiti","non-dropping-particle":"","parse-names":false,"suffix":""},{"dropping-particle":"","family":"Liu","given":"Baojun","non-dropping-particle":"","parse-names":false,"suffix":""}],"container-title":"RSC Advances","id":"ITEM-1","issue":"30","issued":{"date-parts":[["2016"]]},"page":"25094-25100","title":"Effect of algal species and light intensity on the performance of an air-lift-type microbial carbon capture cell with an algae-assisted cathode","type":"article-journal","volume":"6"},"uris":["http://www.mendeley.com/documents/?uuid=4117c938-2d33-3bce-b7c2-a2f33fb9701b"]}],"mendeley":{"formattedCitation":"[26]","plainTextFormattedCitation":"[26]","previouslyFormattedCitation":"[27]"},"properties":{"noteIndex":0},"schema":"https://github.com/citation-style-language/schema/raw/master/csl-citation.json"}</w:instrText>
            </w:r>
            <w:r w:rsidRPr="005655F8">
              <w:rPr>
                <w:rFonts w:ascii="Times New Roman" w:hAnsi="Times New Roman" w:cs="Times New Roman"/>
              </w:rPr>
              <w:fldChar w:fldCharType="separate"/>
            </w:r>
            <w:r w:rsidRPr="00402641">
              <w:rPr>
                <w:rFonts w:ascii="Times New Roman" w:hAnsi="Times New Roman" w:cs="Times New Roman"/>
                <w:noProof/>
              </w:rPr>
              <w:t>[26]</w:t>
            </w:r>
            <w:r w:rsidRPr="005655F8">
              <w:rPr>
                <w:rFonts w:ascii="Times New Roman" w:hAnsi="Times New Roman" w:cs="Times New Roman"/>
              </w:rPr>
              <w:fldChar w:fldCharType="end"/>
            </w:r>
          </w:p>
        </w:tc>
      </w:tr>
      <w:tr w:rsidR="00A03A12" w:rsidRPr="009668A4" w14:paraId="251BC131" w14:textId="77777777" w:rsidTr="007A37CA">
        <w:tc>
          <w:tcPr>
            <w:tcW w:w="1555" w:type="dxa"/>
            <w:vAlign w:val="center"/>
          </w:tcPr>
          <w:p w14:paraId="0E2045C4"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0.5 mg/cm</w:t>
            </w:r>
            <w:r w:rsidRPr="005655F8">
              <w:rPr>
                <w:rFonts w:ascii="Times New Roman" w:hAnsi="Times New Roman" w:cs="Times New Roman"/>
                <w:vertAlign w:val="superscript"/>
              </w:rPr>
              <w:t>2</w:t>
            </w:r>
            <w:r w:rsidRPr="005655F8">
              <w:rPr>
                <w:rFonts w:ascii="Times New Roman" w:hAnsi="Times New Roman" w:cs="Times New Roman"/>
              </w:rPr>
              <w:t xml:space="preserve"> platinum coated carbon paper</w:t>
            </w:r>
          </w:p>
        </w:tc>
        <w:tc>
          <w:tcPr>
            <w:tcW w:w="1417" w:type="dxa"/>
            <w:vAlign w:val="center"/>
          </w:tcPr>
          <w:p w14:paraId="0721264E"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i/>
              </w:rPr>
              <w:t>Sc. Obliquus</w:t>
            </w:r>
          </w:p>
        </w:tc>
        <w:tc>
          <w:tcPr>
            <w:tcW w:w="851" w:type="dxa"/>
            <w:vAlign w:val="center"/>
          </w:tcPr>
          <w:p w14:paraId="1DC7375C"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897</w:t>
            </w:r>
          </w:p>
        </w:tc>
        <w:tc>
          <w:tcPr>
            <w:tcW w:w="850" w:type="dxa"/>
            <w:vAlign w:val="center"/>
          </w:tcPr>
          <w:p w14:paraId="7EA380A9"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438</w:t>
            </w:r>
          </w:p>
        </w:tc>
        <w:tc>
          <w:tcPr>
            <w:tcW w:w="1559" w:type="dxa"/>
            <w:vAlign w:val="center"/>
          </w:tcPr>
          <w:p w14:paraId="618BD518"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154</w:t>
            </w:r>
          </w:p>
        </w:tc>
        <w:tc>
          <w:tcPr>
            <w:tcW w:w="709" w:type="dxa"/>
            <w:vAlign w:val="center"/>
          </w:tcPr>
          <w:p w14:paraId="4C7AE3BE"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7</w:t>
            </w:r>
          </w:p>
        </w:tc>
        <w:tc>
          <w:tcPr>
            <w:tcW w:w="1276" w:type="dxa"/>
            <w:vAlign w:val="center"/>
          </w:tcPr>
          <w:p w14:paraId="217FCAB0"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6.5</w:t>
            </w:r>
          </w:p>
        </w:tc>
        <w:tc>
          <w:tcPr>
            <w:tcW w:w="992" w:type="dxa"/>
            <w:vAlign w:val="center"/>
          </w:tcPr>
          <w:p w14:paraId="3E8F9389"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fldChar w:fldCharType="begin" w:fldLock="1"/>
            </w:r>
            <w:r>
              <w:rPr>
                <w:rFonts w:ascii="Times New Roman" w:hAnsi="Times New Roman" w:cs="Times New Roman"/>
              </w:rPr>
              <w:instrText>ADDIN CSL_CITATION {"citationItems":[{"id":"ITEM-1","itemData":{"DOI":"10.1016/j.ijhydene.2014.04.158","ISSN":"0360-3199","abstract":"a b s t r a c t Photoautotrophic algae Scenedismus obliquus could attach on the surface of a cathode electrode and produced oxygen for electricity generation in microbial fuel cell (MFC). Ox-ygen concentration by algae aeration in the cathode chamber increased from 0 to 15.7 mg/l within 12-h, and a voltage generation of 0.47 AE 0.03 V was obtained with 1000 U external resistance. In polarization test, MFC with algal aeration exhibited the maximum power density of 153 mW/m 2 , which was 32% higher than the value (116 mW/m 2) with me-chanical aeration at oxygen concentration of 5.9 mg/l. The internal resistance of MFC with algal aeration decreased in ohmic resistance (5.9e5.2 U) and charge transfer resistance (9.6 e7.2 U) over 72-h operation. Cyclic voltammetry of cathode during algal aeration revealed higher reduction current of À9.3 mA compared to mechanical aeration (À4.7 mA).","author":[{"dropping-particle":"","family":"Kakarla","given":"Ramesh","non-dropping-particle":"","parse-names":false,"suffix":""},{"dropping-particle":"","family":"Min","given":"Booki","non-dropping-particle":"","parse-names":false,"suffix":""}],"container-title":"International Journal of Hydrogen Energy","id":"ITEM-1","issue":"19","issued":{"date-parts":[["2014","6","24"]]},"page":"10275-10283","publisher":"Pergamon","title":"Photoautotrophic microalgae Scenedesmus obliquus attached on a cathode as oxygen producers for microbial fuel cell (MFC) operation","type":"article-journal","volume":"39"},"uris":["http://www.mendeley.com/documents/?uuid=eb0ceff7-85cd-42aa-8cd5-9c7c6412b622"]}],"mendeley":{"formattedCitation":"[10]","plainTextFormattedCitation":"[10]","previouslyFormattedCitation":"[10]"},"properties":{"noteIndex":0},"schema":"https://github.com/citation-style-language/schema/raw/master/csl-citation.json"}</w:instrText>
            </w:r>
            <w:r w:rsidRPr="005655F8">
              <w:rPr>
                <w:rFonts w:ascii="Times New Roman" w:hAnsi="Times New Roman" w:cs="Times New Roman"/>
              </w:rPr>
              <w:fldChar w:fldCharType="separate"/>
            </w:r>
            <w:r w:rsidRPr="00F5088D">
              <w:rPr>
                <w:rFonts w:ascii="Times New Roman" w:hAnsi="Times New Roman" w:cs="Times New Roman"/>
                <w:noProof/>
              </w:rPr>
              <w:t>[10]</w:t>
            </w:r>
            <w:r w:rsidRPr="005655F8">
              <w:rPr>
                <w:rFonts w:ascii="Times New Roman" w:hAnsi="Times New Roman" w:cs="Times New Roman"/>
              </w:rPr>
              <w:fldChar w:fldCharType="end"/>
            </w:r>
          </w:p>
        </w:tc>
      </w:tr>
      <w:tr w:rsidR="00A03A12" w:rsidRPr="009668A4" w14:paraId="6C393B49" w14:textId="77777777" w:rsidTr="007A37CA">
        <w:tc>
          <w:tcPr>
            <w:tcW w:w="1555" w:type="dxa"/>
            <w:vAlign w:val="center"/>
          </w:tcPr>
          <w:p w14:paraId="34CF4726"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Carbon cloth 10%Teflon</w:t>
            </w:r>
          </w:p>
        </w:tc>
        <w:tc>
          <w:tcPr>
            <w:tcW w:w="1417" w:type="dxa"/>
            <w:vAlign w:val="center"/>
          </w:tcPr>
          <w:p w14:paraId="0EE94830"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i/>
              </w:rPr>
              <w:t>Ch. Vulgaris</w:t>
            </w:r>
          </w:p>
        </w:tc>
        <w:tc>
          <w:tcPr>
            <w:tcW w:w="851" w:type="dxa"/>
            <w:vAlign w:val="center"/>
          </w:tcPr>
          <w:p w14:paraId="26830293"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462</w:t>
            </w:r>
          </w:p>
        </w:tc>
        <w:tc>
          <w:tcPr>
            <w:tcW w:w="850" w:type="dxa"/>
            <w:vAlign w:val="center"/>
          </w:tcPr>
          <w:p w14:paraId="0B069088"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1300</w:t>
            </w:r>
          </w:p>
        </w:tc>
        <w:tc>
          <w:tcPr>
            <w:tcW w:w="1559" w:type="dxa"/>
            <w:vAlign w:val="center"/>
          </w:tcPr>
          <w:p w14:paraId="15E35DB1"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14.4</w:t>
            </w:r>
          </w:p>
        </w:tc>
        <w:tc>
          <w:tcPr>
            <w:tcW w:w="709" w:type="dxa"/>
            <w:vAlign w:val="center"/>
          </w:tcPr>
          <w:p w14:paraId="4E8E1030"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7</w:t>
            </w:r>
          </w:p>
        </w:tc>
        <w:tc>
          <w:tcPr>
            <w:tcW w:w="1276" w:type="dxa"/>
            <w:vAlign w:val="center"/>
          </w:tcPr>
          <w:p w14:paraId="3B0FE6D1"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6</w:t>
            </w:r>
          </w:p>
          <w:p w14:paraId="6C16B08C" w14:textId="77777777" w:rsidR="00A03A12" w:rsidRPr="005655F8" w:rsidRDefault="00A03A12" w:rsidP="007A37CA">
            <w:pPr>
              <w:autoSpaceDE w:val="0"/>
              <w:autoSpaceDN w:val="0"/>
              <w:adjustRightInd w:val="0"/>
              <w:jc w:val="center"/>
              <w:rPr>
                <w:rFonts w:ascii="Times New Roman" w:hAnsi="Times New Roman" w:cs="Times New Roman"/>
              </w:rPr>
            </w:pPr>
          </w:p>
        </w:tc>
        <w:tc>
          <w:tcPr>
            <w:tcW w:w="992" w:type="dxa"/>
            <w:vAlign w:val="center"/>
          </w:tcPr>
          <w:p w14:paraId="3D7FD5C8"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fldChar w:fldCharType="begin" w:fldLock="1"/>
            </w:r>
            <w:r>
              <w:rPr>
                <w:rFonts w:ascii="Times New Roman" w:hAnsi="Times New Roman" w:cs="Times New Roman"/>
              </w:rPr>
              <w:instrText>ADDIN CSL_CITATION {"citationItems":[{"id":"ITEM-1","itemData":{"DOI":"10.1016/j.jpowsour.2013.05.110","ISSN":"0378-7753","abstract":"h i g h l i g h t s g r a p h i c a l a b s t r a c t An MFC with not precious metal but using algae in the cathode has been implemented. At night the MFC still produces high amount of energy. The cathode has the biggest polari-zation resistance. Energy recovery from fruit juice industry wastewater has been produced. a b s t r a c t A microbial fuel cell (MFC) with an algae-assisted cathode, i.e., a system where the oxygen required by the cathode is not provided by aeration but by the photosynthetic process of the algae (Chlorella vulgaris), has been studied. The cathode was illuminated for 12 h each day (from 8:00 h to 20:00 h). 25 days was necessary to achieve steady state conditions. The time evolution of dissolved oxygen and cell voltage were assessed over the course of each day. As expected, the dissolved oxygen values were not constant throughout the day, reaching maximum values between 14:00 h and 20:00 h when dark phase reactions began and the algae started to consume oxygen. Cell voltage (R ext 120 U) followed the same trend as the oxygen profile. The supply of CO 2 in the cathode was also studied, and half an hour was enough time to get the system working properly. During the acclimation stage, power density increased up to 13.5 mW m À2 at steady state conditions. However, impedance analysis showed that polarization resistance was higher at the cathode than at the anode. Nevertheless, it can be concluded that the studied system is a feasible method to treat wastewater in a self-sustainable way.","author":[{"dropping-particle":"","family":"González","given":"Araceli","non-dropping-particle":"","parse-names":false,"suffix":""},{"dropping-particle":"","family":"Cañizares","given":"Pablo","non-dropping-particle":"","parse-names":false,"suffix":""},{"dropping-particle":"","family":"Rodrigo","given":"Manuel A","non-dropping-particle":"","parse-names":false,"suffix":""},{"dropping-particle":"","family":"Fernández","given":"Francisco J","non-dropping-particle":"","parse-names":false,"suffix":""},{"dropping-particle":"","family":"Lobato","given":"Justo","non-dropping-particle":"","parse-names":false,"suffix":""},{"dropping-particle":"","family":"Campo","given":"Del","non-dropping-particle":"","parse-names":false,"suffix":""},{"dropping-particle":"","family":"Cañizares","given":"Pablo","non-dropping-particle":"","parse-names":false,"suffix":""},{"dropping-particle":"","family":"Rodrigo","given":"Manuel A","non-dropping-particle":"","parse-names":false,"suffix":""},{"dropping-particle":"","family":"Fernández","given":"Francisco J","non-dropping-particle":"","parse-names":false,"suffix":""},{"dropping-particle":"","family":"Lobato","given":"Justo","non-dropping-particle":"","parse-names":false,"suffix":""}],"container-title":"Journal of Power Sources","id":"ITEM-1","issued":{"date-parts":[["2013"]]},"page":"638-645","publisher":"Elsevier B.V","title":"Microbial fuel cell with an algae-assisted cathode : A preliminary assessment","type":"article-journal","volume":"242"},"uris":["http://www.mendeley.com/documents/?uuid=83b3462b-f11c-496b-b861-c19ffb55cd72"]}],"mendeley":{"formattedCitation":"[27]","plainTextFormattedCitation":"[27]","previouslyFormattedCitation":"[28]"},"properties":{"noteIndex":0},"schema":"https://github.com/citation-style-language/schema/raw/master/csl-citation.json"}</w:instrText>
            </w:r>
            <w:r w:rsidRPr="005655F8">
              <w:rPr>
                <w:rFonts w:ascii="Times New Roman" w:hAnsi="Times New Roman" w:cs="Times New Roman"/>
              </w:rPr>
              <w:fldChar w:fldCharType="separate"/>
            </w:r>
            <w:r w:rsidRPr="00402641">
              <w:rPr>
                <w:rFonts w:ascii="Times New Roman" w:hAnsi="Times New Roman" w:cs="Times New Roman"/>
                <w:noProof/>
              </w:rPr>
              <w:t>[27]</w:t>
            </w:r>
            <w:r w:rsidRPr="005655F8">
              <w:rPr>
                <w:rFonts w:ascii="Times New Roman" w:hAnsi="Times New Roman" w:cs="Times New Roman"/>
              </w:rPr>
              <w:fldChar w:fldCharType="end"/>
            </w:r>
          </w:p>
        </w:tc>
      </w:tr>
      <w:tr w:rsidR="00A03A12" w:rsidRPr="009668A4" w14:paraId="40BF4CFA" w14:textId="77777777" w:rsidTr="007A37CA">
        <w:tc>
          <w:tcPr>
            <w:tcW w:w="1555" w:type="dxa"/>
            <w:vAlign w:val="center"/>
          </w:tcPr>
          <w:p w14:paraId="6AA4535B"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GF</w:t>
            </w:r>
          </w:p>
        </w:tc>
        <w:tc>
          <w:tcPr>
            <w:tcW w:w="1417" w:type="dxa"/>
            <w:vAlign w:val="center"/>
          </w:tcPr>
          <w:p w14:paraId="3D1EC35E"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eastAsia="Times New Roman" w:hAnsi="Times New Roman" w:cs="Times New Roman"/>
                <w:i/>
                <w:color w:val="000000"/>
                <w:lang w:eastAsia="en-GB"/>
              </w:rPr>
              <w:t>Desmo-desmus sp. A8</w:t>
            </w:r>
          </w:p>
        </w:tc>
        <w:tc>
          <w:tcPr>
            <w:tcW w:w="851" w:type="dxa"/>
            <w:vAlign w:val="center"/>
          </w:tcPr>
          <w:p w14:paraId="6039C9E8"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410</w:t>
            </w:r>
          </w:p>
        </w:tc>
        <w:tc>
          <w:tcPr>
            <w:tcW w:w="850" w:type="dxa"/>
            <w:vAlign w:val="center"/>
          </w:tcPr>
          <w:p w14:paraId="2403C48A"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136</w:t>
            </w:r>
          </w:p>
        </w:tc>
        <w:tc>
          <w:tcPr>
            <w:tcW w:w="1559" w:type="dxa"/>
            <w:vAlign w:val="center"/>
          </w:tcPr>
          <w:p w14:paraId="3F97B441" w14:textId="77777777" w:rsidR="00A03A12" w:rsidRPr="005655F8" w:rsidRDefault="00A03A12" w:rsidP="007A37CA">
            <w:pPr>
              <w:autoSpaceDE w:val="0"/>
              <w:autoSpaceDN w:val="0"/>
              <w:adjustRightInd w:val="0"/>
              <w:jc w:val="center"/>
              <w:rPr>
                <w:rFonts w:ascii="Times New Roman" w:eastAsia="Times New Roman" w:hAnsi="Times New Roman" w:cs="Times New Roman"/>
                <w:color w:val="000000"/>
                <w:lang w:eastAsia="en-GB"/>
              </w:rPr>
            </w:pPr>
            <w:r w:rsidRPr="005655F8">
              <w:rPr>
                <w:rFonts w:ascii="Times New Roman" w:eastAsia="Times New Roman" w:hAnsi="Times New Roman" w:cs="Times New Roman"/>
                <w:color w:val="000000"/>
                <w:lang w:eastAsia="en-GB"/>
              </w:rPr>
              <w:t>64.2</w:t>
            </w:r>
          </w:p>
        </w:tc>
        <w:tc>
          <w:tcPr>
            <w:tcW w:w="709" w:type="dxa"/>
            <w:vAlign w:val="center"/>
          </w:tcPr>
          <w:p w14:paraId="39EAFE73" w14:textId="77777777" w:rsidR="00A03A12" w:rsidRPr="005655F8" w:rsidRDefault="00A03A12" w:rsidP="007A37CA">
            <w:pPr>
              <w:autoSpaceDE w:val="0"/>
              <w:autoSpaceDN w:val="0"/>
              <w:adjustRightInd w:val="0"/>
              <w:jc w:val="center"/>
              <w:rPr>
                <w:rFonts w:ascii="Times New Roman" w:eastAsia="Times New Roman" w:hAnsi="Times New Roman" w:cs="Times New Roman"/>
                <w:i/>
                <w:color w:val="000000"/>
                <w:lang w:eastAsia="en-GB"/>
              </w:rPr>
            </w:pPr>
          </w:p>
        </w:tc>
        <w:tc>
          <w:tcPr>
            <w:tcW w:w="1276" w:type="dxa"/>
            <w:vAlign w:val="center"/>
          </w:tcPr>
          <w:p w14:paraId="07305DA5"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7.5</w:t>
            </w:r>
          </w:p>
        </w:tc>
        <w:tc>
          <w:tcPr>
            <w:tcW w:w="992" w:type="dxa"/>
            <w:vAlign w:val="center"/>
          </w:tcPr>
          <w:p w14:paraId="65852A94"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eastAsia="Times New Roman" w:hAnsi="Times New Roman" w:cs="Times New Roman"/>
                <w:color w:val="000000"/>
                <w:lang w:eastAsia="en-GB"/>
              </w:rPr>
              <w:fldChar w:fldCharType="begin" w:fldLock="1"/>
            </w:r>
            <w:r>
              <w:rPr>
                <w:rFonts w:ascii="Times New Roman" w:eastAsia="Times New Roman" w:hAnsi="Times New Roman" w:cs="Times New Roman"/>
                <w:color w:val="000000"/>
                <w:lang w:eastAsia="en-GB"/>
              </w:rPr>
              <w:instrText>ADDIN CSL_CITATION {"citationItems":[{"id":"ITEM-1","itemData":{"DOI":"10.1016/j.apenergy.2013.11.066","ISSN":"03062619","abstract":"The performance of photo microbial fuel cells (photo-MFCs) with Desmodesmus sp. A8 as cathodic microorganism under different light intensities (0, 1500, 2000, 2500, 3000, 3500lx) was investigated. The results showed that illumination enhanced the output of the photo-MFC three-fold. When light intensity was increased from 0 to 1500lx, cathode resistance decreased from 3152.0 to 136.7Ω while anode resistance decreased from 13.9 to 11.3Ω. In addition, the cathode potential increased from −0.44 to −0.33V (vs. Ag/AgCl) and reached a plateau as the light intensity was increased from 1500lx to 3500lx. Accompanied with the potential change, dissolved oxygen (DO) within the cathode biofilm increased to 13.2mgL−1 under light intensity of 3500lx and dropped to 7.5mgL−1 at 1500lx. This work demonstrated that light intensity profoundly impacted the performance of photo-MFC with Desmodesmus sp. A8 through changing the DO.","author":[{"dropping-particle":"","family":"Zhao","given":"Feng","non-dropping-particle":"","parse-names":false,"suffix":""},{"dropping-particle":"","family":"Zheng","given":"Yue","non-dropping-particle":"","parse-names":false,"suffix":""},{"dropping-particle":"","family":"Wang","given":"Ze-jie","non-dropping-particle":"","parse-names":false,"suffix":""},{"dropping-particle":"","family":"Yang","given":"Zhao-hui","non-dropping-particle":"","parse-names":false,"suffix":""},{"dropping-particle":"","family":"Xiao","given":"Yong","non-dropping-particle":"","parse-names":false,"suffix":""},{"dropping-particle":"","family":"Wu","given":"Yi-cheng","non-dropping-particle":"","parse-names":false,"suffix":""}],"container-title":"Applied Energy","id":"ITEM-1","issued":{"date-parts":[["2013","3","1"]]},"page":"86-90","publisher":"Elsevier","title":"Light intensity affects the performance of photo microbial fuel cells with Desmodesmus sp. A8 as cathodic microorganism","type":"article-journal","volume":"116"},"uris":["http://www.mendeley.com/documents/?uuid=4b3a0917-0b31-3863-9c41-3f0e2a2d3363"]}],"mendeley":{"formattedCitation":"[18]","plainTextFormattedCitation":"[18]","previouslyFormattedCitation":"[19]"},"properties":{"noteIndex":0},"schema":"https://github.com/citation-style-language/schema/raw/master/csl-citation.json"}</w:instrText>
            </w:r>
            <w:r w:rsidRPr="005655F8">
              <w:rPr>
                <w:rFonts w:ascii="Times New Roman" w:eastAsia="Times New Roman" w:hAnsi="Times New Roman" w:cs="Times New Roman"/>
                <w:color w:val="000000"/>
                <w:lang w:eastAsia="en-GB"/>
              </w:rPr>
              <w:fldChar w:fldCharType="separate"/>
            </w:r>
            <w:r w:rsidRPr="00402641">
              <w:rPr>
                <w:rFonts w:ascii="Times New Roman" w:eastAsia="Times New Roman" w:hAnsi="Times New Roman" w:cs="Times New Roman"/>
                <w:noProof/>
                <w:color w:val="000000"/>
                <w:lang w:eastAsia="en-GB"/>
              </w:rPr>
              <w:t>[18]</w:t>
            </w:r>
            <w:r w:rsidRPr="005655F8">
              <w:rPr>
                <w:rFonts w:ascii="Times New Roman" w:eastAsia="Times New Roman" w:hAnsi="Times New Roman" w:cs="Times New Roman"/>
                <w:color w:val="000000"/>
                <w:lang w:eastAsia="en-GB"/>
              </w:rPr>
              <w:fldChar w:fldCharType="end"/>
            </w:r>
          </w:p>
        </w:tc>
      </w:tr>
      <w:tr w:rsidR="00A03A12" w:rsidRPr="009668A4" w14:paraId="0DC53EC2" w14:textId="77777777" w:rsidTr="007A37CA">
        <w:tc>
          <w:tcPr>
            <w:tcW w:w="1555" w:type="dxa"/>
            <w:vAlign w:val="center"/>
          </w:tcPr>
          <w:p w14:paraId="05F8EB2A"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eastAsia="Times New Roman" w:hAnsi="Times New Roman" w:cs="Times New Roman"/>
                <w:color w:val="000000"/>
                <w:lang w:eastAsia="en-GB"/>
              </w:rPr>
              <w:t>CC/Pt 0.1mg/cm</w:t>
            </w:r>
            <w:r w:rsidRPr="005655F8">
              <w:rPr>
                <w:rFonts w:ascii="Times New Roman" w:eastAsia="Times New Roman" w:hAnsi="Times New Roman" w:cs="Times New Roman"/>
                <w:color w:val="000000"/>
                <w:vertAlign w:val="superscript"/>
                <w:lang w:eastAsia="en-GB"/>
              </w:rPr>
              <w:t>2</w:t>
            </w:r>
          </w:p>
        </w:tc>
        <w:tc>
          <w:tcPr>
            <w:tcW w:w="1417" w:type="dxa"/>
            <w:vAlign w:val="center"/>
          </w:tcPr>
          <w:p w14:paraId="396263A7"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eastAsia="Times New Roman" w:hAnsi="Times New Roman" w:cs="Times New Roman"/>
                <w:i/>
                <w:color w:val="000000"/>
                <w:lang w:eastAsia="en-GB"/>
              </w:rPr>
              <w:t>Ch. Vulgaris</w:t>
            </w:r>
          </w:p>
        </w:tc>
        <w:tc>
          <w:tcPr>
            <w:tcW w:w="851" w:type="dxa"/>
            <w:vAlign w:val="center"/>
          </w:tcPr>
          <w:p w14:paraId="0E95DCC1"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805</w:t>
            </w:r>
          </w:p>
        </w:tc>
        <w:tc>
          <w:tcPr>
            <w:tcW w:w="850" w:type="dxa"/>
            <w:vAlign w:val="center"/>
          </w:tcPr>
          <w:p w14:paraId="26429ED9" w14:textId="77777777" w:rsidR="00A03A12" w:rsidRPr="005655F8" w:rsidRDefault="00A03A12" w:rsidP="007A37CA">
            <w:pPr>
              <w:autoSpaceDE w:val="0"/>
              <w:autoSpaceDN w:val="0"/>
              <w:adjustRightInd w:val="0"/>
              <w:jc w:val="center"/>
              <w:rPr>
                <w:rFonts w:ascii="Times New Roman" w:hAnsi="Times New Roman" w:cs="Times New Roman"/>
              </w:rPr>
            </w:pPr>
          </w:p>
        </w:tc>
        <w:tc>
          <w:tcPr>
            <w:tcW w:w="1559" w:type="dxa"/>
            <w:vAlign w:val="center"/>
          </w:tcPr>
          <w:p w14:paraId="64D4B04A" w14:textId="77777777" w:rsidR="00A03A12" w:rsidRPr="005655F8" w:rsidRDefault="00A03A12" w:rsidP="007A37CA">
            <w:pPr>
              <w:autoSpaceDE w:val="0"/>
              <w:autoSpaceDN w:val="0"/>
              <w:adjustRightInd w:val="0"/>
              <w:jc w:val="center"/>
              <w:rPr>
                <w:rFonts w:ascii="Times New Roman" w:eastAsia="Times New Roman" w:hAnsi="Times New Roman" w:cs="Times New Roman"/>
                <w:color w:val="000000"/>
                <w:lang w:eastAsia="en-GB"/>
              </w:rPr>
            </w:pPr>
            <w:r w:rsidRPr="005655F8">
              <w:rPr>
                <w:rFonts w:ascii="Times New Roman" w:eastAsia="Times New Roman" w:hAnsi="Times New Roman" w:cs="Times New Roman"/>
                <w:color w:val="000000"/>
                <w:lang w:eastAsia="en-GB"/>
              </w:rPr>
              <w:t>2300</w:t>
            </w:r>
          </w:p>
        </w:tc>
        <w:tc>
          <w:tcPr>
            <w:tcW w:w="709" w:type="dxa"/>
            <w:vAlign w:val="center"/>
          </w:tcPr>
          <w:p w14:paraId="4E7BEF55" w14:textId="77777777" w:rsidR="00A03A12" w:rsidRPr="005655F8" w:rsidRDefault="00A03A12" w:rsidP="007A37CA">
            <w:pPr>
              <w:autoSpaceDE w:val="0"/>
              <w:autoSpaceDN w:val="0"/>
              <w:adjustRightInd w:val="0"/>
              <w:jc w:val="center"/>
              <w:rPr>
                <w:rFonts w:ascii="Times New Roman" w:eastAsia="Times New Roman" w:hAnsi="Times New Roman" w:cs="Times New Roman"/>
                <w:i/>
                <w:color w:val="000000"/>
                <w:lang w:eastAsia="en-GB"/>
              </w:rPr>
            </w:pPr>
          </w:p>
        </w:tc>
        <w:tc>
          <w:tcPr>
            <w:tcW w:w="1276" w:type="dxa"/>
            <w:vAlign w:val="center"/>
          </w:tcPr>
          <w:p w14:paraId="039971AA" w14:textId="77777777" w:rsidR="00A03A12" w:rsidRPr="005655F8" w:rsidRDefault="00A03A12" w:rsidP="007A37CA">
            <w:pPr>
              <w:autoSpaceDE w:val="0"/>
              <w:autoSpaceDN w:val="0"/>
              <w:adjustRightInd w:val="0"/>
              <w:jc w:val="center"/>
              <w:rPr>
                <w:rFonts w:ascii="Times New Roman" w:eastAsia="Times New Roman" w:hAnsi="Times New Roman" w:cs="Times New Roman"/>
                <w:color w:val="000000"/>
                <w:lang w:eastAsia="en-GB"/>
              </w:rPr>
            </w:pPr>
            <w:r w:rsidRPr="005655F8">
              <w:rPr>
                <w:rFonts w:ascii="Times New Roman" w:eastAsia="Times New Roman" w:hAnsi="Times New Roman" w:cs="Times New Roman"/>
                <w:color w:val="000000"/>
                <w:lang w:eastAsia="en-GB"/>
              </w:rPr>
              <w:t>7.6</w:t>
            </w:r>
          </w:p>
        </w:tc>
        <w:tc>
          <w:tcPr>
            <w:tcW w:w="992" w:type="dxa"/>
            <w:vAlign w:val="center"/>
          </w:tcPr>
          <w:p w14:paraId="30AA3BCF" w14:textId="77777777" w:rsidR="00A03A12" w:rsidRPr="005655F8" w:rsidRDefault="00A03A12" w:rsidP="007A37CA">
            <w:pPr>
              <w:autoSpaceDE w:val="0"/>
              <w:autoSpaceDN w:val="0"/>
              <w:adjustRightInd w:val="0"/>
              <w:jc w:val="center"/>
              <w:rPr>
                <w:rFonts w:ascii="Times New Roman" w:eastAsia="Times New Roman" w:hAnsi="Times New Roman" w:cs="Times New Roman"/>
                <w:color w:val="000000"/>
                <w:lang w:eastAsia="en-GB"/>
              </w:rPr>
            </w:pPr>
            <w:r w:rsidRPr="005655F8">
              <w:rPr>
                <w:rFonts w:ascii="Times New Roman" w:eastAsia="Times New Roman" w:hAnsi="Times New Roman" w:cs="Times New Roman"/>
                <w:color w:val="000000"/>
                <w:lang w:eastAsia="en-GB"/>
              </w:rPr>
              <w:fldChar w:fldCharType="begin" w:fldLock="1"/>
            </w:r>
            <w:r>
              <w:rPr>
                <w:rFonts w:ascii="Times New Roman" w:eastAsia="Times New Roman" w:hAnsi="Times New Roman" w:cs="Times New Roman"/>
                <w:color w:val="000000"/>
                <w:lang w:eastAsia="en-GB"/>
              </w:rPr>
              <w:instrText>ADDIN CSL_CITATION {"citationItems":[{"id":"ITEM-1","itemData":{"DOI":"10.1016/j.bios.2010.04.036","ISBN":"1873-4235 (Electronic) 0956-5663 (Linking)","ISSN":"09565663","PMID":"20547055","abstract":"Due to increased discharge of CO2 is incurring problems, CO2 sequestration technologies require substantial development. By introducing anodic off gas into an algae grown cathode (Chlorella vulgaris), new microbial carbon capture cells (MCCs) were constructed and demonstrated here to be an effective technology for CO2 emission reduction with simultaneous voltage output without aeration (610±50mV, 1000Ω). Maximum power densities increased from 4.1 to 5.6W/m3 when the optical density (OD) of cathodic algae suspension increased from 0.21 to 0.85 (658nm). Compared to a stable voltage of 706±21mV (1000Ω) obtained with cathodic dissolved oxygen (DO) of 6.6±1.0mg/L in MCC, voltage outputs decreased from 654 to 189mV over 70h in the control reactor (no algae) accompanied with a decrease in DO from 7.6 to 0.9mg/L, indicating that cathode electron acceptor was oxygen. Gas analysis showed that all the CO2 generated from anode was completely eliminated by catholyte, and the soluble inorganic carbon was further converted into algal biomass. These results showed the possibility of a new method for simultaneous carbon fixing, power generation and biodiesel production during wastewater treatment without aeration. © 2010 Elsevier B.V.","author":[{"dropping-particle":"","family":"Wang","given":"Xin","non-dropping-particle":"","parse-names":false,"suffix":""},{"dropping-particle":"","family":"Feng","given":"Yujie","non-dropping-particle":"","parse-names":false,"suffix":""},{"dropping-particle":"","family":"Liu","given":"Jia","non-dropping-particle":"","parse-names":false,"suffix":""},{"dropping-particle":"","family":"Lee","given":"He","non-dropping-particle":"","parse-names":false,"suffix":""},{"dropping-particle":"","family":"Li","given":"Chao","non-dropping-particle":"","parse-names":false,"suffix":""},{"dropping-particle":"","family":"Li","given":"Nan","non-dropping-particle":"","parse-names":false,"suffix":""},{"dropping-particle":"","family":"Ren","given":"Nanqi","non-dropping-particle":"","parse-names":false,"suffix":""}],"container-title":"Biosensors and Bioelectronics","id":"ITEM-1","issue":"12","issued":{"date-parts":[["2010"]]},"page":"2639-2643","title":"Sequestration of CO2 discharged from anode by algal cathode in microbial carbon capture cells (MCCs)","type":"article-journal","volume":"25"},"uris":["http://www.mendeley.com/documents/?uuid=fde9a901-4983-3956-938f-55d8b83c5cd6"]}],"mendeley":{"formattedCitation":"[28]","plainTextFormattedCitation":"[28]","previouslyFormattedCitation":"[29]"},"properties":{"noteIndex":0},"schema":"https://github.com/citation-style-language/schema/raw/master/csl-citation.json"}</w:instrText>
            </w:r>
            <w:r w:rsidRPr="005655F8">
              <w:rPr>
                <w:rFonts w:ascii="Times New Roman" w:eastAsia="Times New Roman" w:hAnsi="Times New Roman" w:cs="Times New Roman"/>
                <w:color w:val="000000"/>
                <w:lang w:eastAsia="en-GB"/>
              </w:rPr>
              <w:fldChar w:fldCharType="separate"/>
            </w:r>
            <w:r w:rsidRPr="00402641">
              <w:rPr>
                <w:rFonts w:ascii="Times New Roman" w:eastAsia="Times New Roman" w:hAnsi="Times New Roman" w:cs="Times New Roman"/>
                <w:noProof/>
                <w:color w:val="000000"/>
                <w:lang w:eastAsia="en-GB"/>
              </w:rPr>
              <w:t>[28]</w:t>
            </w:r>
            <w:r w:rsidRPr="005655F8">
              <w:rPr>
                <w:rFonts w:ascii="Times New Roman" w:eastAsia="Times New Roman" w:hAnsi="Times New Roman" w:cs="Times New Roman"/>
                <w:color w:val="000000"/>
                <w:lang w:eastAsia="en-GB"/>
              </w:rPr>
              <w:fldChar w:fldCharType="end"/>
            </w:r>
          </w:p>
        </w:tc>
      </w:tr>
      <w:tr w:rsidR="00A03A12" w:rsidRPr="009668A4" w14:paraId="16926E94" w14:textId="77777777" w:rsidTr="007A37CA">
        <w:tc>
          <w:tcPr>
            <w:tcW w:w="1555" w:type="dxa"/>
            <w:vAlign w:val="center"/>
          </w:tcPr>
          <w:p w14:paraId="630541AF"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eastAsia="Times New Roman" w:hAnsi="Times New Roman" w:cs="Times New Roman"/>
                <w:color w:val="000000"/>
                <w:lang w:eastAsia="en-GB"/>
              </w:rPr>
              <w:t>CP 0.5 mg/cm</w:t>
            </w:r>
            <w:r w:rsidRPr="005655F8">
              <w:rPr>
                <w:rFonts w:ascii="Times New Roman" w:eastAsia="Times New Roman" w:hAnsi="Times New Roman" w:cs="Times New Roman"/>
                <w:color w:val="000000"/>
                <w:vertAlign w:val="superscript"/>
                <w:lang w:eastAsia="en-GB"/>
              </w:rPr>
              <w:t>2</w:t>
            </w:r>
            <w:r w:rsidRPr="005655F8">
              <w:rPr>
                <w:rFonts w:ascii="Times New Roman" w:eastAsia="Times New Roman" w:hAnsi="Times New Roman" w:cs="Times New Roman"/>
                <w:color w:val="000000"/>
                <w:lang w:eastAsia="en-GB"/>
              </w:rPr>
              <w:t xml:space="preserve"> Pt</w:t>
            </w:r>
          </w:p>
        </w:tc>
        <w:tc>
          <w:tcPr>
            <w:tcW w:w="1417" w:type="dxa"/>
            <w:vAlign w:val="center"/>
          </w:tcPr>
          <w:p w14:paraId="5BB5D307"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eastAsia="Times New Roman" w:hAnsi="Times New Roman" w:cs="Times New Roman"/>
                <w:i/>
                <w:color w:val="000000"/>
                <w:lang w:eastAsia="en-GB"/>
              </w:rPr>
              <w:t>Sc. Obliquus</w:t>
            </w:r>
          </w:p>
        </w:tc>
        <w:tc>
          <w:tcPr>
            <w:tcW w:w="851" w:type="dxa"/>
            <w:vAlign w:val="center"/>
          </w:tcPr>
          <w:p w14:paraId="696DA86E" w14:textId="77777777" w:rsidR="00A03A12" w:rsidRPr="005655F8" w:rsidRDefault="00A03A12" w:rsidP="007A37CA">
            <w:pPr>
              <w:autoSpaceDE w:val="0"/>
              <w:autoSpaceDN w:val="0"/>
              <w:adjustRightInd w:val="0"/>
              <w:jc w:val="center"/>
              <w:rPr>
                <w:rFonts w:ascii="Times New Roman" w:hAnsi="Times New Roman" w:cs="Times New Roman"/>
              </w:rPr>
            </w:pPr>
          </w:p>
        </w:tc>
        <w:tc>
          <w:tcPr>
            <w:tcW w:w="850" w:type="dxa"/>
            <w:vAlign w:val="center"/>
          </w:tcPr>
          <w:p w14:paraId="2EE36B97"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673</w:t>
            </w:r>
          </w:p>
        </w:tc>
        <w:tc>
          <w:tcPr>
            <w:tcW w:w="1559" w:type="dxa"/>
            <w:vAlign w:val="center"/>
          </w:tcPr>
          <w:p w14:paraId="65A33B59" w14:textId="77777777" w:rsidR="00A03A12" w:rsidRPr="005655F8" w:rsidRDefault="00A03A12" w:rsidP="007A37CA">
            <w:pPr>
              <w:autoSpaceDE w:val="0"/>
              <w:autoSpaceDN w:val="0"/>
              <w:adjustRightInd w:val="0"/>
              <w:jc w:val="center"/>
              <w:rPr>
                <w:rFonts w:ascii="Times New Roman" w:eastAsia="Times New Roman" w:hAnsi="Times New Roman" w:cs="Times New Roman"/>
                <w:color w:val="000000"/>
                <w:lang w:eastAsia="en-GB"/>
              </w:rPr>
            </w:pPr>
            <w:r w:rsidRPr="005655F8">
              <w:rPr>
                <w:rFonts w:ascii="Times New Roman" w:eastAsia="Times New Roman" w:hAnsi="Times New Roman" w:cs="Times New Roman"/>
                <w:color w:val="000000"/>
                <w:lang w:eastAsia="en-GB"/>
              </w:rPr>
              <w:t>34.2</w:t>
            </w:r>
          </w:p>
        </w:tc>
        <w:tc>
          <w:tcPr>
            <w:tcW w:w="709" w:type="dxa"/>
            <w:vAlign w:val="center"/>
          </w:tcPr>
          <w:p w14:paraId="4228A7B7" w14:textId="77777777" w:rsidR="00A03A12" w:rsidRPr="005655F8" w:rsidRDefault="00A03A12" w:rsidP="007A37CA">
            <w:pPr>
              <w:autoSpaceDE w:val="0"/>
              <w:autoSpaceDN w:val="0"/>
              <w:adjustRightInd w:val="0"/>
              <w:jc w:val="center"/>
              <w:rPr>
                <w:rFonts w:ascii="Times New Roman" w:eastAsia="Times New Roman" w:hAnsi="Times New Roman" w:cs="Times New Roman"/>
                <w:i/>
                <w:color w:val="000000"/>
                <w:lang w:eastAsia="en-GB"/>
              </w:rPr>
            </w:pPr>
          </w:p>
        </w:tc>
        <w:tc>
          <w:tcPr>
            <w:tcW w:w="1276" w:type="dxa"/>
            <w:vAlign w:val="center"/>
          </w:tcPr>
          <w:p w14:paraId="2CB6DDEA" w14:textId="77777777" w:rsidR="00A03A12" w:rsidRPr="005655F8" w:rsidRDefault="00A03A12" w:rsidP="007A37CA">
            <w:pPr>
              <w:autoSpaceDE w:val="0"/>
              <w:autoSpaceDN w:val="0"/>
              <w:adjustRightInd w:val="0"/>
              <w:jc w:val="center"/>
              <w:rPr>
                <w:rFonts w:ascii="Times New Roman" w:eastAsia="Times New Roman" w:hAnsi="Times New Roman" w:cs="Times New Roman"/>
                <w:i/>
                <w:color w:val="000000"/>
                <w:lang w:eastAsia="en-GB"/>
              </w:rPr>
            </w:pPr>
          </w:p>
        </w:tc>
        <w:tc>
          <w:tcPr>
            <w:tcW w:w="992" w:type="dxa"/>
            <w:vAlign w:val="center"/>
          </w:tcPr>
          <w:p w14:paraId="7E6C29F4" w14:textId="77777777" w:rsidR="00A03A12" w:rsidRPr="005655F8" w:rsidRDefault="00A03A12" w:rsidP="007A37CA">
            <w:pPr>
              <w:autoSpaceDE w:val="0"/>
              <w:autoSpaceDN w:val="0"/>
              <w:adjustRightInd w:val="0"/>
              <w:jc w:val="center"/>
              <w:rPr>
                <w:rFonts w:ascii="Times New Roman" w:eastAsia="Times New Roman" w:hAnsi="Times New Roman" w:cs="Times New Roman"/>
                <w:color w:val="000000"/>
                <w:lang w:eastAsia="en-GB"/>
              </w:rPr>
            </w:pPr>
            <w:r w:rsidRPr="005655F8">
              <w:rPr>
                <w:rFonts w:ascii="Times New Roman" w:eastAsia="Times New Roman" w:hAnsi="Times New Roman" w:cs="Times New Roman"/>
                <w:color w:val="000000"/>
                <w:lang w:eastAsia="en-GB"/>
              </w:rPr>
              <w:fldChar w:fldCharType="begin" w:fldLock="1"/>
            </w:r>
            <w:r>
              <w:rPr>
                <w:rFonts w:ascii="Times New Roman" w:eastAsia="Times New Roman" w:hAnsi="Times New Roman" w:cs="Times New Roman"/>
                <w:color w:val="000000"/>
                <w:lang w:eastAsia="en-GB"/>
              </w:rPr>
              <w:instrText>ADDIN CSL_CITATION {"citationItems":[{"id":"ITEM-1","itemData":{"DOI":"10.1016/j.jpowsour.2017.03.097","ISBN":"978-973-568-383-2","ISSN":"03787753","abstract":"The chlorophyte microalga Chlorella vulgaris has been exploited within bioindustrial settings to treat wastewater and produce oxygen at the cathode of microbial fuel cells (MFCs), thereby accumulating algal biomass and producing electricity. We aimed to couple these capacities by growing C. vulgaris at the cathode of MFCs in wastewater previously treated by anodic bacteria. The bioelectrochemical performance of the MFCs was investigated with different catholytes including phosphate buffer and anode effluent, either in the presence or absence of C. vulgaris. The power output fluctuated diurnally in the presence of the alga. The maximum power when C. vulgaris was present reached 34.2 ± 10.0 mW m−2, double that observed without the alga (15.6 ± 9.7 mW m−2), with a relaxation of 0.19 gL−1 d−1chemical oxygen demand and 5 mg L−1 d−1ammonium also removed. The microbial community associated with the algal biofilm included nitrogen-fixing (Rhizobiaceae), denitrifying (Pseudomonas stutzeri and Thauera sp., from Pseudomonadales and Rhodocyclales orders, respectively), and nitrate-reducing bacteria (Rheinheimera sp. from the Alteromonadales), all of which likely contributed to nitrogen cycling processes at the cathode. This paper highlights the importance of coupling microbial community screening to electrochemical and chemical analyses to better understand the processes involved in photo-cathode MFCs.","author":[{"dropping-particle":"","family":"Commault","given":"Audrey S.","non-dropping-particle":"","parse-names":false,"suffix":""},{"dropping-particle":"","family":"Laczka","given":"Olivier","non-dropping-particle":"","parse-names":false,"suffix":""},{"dropping-particle":"","family":"Siboni","given":"Nachshon","non-dropping-particle":"","parse-names":false,"suffix":""},{"dropping-particle":"","family":"Tamburic","given":"Bojan","non-dropping-particle":"","parse-names":false,"suffix":""},{"dropping-particle":"","family":"Crosswell","given":"Joseph R.","non-dropping-particle":"","parse-names":false,"suffix":""},{"dropping-particle":"","family":"Seymour","given":"Justin R.","non-dropping-particle":"","parse-names":false,"suffix":""},{"dropping-particle":"","family":"Ralph","given":"Peter J.","non-dropping-particle":"","parse-names":false,"suffix":""}],"container-title":"Journal of Power Sources","id":"ITEM-1","issued":{"date-parts":[["2017","7"]]},"page":"299-309","title":"Electricity and biomass production in a bacteria-Chlorella based microbial fuel cell treating wastewater","type":"article-journal","volume":"356"},"uris":["http://www.mendeley.com/documents/?uuid=a2899544-0ade-38d9-846a-ccab5288c3e8"]}],"mendeley":{"formattedCitation":"[29]","plainTextFormattedCitation":"[29]","previouslyFormattedCitation":"[30]"},"properties":{"noteIndex":0},"schema":"https://github.com/citation-style-language/schema/raw/master/csl-citation.json"}</w:instrText>
            </w:r>
            <w:r w:rsidRPr="005655F8">
              <w:rPr>
                <w:rFonts w:ascii="Times New Roman" w:eastAsia="Times New Roman" w:hAnsi="Times New Roman" w:cs="Times New Roman"/>
                <w:color w:val="000000"/>
                <w:lang w:eastAsia="en-GB"/>
              </w:rPr>
              <w:fldChar w:fldCharType="separate"/>
            </w:r>
            <w:r w:rsidRPr="00402641">
              <w:rPr>
                <w:rFonts w:ascii="Times New Roman" w:eastAsia="Times New Roman" w:hAnsi="Times New Roman" w:cs="Times New Roman"/>
                <w:noProof/>
                <w:color w:val="000000"/>
                <w:lang w:eastAsia="en-GB"/>
              </w:rPr>
              <w:t>[29]</w:t>
            </w:r>
            <w:r w:rsidRPr="005655F8">
              <w:rPr>
                <w:rFonts w:ascii="Times New Roman" w:eastAsia="Times New Roman" w:hAnsi="Times New Roman" w:cs="Times New Roman"/>
                <w:color w:val="000000"/>
                <w:lang w:eastAsia="en-GB"/>
              </w:rPr>
              <w:fldChar w:fldCharType="end"/>
            </w:r>
          </w:p>
        </w:tc>
      </w:tr>
      <w:tr w:rsidR="00A03A12" w:rsidRPr="009668A4" w14:paraId="721487C8" w14:textId="77777777" w:rsidTr="007A37CA">
        <w:tc>
          <w:tcPr>
            <w:tcW w:w="1555" w:type="dxa"/>
            <w:vAlign w:val="center"/>
          </w:tcPr>
          <w:p w14:paraId="0AA8DDD7" w14:textId="77777777" w:rsidR="00A03A12" w:rsidRPr="005655F8" w:rsidRDefault="00A03A12" w:rsidP="007A37CA">
            <w:pPr>
              <w:autoSpaceDE w:val="0"/>
              <w:autoSpaceDN w:val="0"/>
              <w:adjustRightInd w:val="0"/>
              <w:jc w:val="center"/>
              <w:rPr>
                <w:rFonts w:ascii="Times New Roman" w:eastAsia="Times New Roman" w:hAnsi="Times New Roman" w:cs="Times New Roman"/>
                <w:color w:val="000000"/>
                <w:lang w:eastAsia="en-GB"/>
              </w:rPr>
            </w:pPr>
            <w:r w:rsidRPr="005655F8">
              <w:rPr>
                <w:rFonts w:ascii="Times New Roman" w:hAnsi="Times New Roman" w:cs="Times New Roman"/>
              </w:rPr>
              <w:t>ITO/PET</w:t>
            </w:r>
          </w:p>
        </w:tc>
        <w:tc>
          <w:tcPr>
            <w:tcW w:w="1417" w:type="dxa"/>
            <w:vAlign w:val="center"/>
          </w:tcPr>
          <w:p w14:paraId="35F6CEC2" w14:textId="77777777" w:rsidR="000D2C36" w:rsidRDefault="00A03A12" w:rsidP="007A37CA">
            <w:pPr>
              <w:autoSpaceDE w:val="0"/>
              <w:autoSpaceDN w:val="0"/>
              <w:adjustRightInd w:val="0"/>
              <w:jc w:val="center"/>
              <w:rPr>
                <w:rFonts w:ascii="Times New Roman" w:hAnsi="Times New Roman" w:cs="Times New Roman"/>
                <w:i/>
              </w:rPr>
            </w:pPr>
            <w:r w:rsidRPr="005655F8">
              <w:rPr>
                <w:rFonts w:ascii="Times New Roman" w:hAnsi="Times New Roman" w:cs="Times New Roman"/>
                <w:i/>
              </w:rPr>
              <w:t>Sc. Obliquus/</w:t>
            </w:r>
          </w:p>
          <w:p w14:paraId="0B532BD1" w14:textId="59A1F9BE"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mixed</w:t>
            </w:r>
          </w:p>
        </w:tc>
        <w:tc>
          <w:tcPr>
            <w:tcW w:w="851" w:type="dxa"/>
            <w:vAlign w:val="center"/>
          </w:tcPr>
          <w:p w14:paraId="10C4B8EF"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485</w:t>
            </w:r>
          </w:p>
        </w:tc>
        <w:tc>
          <w:tcPr>
            <w:tcW w:w="850" w:type="dxa"/>
            <w:vAlign w:val="center"/>
          </w:tcPr>
          <w:p w14:paraId="65F771A7"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5230</w:t>
            </w:r>
          </w:p>
        </w:tc>
        <w:tc>
          <w:tcPr>
            <w:tcW w:w="1559" w:type="dxa"/>
            <w:vAlign w:val="center"/>
          </w:tcPr>
          <w:p w14:paraId="60D002C9" w14:textId="77777777" w:rsidR="00A03A12" w:rsidRPr="005655F8" w:rsidRDefault="00A03A12" w:rsidP="007A37CA">
            <w:pPr>
              <w:autoSpaceDE w:val="0"/>
              <w:autoSpaceDN w:val="0"/>
              <w:adjustRightInd w:val="0"/>
              <w:jc w:val="center"/>
              <w:rPr>
                <w:rFonts w:ascii="Times New Roman" w:eastAsia="Times New Roman" w:hAnsi="Times New Roman" w:cs="Times New Roman"/>
                <w:color w:val="000000"/>
                <w:lang w:eastAsia="en-GB"/>
              </w:rPr>
            </w:pPr>
            <w:r w:rsidRPr="005655F8">
              <w:rPr>
                <w:rFonts w:ascii="Times New Roman" w:eastAsia="Times New Roman" w:hAnsi="Times New Roman" w:cs="Times New Roman"/>
                <w:color w:val="000000"/>
                <w:lang w:eastAsia="en-GB"/>
              </w:rPr>
              <w:t>1.52±1.45</w:t>
            </w:r>
          </w:p>
        </w:tc>
        <w:tc>
          <w:tcPr>
            <w:tcW w:w="709" w:type="dxa"/>
            <w:vAlign w:val="center"/>
          </w:tcPr>
          <w:p w14:paraId="2707C12C" w14:textId="77777777" w:rsidR="00A03A12" w:rsidRPr="005655F8" w:rsidRDefault="00A03A12" w:rsidP="007A37CA">
            <w:pPr>
              <w:autoSpaceDE w:val="0"/>
              <w:autoSpaceDN w:val="0"/>
              <w:adjustRightInd w:val="0"/>
              <w:jc w:val="center"/>
              <w:rPr>
                <w:rFonts w:ascii="Times New Roman" w:eastAsia="Times New Roman" w:hAnsi="Times New Roman" w:cs="Times New Roman"/>
                <w:i/>
                <w:color w:val="000000"/>
                <w:lang w:eastAsia="en-GB"/>
              </w:rPr>
            </w:pPr>
            <w:r w:rsidRPr="005655F8">
              <w:rPr>
                <w:rFonts w:ascii="Times New Roman" w:hAnsi="Times New Roman" w:cs="Times New Roman"/>
              </w:rPr>
              <w:t>9</w:t>
            </w:r>
          </w:p>
        </w:tc>
        <w:tc>
          <w:tcPr>
            <w:tcW w:w="1276" w:type="dxa"/>
            <w:vAlign w:val="center"/>
          </w:tcPr>
          <w:p w14:paraId="6F8A7AE4"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12</w:t>
            </w:r>
          </w:p>
          <w:p w14:paraId="2E9968BA" w14:textId="77777777" w:rsidR="00A03A12" w:rsidRPr="005655F8" w:rsidRDefault="00A03A12" w:rsidP="007A37CA">
            <w:pPr>
              <w:autoSpaceDE w:val="0"/>
              <w:autoSpaceDN w:val="0"/>
              <w:adjustRightInd w:val="0"/>
              <w:jc w:val="center"/>
              <w:rPr>
                <w:rFonts w:ascii="Times New Roman" w:eastAsia="Times New Roman" w:hAnsi="Times New Roman" w:cs="Times New Roman"/>
                <w:i/>
                <w:color w:val="000000"/>
                <w:lang w:eastAsia="en-GB"/>
              </w:rPr>
            </w:pPr>
          </w:p>
        </w:tc>
        <w:tc>
          <w:tcPr>
            <w:tcW w:w="992" w:type="dxa"/>
            <w:vAlign w:val="center"/>
          </w:tcPr>
          <w:p w14:paraId="4E5370A0" w14:textId="77777777" w:rsidR="00A03A12" w:rsidRPr="005655F8" w:rsidRDefault="00A03A12" w:rsidP="007A37CA">
            <w:pPr>
              <w:autoSpaceDE w:val="0"/>
              <w:autoSpaceDN w:val="0"/>
              <w:adjustRightInd w:val="0"/>
              <w:jc w:val="center"/>
              <w:rPr>
                <w:rFonts w:ascii="Times New Roman" w:eastAsia="Times New Roman" w:hAnsi="Times New Roman" w:cs="Times New Roman"/>
                <w:color w:val="000000"/>
                <w:lang w:eastAsia="en-GB"/>
              </w:rPr>
            </w:pPr>
            <w:r w:rsidRPr="005655F8">
              <w:rPr>
                <w:rFonts w:ascii="Times New Roman" w:hAnsi="Times New Roman" w:cs="Times New Roman"/>
              </w:rPr>
              <w:t>This study</w:t>
            </w:r>
          </w:p>
        </w:tc>
      </w:tr>
      <w:tr w:rsidR="00A03A12" w:rsidRPr="009668A4" w14:paraId="73908141" w14:textId="77777777" w:rsidTr="007A37CA">
        <w:tc>
          <w:tcPr>
            <w:tcW w:w="1555" w:type="dxa"/>
            <w:vAlign w:val="center"/>
          </w:tcPr>
          <w:p w14:paraId="18AA05CF" w14:textId="77777777" w:rsidR="00A03A12" w:rsidRPr="005655F8" w:rsidRDefault="00A03A12" w:rsidP="007A37CA">
            <w:pPr>
              <w:autoSpaceDE w:val="0"/>
              <w:autoSpaceDN w:val="0"/>
              <w:adjustRightInd w:val="0"/>
              <w:jc w:val="center"/>
              <w:rPr>
                <w:rFonts w:ascii="Times New Roman" w:eastAsia="Times New Roman" w:hAnsi="Times New Roman" w:cs="Times New Roman"/>
                <w:color w:val="000000"/>
                <w:lang w:eastAsia="en-GB"/>
              </w:rPr>
            </w:pPr>
            <w:r w:rsidRPr="005655F8">
              <w:rPr>
                <w:rFonts w:ascii="Times New Roman" w:hAnsi="Times New Roman" w:cs="Times New Roman"/>
              </w:rPr>
              <w:t>GF acid treated</w:t>
            </w:r>
          </w:p>
        </w:tc>
        <w:tc>
          <w:tcPr>
            <w:tcW w:w="1417" w:type="dxa"/>
            <w:vAlign w:val="center"/>
          </w:tcPr>
          <w:p w14:paraId="7656B055" w14:textId="77777777" w:rsidR="000D2C36" w:rsidRDefault="00A03A12" w:rsidP="007A37CA">
            <w:pPr>
              <w:autoSpaceDE w:val="0"/>
              <w:autoSpaceDN w:val="0"/>
              <w:adjustRightInd w:val="0"/>
              <w:jc w:val="center"/>
              <w:rPr>
                <w:rFonts w:ascii="Times New Roman" w:hAnsi="Times New Roman" w:cs="Times New Roman"/>
                <w:i/>
              </w:rPr>
            </w:pPr>
            <w:r w:rsidRPr="005655F8">
              <w:rPr>
                <w:rFonts w:ascii="Times New Roman" w:hAnsi="Times New Roman" w:cs="Times New Roman"/>
                <w:i/>
              </w:rPr>
              <w:t>Sc. Obliquus/</w:t>
            </w:r>
          </w:p>
          <w:p w14:paraId="4DAD9D4E" w14:textId="5866AF0F"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mixed</w:t>
            </w:r>
          </w:p>
        </w:tc>
        <w:tc>
          <w:tcPr>
            <w:tcW w:w="851" w:type="dxa"/>
            <w:vAlign w:val="center"/>
          </w:tcPr>
          <w:p w14:paraId="1878A1A4"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497</w:t>
            </w:r>
          </w:p>
        </w:tc>
        <w:tc>
          <w:tcPr>
            <w:tcW w:w="850" w:type="dxa"/>
            <w:vAlign w:val="center"/>
          </w:tcPr>
          <w:p w14:paraId="66DDBE0F"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1866</w:t>
            </w:r>
          </w:p>
        </w:tc>
        <w:tc>
          <w:tcPr>
            <w:tcW w:w="1559" w:type="dxa"/>
            <w:vAlign w:val="center"/>
          </w:tcPr>
          <w:p w14:paraId="63D1291A" w14:textId="77777777" w:rsidR="00A03A12" w:rsidRPr="005655F8" w:rsidRDefault="00A03A12" w:rsidP="007A37CA">
            <w:pPr>
              <w:autoSpaceDE w:val="0"/>
              <w:autoSpaceDN w:val="0"/>
              <w:adjustRightInd w:val="0"/>
              <w:jc w:val="center"/>
              <w:rPr>
                <w:rFonts w:ascii="Times New Roman" w:eastAsia="Times New Roman" w:hAnsi="Times New Roman" w:cs="Times New Roman"/>
                <w:color w:val="000000"/>
                <w:lang w:eastAsia="en-GB"/>
              </w:rPr>
            </w:pPr>
            <w:r w:rsidRPr="005655F8">
              <w:rPr>
                <w:rFonts w:ascii="Times New Roman" w:eastAsia="Times New Roman" w:hAnsi="Times New Roman" w:cs="Times New Roman"/>
                <w:color w:val="000000"/>
                <w:lang w:eastAsia="en-GB"/>
              </w:rPr>
              <w:t>6.63±0.81</w:t>
            </w:r>
          </w:p>
        </w:tc>
        <w:tc>
          <w:tcPr>
            <w:tcW w:w="709" w:type="dxa"/>
            <w:vAlign w:val="center"/>
          </w:tcPr>
          <w:p w14:paraId="6A22BA9C" w14:textId="77777777" w:rsidR="00A03A12" w:rsidRPr="005655F8" w:rsidRDefault="00A03A12" w:rsidP="007A37CA">
            <w:pPr>
              <w:autoSpaceDE w:val="0"/>
              <w:autoSpaceDN w:val="0"/>
              <w:adjustRightInd w:val="0"/>
              <w:jc w:val="center"/>
              <w:rPr>
                <w:rFonts w:ascii="Times New Roman" w:eastAsia="Times New Roman" w:hAnsi="Times New Roman" w:cs="Times New Roman"/>
                <w:i/>
                <w:color w:val="000000"/>
                <w:lang w:eastAsia="en-GB"/>
              </w:rPr>
            </w:pPr>
            <w:r w:rsidRPr="005655F8">
              <w:rPr>
                <w:rFonts w:ascii="Times New Roman" w:hAnsi="Times New Roman" w:cs="Times New Roman"/>
              </w:rPr>
              <w:t>9</w:t>
            </w:r>
          </w:p>
        </w:tc>
        <w:tc>
          <w:tcPr>
            <w:tcW w:w="1276" w:type="dxa"/>
            <w:vAlign w:val="center"/>
          </w:tcPr>
          <w:p w14:paraId="515DEFA7" w14:textId="77777777" w:rsidR="00A03A12" w:rsidRPr="005655F8" w:rsidRDefault="00A03A12" w:rsidP="007A37CA">
            <w:pPr>
              <w:autoSpaceDE w:val="0"/>
              <w:autoSpaceDN w:val="0"/>
              <w:adjustRightInd w:val="0"/>
              <w:jc w:val="center"/>
              <w:rPr>
                <w:rFonts w:ascii="Times New Roman" w:hAnsi="Times New Roman" w:cs="Times New Roman"/>
              </w:rPr>
            </w:pPr>
            <w:r w:rsidRPr="005655F8">
              <w:rPr>
                <w:rFonts w:ascii="Times New Roman" w:hAnsi="Times New Roman" w:cs="Times New Roman"/>
              </w:rPr>
              <w:t>15</w:t>
            </w:r>
          </w:p>
          <w:p w14:paraId="1BBFB29C" w14:textId="77777777" w:rsidR="00A03A12" w:rsidRPr="005655F8" w:rsidRDefault="00A03A12" w:rsidP="007A37CA">
            <w:pPr>
              <w:autoSpaceDE w:val="0"/>
              <w:autoSpaceDN w:val="0"/>
              <w:adjustRightInd w:val="0"/>
              <w:jc w:val="center"/>
              <w:rPr>
                <w:rFonts w:ascii="Times New Roman" w:eastAsia="Times New Roman" w:hAnsi="Times New Roman" w:cs="Times New Roman"/>
                <w:i/>
                <w:color w:val="000000"/>
                <w:lang w:eastAsia="en-GB"/>
              </w:rPr>
            </w:pPr>
          </w:p>
        </w:tc>
        <w:tc>
          <w:tcPr>
            <w:tcW w:w="992" w:type="dxa"/>
            <w:vAlign w:val="center"/>
          </w:tcPr>
          <w:p w14:paraId="2433D574" w14:textId="77777777" w:rsidR="00A03A12" w:rsidRPr="005655F8" w:rsidRDefault="00A03A12" w:rsidP="007A37CA">
            <w:pPr>
              <w:autoSpaceDE w:val="0"/>
              <w:autoSpaceDN w:val="0"/>
              <w:adjustRightInd w:val="0"/>
              <w:jc w:val="center"/>
              <w:rPr>
                <w:rFonts w:ascii="Times New Roman" w:eastAsia="Times New Roman" w:hAnsi="Times New Roman" w:cs="Times New Roman"/>
                <w:color w:val="000000"/>
                <w:lang w:eastAsia="en-GB"/>
              </w:rPr>
            </w:pPr>
            <w:r w:rsidRPr="005655F8">
              <w:rPr>
                <w:rFonts w:ascii="Times New Roman" w:hAnsi="Times New Roman" w:cs="Times New Roman"/>
              </w:rPr>
              <w:t>This study</w:t>
            </w:r>
          </w:p>
        </w:tc>
      </w:tr>
    </w:tbl>
    <w:p w14:paraId="09BB8AB6" w14:textId="77777777" w:rsidR="00A03A12" w:rsidRPr="009668A4" w:rsidRDefault="00A03A12" w:rsidP="00A03A12">
      <w:pPr>
        <w:spacing w:line="480" w:lineRule="auto"/>
        <w:jc w:val="both"/>
        <w:rPr>
          <w:rFonts w:ascii="Times New Roman" w:hAnsi="Times New Roman" w:cs="Times New Roman"/>
          <w:sz w:val="24"/>
          <w:szCs w:val="24"/>
        </w:rPr>
      </w:pPr>
    </w:p>
    <w:p w14:paraId="7AC51166" w14:textId="77777777" w:rsidR="00A03A12" w:rsidRPr="00384515" w:rsidRDefault="00A03A12" w:rsidP="00A03A12">
      <w:pPr>
        <w:spacing w:line="360" w:lineRule="auto"/>
        <w:jc w:val="both"/>
        <w:rPr>
          <w:rFonts w:ascii="Times New Roman" w:hAnsi="Times New Roman" w:cs="Times New Roman"/>
          <w:i/>
          <w:sz w:val="24"/>
        </w:rPr>
      </w:pPr>
    </w:p>
    <w:p w14:paraId="72ABBC83" w14:textId="77777777" w:rsidR="009C5E90" w:rsidRDefault="009C5E90"/>
    <w:p w14:paraId="235F9184" w14:textId="77777777" w:rsidR="009C5E90" w:rsidRDefault="009C5E90"/>
    <w:sectPr w:rsidR="009C5E9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C36AE8" w14:textId="77777777" w:rsidR="0070735C" w:rsidRDefault="0070735C" w:rsidP="00F41CBD">
      <w:pPr>
        <w:spacing w:after="0" w:line="240" w:lineRule="auto"/>
      </w:pPr>
      <w:r>
        <w:separator/>
      </w:r>
    </w:p>
  </w:endnote>
  <w:endnote w:type="continuationSeparator" w:id="0">
    <w:p w14:paraId="43D29350" w14:textId="77777777" w:rsidR="0070735C" w:rsidRDefault="0070735C" w:rsidP="00F41C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35580F" w14:textId="77777777" w:rsidR="0070735C" w:rsidRDefault="0070735C" w:rsidP="00F41CBD">
      <w:pPr>
        <w:spacing w:after="0" w:line="240" w:lineRule="auto"/>
      </w:pPr>
      <w:r>
        <w:separator/>
      </w:r>
    </w:p>
  </w:footnote>
  <w:footnote w:type="continuationSeparator" w:id="0">
    <w:p w14:paraId="76D901F8" w14:textId="77777777" w:rsidR="0070735C" w:rsidRDefault="0070735C" w:rsidP="00F41CB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ES" w:vendorID="64" w:dllVersion="6" w:nlCheck="1" w:checkStyle="0"/>
  <w:activeWritingStyle w:appName="MSWord" w:lang="en-GB" w:vendorID="64" w:dllVersion="6" w:nlCheck="1" w:checkStyle="1"/>
  <w:activeWritingStyle w:appName="MSWord" w:lang="en-US" w:vendorID="64" w:dllVersion="6" w:nlCheck="1" w:checkStyle="1"/>
  <w:activeWritingStyle w:appName="MSWord" w:lang="en-US" w:vendorID="64" w:dllVersion="0" w:nlCheck="1" w:checkStyle="0"/>
  <w:activeWritingStyle w:appName="MSWord" w:lang="es-ES" w:vendorID="64" w:dllVersion="0" w:nlCheck="1" w:checkStyle="0"/>
  <w:activeWritingStyle w:appName="MSWord" w:lang="en-GB" w:vendorID="64" w:dllVersion="0" w:nlCheck="1" w:checkStyle="0"/>
  <w:activeWritingStyle w:appName="MSWord" w:lang="es-ES" w:vendorID="64" w:dllVersion="131078" w:nlCheck="1" w:checkStyle="0"/>
  <w:activeWritingStyle w:appName="MSWord" w:lang="en-GB" w:vendorID="64" w:dllVersion="131078" w:nlCheck="1" w:checkStyle="1"/>
  <w:activeWritingStyle w:appName="MSWord" w:lang="en-US" w:vendorID="64" w:dllVersion="131078" w:nlCheck="1" w:checkStyle="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4349"/>
    <w:rsid w:val="000063D4"/>
    <w:rsid w:val="0006414C"/>
    <w:rsid w:val="00076F14"/>
    <w:rsid w:val="000A36C6"/>
    <w:rsid w:val="000D2C36"/>
    <w:rsid w:val="00123152"/>
    <w:rsid w:val="001830BE"/>
    <w:rsid w:val="001D6BEB"/>
    <w:rsid w:val="001F2FE3"/>
    <w:rsid w:val="001F4F7E"/>
    <w:rsid w:val="00215624"/>
    <w:rsid w:val="00215D9E"/>
    <w:rsid w:val="00237E8E"/>
    <w:rsid w:val="00247FAE"/>
    <w:rsid w:val="002651B5"/>
    <w:rsid w:val="00266C32"/>
    <w:rsid w:val="00275595"/>
    <w:rsid w:val="002B4432"/>
    <w:rsid w:val="002B4FAF"/>
    <w:rsid w:val="002B5AD7"/>
    <w:rsid w:val="002F7814"/>
    <w:rsid w:val="00314B6D"/>
    <w:rsid w:val="003166A8"/>
    <w:rsid w:val="0033227F"/>
    <w:rsid w:val="00372CA5"/>
    <w:rsid w:val="00384515"/>
    <w:rsid w:val="003B05DB"/>
    <w:rsid w:val="003F284F"/>
    <w:rsid w:val="004816F3"/>
    <w:rsid w:val="004B7970"/>
    <w:rsid w:val="004E02D2"/>
    <w:rsid w:val="00561310"/>
    <w:rsid w:val="00563607"/>
    <w:rsid w:val="00587812"/>
    <w:rsid w:val="005C2999"/>
    <w:rsid w:val="005D3F9C"/>
    <w:rsid w:val="005D3FA1"/>
    <w:rsid w:val="005F3F35"/>
    <w:rsid w:val="0062424F"/>
    <w:rsid w:val="00653298"/>
    <w:rsid w:val="00695D9F"/>
    <w:rsid w:val="006A3A3E"/>
    <w:rsid w:val="006A4AD6"/>
    <w:rsid w:val="006B34BF"/>
    <w:rsid w:val="006E4051"/>
    <w:rsid w:val="006E4349"/>
    <w:rsid w:val="006F133F"/>
    <w:rsid w:val="0070735C"/>
    <w:rsid w:val="00716C27"/>
    <w:rsid w:val="00735BD4"/>
    <w:rsid w:val="007472C9"/>
    <w:rsid w:val="00752561"/>
    <w:rsid w:val="00795A45"/>
    <w:rsid w:val="0079640A"/>
    <w:rsid w:val="007D5B68"/>
    <w:rsid w:val="00800207"/>
    <w:rsid w:val="008003C0"/>
    <w:rsid w:val="00811E46"/>
    <w:rsid w:val="00842CAD"/>
    <w:rsid w:val="008B1C01"/>
    <w:rsid w:val="008B1D36"/>
    <w:rsid w:val="008D0DE9"/>
    <w:rsid w:val="008D2C1B"/>
    <w:rsid w:val="00915CA6"/>
    <w:rsid w:val="00984FD7"/>
    <w:rsid w:val="009857C5"/>
    <w:rsid w:val="0099271B"/>
    <w:rsid w:val="00997B9E"/>
    <w:rsid w:val="009C5E90"/>
    <w:rsid w:val="00A0389E"/>
    <w:rsid w:val="00A03A12"/>
    <w:rsid w:val="00A44187"/>
    <w:rsid w:val="00AB6CD2"/>
    <w:rsid w:val="00AE6CA7"/>
    <w:rsid w:val="00AF724C"/>
    <w:rsid w:val="00B20D70"/>
    <w:rsid w:val="00B22B5A"/>
    <w:rsid w:val="00B23245"/>
    <w:rsid w:val="00B26A3A"/>
    <w:rsid w:val="00B4715C"/>
    <w:rsid w:val="00B51982"/>
    <w:rsid w:val="00B55E7F"/>
    <w:rsid w:val="00B73291"/>
    <w:rsid w:val="00BA525F"/>
    <w:rsid w:val="00C058A1"/>
    <w:rsid w:val="00C23087"/>
    <w:rsid w:val="00C2630C"/>
    <w:rsid w:val="00C57121"/>
    <w:rsid w:val="00C67D23"/>
    <w:rsid w:val="00C76C41"/>
    <w:rsid w:val="00C826FC"/>
    <w:rsid w:val="00D56203"/>
    <w:rsid w:val="00D57364"/>
    <w:rsid w:val="00D65B64"/>
    <w:rsid w:val="00D966A5"/>
    <w:rsid w:val="00DA1152"/>
    <w:rsid w:val="00DB2783"/>
    <w:rsid w:val="00DB5933"/>
    <w:rsid w:val="00DB6F43"/>
    <w:rsid w:val="00DC47BD"/>
    <w:rsid w:val="00E27941"/>
    <w:rsid w:val="00E43F9E"/>
    <w:rsid w:val="00EF29A0"/>
    <w:rsid w:val="00EF61BF"/>
    <w:rsid w:val="00F41CBD"/>
    <w:rsid w:val="00F55E5A"/>
    <w:rsid w:val="00F9190B"/>
    <w:rsid w:val="00FE3329"/>
    <w:rsid w:val="00FF302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9CB30C"/>
  <w15:chartTrackingRefBased/>
  <w15:docId w15:val="{84A6679A-44DD-4220-BCF2-9AC8B5A257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1CBD"/>
    <w:pPr>
      <w:tabs>
        <w:tab w:val="center" w:pos="4513"/>
        <w:tab w:val="right" w:pos="9026"/>
      </w:tabs>
      <w:spacing w:after="0" w:line="240" w:lineRule="auto"/>
    </w:pPr>
  </w:style>
  <w:style w:type="character" w:customStyle="1" w:styleId="HeaderChar">
    <w:name w:val="Header Char"/>
    <w:basedOn w:val="DefaultParagraphFont"/>
    <w:link w:val="Header"/>
    <w:uiPriority w:val="99"/>
    <w:rsid w:val="00F41CBD"/>
  </w:style>
  <w:style w:type="paragraph" w:styleId="Footer">
    <w:name w:val="footer"/>
    <w:basedOn w:val="Normal"/>
    <w:link w:val="FooterChar"/>
    <w:uiPriority w:val="99"/>
    <w:unhideWhenUsed/>
    <w:rsid w:val="00F41CBD"/>
    <w:pPr>
      <w:tabs>
        <w:tab w:val="center" w:pos="4513"/>
        <w:tab w:val="right" w:pos="9026"/>
      </w:tabs>
      <w:spacing w:after="0" w:line="240" w:lineRule="auto"/>
    </w:pPr>
  </w:style>
  <w:style w:type="character" w:customStyle="1" w:styleId="FooterChar">
    <w:name w:val="Footer Char"/>
    <w:basedOn w:val="DefaultParagraphFont"/>
    <w:link w:val="Footer"/>
    <w:uiPriority w:val="99"/>
    <w:rsid w:val="00F41CBD"/>
  </w:style>
  <w:style w:type="paragraph" w:styleId="BalloonText">
    <w:name w:val="Balloon Text"/>
    <w:basedOn w:val="Normal"/>
    <w:link w:val="BalloonTextChar"/>
    <w:uiPriority w:val="99"/>
    <w:semiHidden/>
    <w:unhideWhenUsed/>
    <w:rsid w:val="00B4715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4715C"/>
    <w:rPr>
      <w:rFonts w:ascii="Segoe UI" w:hAnsi="Segoe UI" w:cs="Segoe UI"/>
      <w:sz w:val="18"/>
      <w:szCs w:val="18"/>
    </w:rPr>
  </w:style>
  <w:style w:type="character" w:styleId="CommentReference">
    <w:name w:val="annotation reference"/>
    <w:basedOn w:val="DefaultParagraphFont"/>
    <w:uiPriority w:val="99"/>
    <w:semiHidden/>
    <w:unhideWhenUsed/>
    <w:rsid w:val="001F2FE3"/>
    <w:rPr>
      <w:sz w:val="16"/>
      <w:szCs w:val="16"/>
    </w:rPr>
  </w:style>
  <w:style w:type="paragraph" w:styleId="CommentText">
    <w:name w:val="annotation text"/>
    <w:basedOn w:val="Normal"/>
    <w:link w:val="CommentTextChar"/>
    <w:uiPriority w:val="99"/>
    <w:semiHidden/>
    <w:unhideWhenUsed/>
    <w:rsid w:val="001F2FE3"/>
    <w:pPr>
      <w:spacing w:line="240" w:lineRule="auto"/>
    </w:pPr>
    <w:rPr>
      <w:sz w:val="20"/>
      <w:szCs w:val="20"/>
    </w:rPr>
  </w:style>
  <w:style w:type="character" w:customStyle="1" w:styleId="CommentTextChar">
    <w:name w:val="Comment Text Char"/>
    <w:basedOn w:val="DefaultParagraphFont"/>
    <w:link w:val="CommentText"/>
    <w:uiPriority w:val="99"/>
    <w:semiHidden/>
    <w:rsid w:val="001F2FE3"/>
    <w:rPr>
      <w:sz w:val="20"/>
      <w:szCs w:val="20"/>
    </w:rPr>
  </w:style>
  <w:style w:type="paragraph" w:customStyle="1" w:styleId="BATitle">
    <w:name w:val="BA_Title"/>
    <w:basedOn w:val="Normal"/>
    <w:next w:val="BBAuthorName"/>
    <w:rsid w:val="00123152"/>
    <w:pPr>
      <w:spacing w:before="720" w:after="360" w:line="480" w:lineRule="auto"/>
      <w:jc w:val="center"/>
    </w:pPr>
    <w:rPr>
      <w:rFonts w:ascii="Times New Roman" w:eastAsia="Times New Roman" w:hAnsi="Times New Roman" w:cs="Times New Roman"/>
      <w:sz w:val="44"/>
      <w:szCs w:val="20"/>
      <w:lang w:val="en-US"/>
    </w:rPr>
  </w:style>
  <w:style w:type="paragraph" w:customStyle="1" w:styleId="BBAuthorName">
    <w:name w:val="BB_Author_Name"/>
    <w:basedOn w:val="Normal"/>
    <w:next w:val="Normal"/>
    <w:rsid w:val="00123152"/>
    <w:pPr>
      <w:spacing w:after="240" w:line="480" w:lineRule="auto"/>
      <w:jc w:val="center"/>
    </w:pPr>
    <w:rPr>
      <w:rFonts w:ascii="Times" w:eastAsia="Times New Roman" w:hAnsi="Times" w:cs="Times New Roman"/>
      <w:i/>
      <w:sz w:val="24"/>
      <w:szCs w:val="20"/>
      <w:lang w:val="en-US"/>
    </w:rPr>
  </w:style>
  <w:style w:type="paragraph" w:customStyle="1" w:styleId="BCAuthorAddress">
    <w:name w:val="BC_Author_Address"/>
    <w:basedOn w:val="Normal"/>
    <w:next w:val="Normal"/>
    <w:rsid w:val="00123152"/>
    <w:pPr>
      <w:spacing w:after="240" w:line="480" w:lineRule="auto"/>
      <w:jc w:val="center"/>
    </w:pPr>
    <w:rPr>
      <w:rFonts w:ascii="Times" w:eastAsia="Times New Roman" w:hAnsi="Times" w:cs="Times New Roman"/>
      <w:sz w:val="24"/>
      <w:szCs w:val="20"/>
      <w:lang w:val="en-US"/>
    </w:rPr>
  </w:style>
  <w:style w:type="paragraph" w:styleId="Caption">
    <w:name w:val="caption"/>
    <w:basedOn w:val="Normal"/>
    <w:next w:val="Normal"/>
    <w:uiPriority w:val="35"/>
    <w:unhideWhenUsed/>
    <w:qFormat/>
    <w:rsid w:val="0006414C"/>
    <w:pPr>
      <w:spacing w:after="200" w:line="240" w:lineRule="auto"/>
    </w:pPr>
    <w:rPr>
      <w:i/>
      <w:iCs/>
      <w:color w:val="44546A" w:themeColor="text2"/>
      <w:sz w:val="18"/>
      <w:szCs w:val="18"/>
    </w:rPr>
  </w:style>
  <w:style w:type="table" w:styleId="TableGridLight">
    <w:name w:val="Grid Table Light"/>
    <w:basedOn w:val="TableNormal"/>
    <w:uiPriority w:val="40"/>
    <w:rsid w:val="0006414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ommentSubject">
    <w:name w:val="annotation subject"/>
    <w:basedOn w:val="CommentText"/>
    <w:next w:val="CommentText"/>
    <w:link w:val="CommentSubjectChar"/>
    <w:uiPriority w:val="99"/>
    <w:semiHidden/>
    <w:unhideWhenUsed/>
    <w:rsid w:val="004E02D2"/>
    <w:rPr>
      <w:b/>
      <w:bCs/>
    </w:rPr>
  </w:style>
  <w:style w:type="character" w:customStyle="1" w:styleId="CommentSubjectChar">
    <w:name w:val="Comment Subject Char"/>
    <w:basedOn w:val="CommentTextChar"/>
    <w:link w:val="CommentSubject"/>
    <w:uiPriority w:val="99"/>
    <w:semiHidden/>
    <w:rsid w:val="004E02D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0366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emf"/><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emf"/><Relationship Id="rId10" Type="http://schemas.microsoft.com/office/2007/relationships/hdphoto" Target="media/hdphoto1.wdp"/><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3DC69C-C2C2-445C-AC5C-A66CC3F336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Pages>
  <Words>3578</Words>
  <Characters>20401</Characters>
  <Application>Microsoft Office Word</Application>
  <DocSecurity>4</DocSecurity>
  <Lines>170</Lines>
  <Paragraphs>47</Paragraphs>
  <ScaleCrop>false</ScaleCrop>
  <HeadingPairs>
    <vt:vector size="2" baseType="variant">
      <vt:variant>
        <vt:lpstr>Title</vt:lpstr>
      </vt:variant>
      <vt:variant>
        <vt:i4>1</vt:i4>
      </vt:variant>
    </vt:vector>
  </HeadingPairs>
  <TitlesOfParts>
    <vt:vector size="1" baseType="lpstr">
      <vt:lpstr/>
    </vt:vector>
  </TitlesOfParts>
  <Company>University of Bath</Company>
  <LinksUpToDate>false</LinksUpToDate>
  <CharactersWithSpaces>23932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dg568</dc:creator>
  <cp:keywords/>
  <dc:description/>
  <cp:lastModifiedBy>Mirella Di Lorenzo</cp:lastModifiedBy>
  <cp:revision>2</cp:revision>
  <dcterms:created xsi:type="dcterms:W3CDTF">2019-09-26T07:54:00Z</dcterms:created>
  <dcterms:modified xsi:type="dcterms:W3CDTF">2019-09-26T07:54:00Z</dcterms:modified>
</cp:coreProperties>
</file>