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C" w:rsidRPr="0005101C" w:rsidRDefault="00624FEC" w:rsidP="0005101C">
      <w:pPr>
        <w:spacing w:line="240" w:lineRule="auto"/>
        <w:rPr>
          <w:b/>
          <w:lang w:val="en-US"/>
        </w:rPr>
      </w:pPr>
      <w:r>
        <w:rPr>
          <w:b/>
          <w:lang w:val="en-US"/>
        </w:rPr>
        <w:t>Supplementary Table 1</w:t>
      </w:r>
      <w:r w:rsidR="00F058C6" w:rsidRPr="00945721">
        <w:rPr>
          <w:b/>
          <w:lang w:val="en-US"/>
        </w:rPr>
        <w:t xml:space="preserve">. </w:t>
      </w:r>
      <w:r w:rsidR="0005101C" w:rsidRPr="0005101C">
        <w:rPr>
          <w:sz w:val="18"/>
          <w:lang w:val="en-US"/>
        </w:rPr>
        <w:t>Preferred Term (PT) affected by ADRs and drug classes mostly involved</w:t>
      </w:r>
      <w:r w:rsidR="006D0833">
        <w:rPr>
          <w:sz w:val="18"/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5380"/>
      </w:tblGrid>
      <w:tr w:rsidR="0005101C" w:rsidRPr="00AD67BF" w:rsidTr="00711F9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b/>
                <w:lang w:val="en-US"/>
              </w:rPr>
            </w:pPr>
            <w:r w:rsidRPr="00AD67BF">
              <w:rPr>
                <w:b/>
                <w:lang w:val="en-US"/>
              </w:rPr>
              <w:t>Preferred Term (PT)</w:t>
            </w:r>
            <w:r w:rsidRPr="00AD67BF">
              <w:rPr>
                <w:b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b/>
                <w:lang w:val="en-US"/>
              </w:rPr>
            </w:pPr>
            <w:r w:rsidRPr="00AD67BF">
              <w:rPr>
                <w:b/>
                <w:i/>
                <w:lang w:val="en-US"/>
              </w:rPr>
              <w:t>n</w:t>
            </w:r>
            <w:r w:rsidRPr="00AD67BF">
              <w:rPr>
                <w:b/>
                <w:lang w:val="en-US"/>
              </w:rPr>
              <w:t xml:space="preserve"> (%)</w:t>
            </w:r>
            <w:r w:rsidRPr="00AD67BF">
              <w:rPr>
                <w:b/>
                <w:vertAlign w:val="superscript"/>
                <w:lang w:val="en-US"/>
              </w:rPr>
              <w:t>b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b/>
                <w:lang w:val="en-US"/>
              </w:rPr>
            </w:pPr>
            <w:r w:rsidRPr="00AD67BF">
              <w:rPr>
                <w:b/>
                <w:lang w:val="en-US"/>
              </w:rPr>
              <w:t>Drug classes (ATC III)</w:t>
            </w:r>
            <w:r w:rsidRPr="00AD67BF">
              <w:rPr>
                <w:b/>
                <w:vertAlign w:val="superscript"/>
                <w:lang w:val="en-US"/>
              </w:rPr>
              <w:t>c</w:t>
            </w:r>
          </w:p>
        </w:tc>
      </w:tr>
      <w:tr w:rsidR="0005101C" w:rsidRPr="00AD67BF" w:rsidTr="00711F9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>Tinnitus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>358 (54.9)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L01X-other antineoplastic agents (33); M01A -antiinflammatory and antirheumatic products non–steroids (23); B01A-antithrombotic agents (22)</w:t>
            </w:r>
          </w:p>
        </w:tc>
      </w:tr>
      <w:tr w:rsidR="0005101C" w:rsidRPr="00AD67BF" w:rsidTr="00711F9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 xml:space="preserve">Hypoacusis (incl. neurosensory hypoacusis)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>213 (32.7)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L01X-other antineoplastic agents (42); L04A-immunosuppressants (22); J01F-macrolides, lincosamides and streptogramins (16); L01C-</w:t>
            </w:r>
            <w:r w:rsidRPr="00AD67BF">
              <w:rPr>
                <w:sz w:val="16"/>
                <w:szCs w:val="16"/>
                <w:lang w:val="en-US"/>
              </w:rPr>
              <w:t xml:space="preserve"> </w:t>
            </w:r>
            <w:r w:rsidRPr="00AD67BF">
              <w:rPr>
                <w:lang w:val="en-US"/>
              </w:rPr>
              <w:t>plant alkaloids and other natural products (16)</w:t>
            </w:r>
          </w:p>
        </w:tc>
      </w:tr>
      <w:tr w:rsidR="0005101C" w:rsidRPr="00AD67BF" w:rsidTr="00711F9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Vertigo positional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>34 (5.2)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N03A-antiepileptics (7); N06A –antidepressants (5); J04A-drugs for treatment of tuberculosis (3); N02A-opioids (3); B01A-antithrombotic agents (3)</w:t>
            </w:r>
          </w:p>
        </w:tc>
      </w:tr>
      <w:tr w:rsidR="0005101C" w:rsidRPr="00AD67BF" w:rsidTr="00711F9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Auditory disorder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>23 (3.5)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N05A-antipsychotics (5); J01M-quinolone antibacterials (3); M01A-antiinflammatory and antirheumatic products non–steroids (3)</w:t>
            </w:r>
          </w:p>
        </w:tc>
      </w:tr>
      <w:tr w:rsidR="0005101C" w:rsidRPr="00AD67BF" w:rsidTr="00711F9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 xml:space="preserve">Deafness (incl. deafness bilateral, deafness neurosensory, deafness unilateral and sudden hearing loss)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lang w:val="en-US"/>
              </w:rPr>
            </w:pPr>
            <w:r w:rsidRPr="00AD67BF">
              <w:rPr>
                <w:lang w:val="en-US"/>
              </w:rPr>
              <w:t>2</w:t>
            </w:r>
            <w:r>
              <w:rPr>
                <w:lang w:val="en-US"/>
              </w:rPr>
              <w:t>2 (3.4</w:t>
            </w:r>
            <w:r w:rsidRPr="00AD67BF">
              <w:rPr>
                <w:lang w:val="en-US"/>
              </w:rPr>
              <w:t>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1C" w:rsidRPr="00AD67BF" w:rsidRDefault="0005101C" w:rsidP="00711F9B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AD67BF">
              <w:rPr>
                <w:lang w:val="en-US"/>
              </w:rPr>
              <w:t>L01X-other antineoplastic agents (4); J01G-aminoglycoside antibacterials (3); J01M-quinolone antibacterials (2); J01X-other antibacterials (2); G04B-urologicals (2)</w:t>
            </w:r>
          </w:p>
        </w:tc>
      </w:tr>
    </w:tbl>
    <w:p w:rsidR="0005101C" w:rsidRPr="00AD67BF" w:rsidRDefault="0005101C" w:rsidP="0005101C">
      <w:pPr>
        <w:tabs>
          <w:tab w:val="left" w:pos="480"/>
        </w:tabs>
        <w:spacing w:line="240" w:lineRule="auto"/>
        <w:rPr>
          <w:lang w:val="en-US"/>
        </w:rPr>
      </w:pPr>
      <w:r w:rsidRPr="00AD67BF">
        <w:rPr>
          <w:i/>
          <w:lang w:val="en-US"/>
        </w:rPr>
        <w:t>ADR</w:t>
      </w:r>
      <w:r>
        <w:rPr>
          <w:lang w:val="en-US"/>
        </w:rPr>
        <w:t xml:space="preserve"> Adverse Drug R</w:t>
      </w:r>
      <w:r w:rsidRPr="00AD67BF">
        <w:rPr>
          <w:lang w:val="en-US"/>
        </w:rPr>
        <w:t xml:space="preserve">eaction, </w:t>
      </w:r>
      <w:r w:rsidRPr="00AD67BF">
        <w:rPr>
          <w:i/>
          <w:lang w:val="en-US"/>
        </w:rPr>
        <w:t>ATC</w:t>
      </w:r>
      <w:r w:rsidRPr="00AD67BF">
        <w:rPr>
          <w:lang w:val="en-US"/>
        </w:rPr>
        <w:t xml:space="preserve"> Anatomical Therapeutic Chemical Classification System</w:t>
      </w:r>
    </w:p>
    <w:p w:rsidR="0005101C" w:rsidRPr="00FD5C2A" w:rsidRDefault="0005101C" w:rsidP="0005101C">
      <w:pPr>
        <w:tabs>
          <w:tab w:val="left" w:pos="480"/>
        </w:tabs>
        <w:spacing w:line="240" w:lineRule="auto"/>
        <w:rPr>
          <w:i/>
          <w:lang w:val="en-US"/>
        </w:rPr>
      </w:pPr>
      <w:proofErr w:type="spellStart"/>
      <w:r w:rsidRPr="00FD5C2A">
        <w:rPr>
          <w:i/>
          <w:vertAlign w:val="superscript"/>
          <w:lang w:val="en-US"/>
        </w:rPr>
        <w:t>a</w:t>
      </w:r>
      <w:r w:rsidRPr="00FD5C2A">
        <w:rPr>
          <w:i/>
          <w:lang w:val="en-US"/>
        </w:rPr>
        <w:t>Only</w:t>
      </w:r>
      <w:proofErr w:type="spellEnd"/>
      <w:r w:rsidRPr="00FD5C2A">
        <w:rPr>
          <w:i/>
          <w:lang w:val="en-US"/>
        </w:rPr>
        <w:t xml:space="preserve"> Preferred Term (PT) accounting for twenty or more reports related to ototoxicity were considered </w:t>
      </w:r>
    </w:p>
    <w:p w:rsidR="0005101C" w:rsidRPr="00FD5C2A" w:rsidRDefault="0005101C" w:rsidP="0005101C">
      <w:pPr>
        <w:tabs>
          <w:tab w:val="left" w:pos="480"/>
        </w:tabs>
        <w:spacing w:line="240" w:lineRule="auto"/>
        <w:rPr>
          <w:i/>
          <w:lang w:val="en-US"/>
        </w:rPr>
      </w:pPr>
      <w:r w:rsidRPr="00FD5C2A">
        <w:rPr>
          <w:i/>
          <w:vertAlign w:val="superscript"/>
          <w:lang w:val="en-US"/>
        </w:rPr>
        <w:t>b</w:t>
      </w:r>
      <w:r w:rsidRPr="00FD5C2A">
        <w:rPr>
          <w:i/>
          <w:lang w:val="en-US"/>
        </w:rPr>
        <w:t xml:space="preserve">The sum of the distribution of ototoxic ADR reports by PT (%) is higher than the total number of reports, since a single report could contain more than one ADRs related to the selected PTs </w:t>
      </w:r>
    </w:p>
    <w:p w:rsidR="0005101C" w:rsidRPr="006143EC" w:rsidRDefault="0005101C" w:rsidP="0005101C">
      <w:pPr>
        <w:tabs>
          <w:tab w:val="left" w:pos="480"/>
        </w:tabs>
        <w:spacing w:line="240" w:lineRule="auto"/>
        <w:rPr>
          <w:i/>
          <w:lang w:val="en-US"/>
        </w:rPr>
      </w:pPr>
      <w:proofErr w:type="spellStart"/>
      <w:r w:rsidRPr="006143EC">
        <w:rPr>
          <w:i/>
          <w:vertAlign w:val="superscript"/>
          <w:lang w:val="en-US"/>
        </w:rPr>
        <w:t>c</w:t>
      </w:r>
      <w:r w:rsidRPr="006143EC">
        <w:rPr>
          <w:i/>
          <w:lang w:val="en-US"/>
        </w:rPr>
        <w:t>Only</w:t>
      </w:r>
      <w:proofErr w:type="spellEnd"/>
      <w:r w:rsidRPr="006143EC">
        <w:rPr>
          <w:i/>
          <w:lang w:val="en-US"/>
        </w:rPr>
        <w:t xml:space="preserve"> top three drug classes (n&gt;1) reported for each PT were considered. In some cases, more drug categories were simultaneously involved</w:t>
      </w:r>
    </w:p>
    <w:p w:rsidR="0005101C" w:rsidRPr="00AD67BF" w:rsidRDefault="0005101C" w:rsidP="0005101C">
      <w:pPr>
        <w:tabs>
          <w:tab w:val="left" w:pos="480"/>
        </w:tabs>
        <w:spacing w:line="240" w:lineRule="auto"/>
        <w:rPr>
          <w:lang w:val="en-US"/>
        </w:rPr>
      </w:pPr>
    </w:p>
    <w:p w:rsidR="0005101C" w:rsidRDefault="0005101C">
      <w:pPr>
        <w:autoSpaceDE/>
        <w:autoSpaceDN/>
        <w:adjustRightInd/>
        <w:spacing w:after="160" w:line="259" w:lineRule="auto"/>
        <w:jc w:val="left"/>
        <w:rPr>
          <w:b/>
          <w:lang w:val="en-US"/>
        </w:rPr>
      </w:pPr>
      <w:bookmarkStart w:id="0" w:name="_GoBack"/>
      <w:bookmarkEnd w:id="0"/>
    </w:p>
    <w:sectPr w:rsidR="00051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C6"/>
    <w:rsid w:val="0005101C"/>
    <w:rsid w:val="00164FF4"/>
    <w:rsid w:val="001B61ED"/>
    <w:rsid w:val="00455456"/>
    <w:rsid w:val="004C4C0B"/>
    <w:rsid w:val="00593996"/>
    <w:rsid w:val="00624FEC"/>
    <w:rsid w:val="006D0833"/>
    <w:rsid w:val="00873967"/>
    <w:rsid w:val="008931AD"/>
    <w:rsid w:val="00B018B1"/>
    <w:rsid w:val="00B11FEA"/>
    <w:rsid w:val="00F058C6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1D5D"/>
  <w15:chartTrackingRefBased/>
  <w15:docId w15:val="{41706B55-41C9-4870-AB2C-08D18AC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8C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58C6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F058C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0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8C6"/>
    <w:rPr>
      <w:rFonts w:ascii="Segoe UI" w:eastAsia="Calibri" w:hAnsi="Segoe UI" w:cs="Segoe UI"/>
      <w:sz w:val="18"/>
      <w:szCs w:val="18"/>
      <w:lang w:val="en-GB"/>
    </w:rPr>
  </w:style>
  <w:style w:type="character" w:styleId="Enfasigrassetto">
    <w:name w:val="Strong"/>
    <w:uiPriority w:val="99"/>
    <w:qFormat/>
    <w:rsid w:val="004C4C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MABarbieri</dc:creator>
  <cp:keywords/>
  <dc:description/>
  <cp:lastModifiedBy>MABarbieri</cp:lastModifiedBy>
  <cp:revision>13</cp:revision>
  <dcterms:created xsi:type="dcterms:W3CDTF">2019-04-17T10:23:00Z</dcterms:created>
  <dcterms:modified xsi:type="dcterms:W3CDTF">2019-08-29T13:00:00Z</dcterms:modified>
</cp:coreProperties>
</file>