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F" w:rsidRDefault="00B2662F"/>
    <w:p w:rsidR="00D364FA" w:rsidRDefault="00D364FA" w:rsidP="00D364FA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tbl>
      <w:tblPr>
        <w:tblpPr w:leftFromText="180" w:rightFromText="180" w:vertAnchor="text" w:horzAnchor="margin" w:tblpY="1"/>
        <w:tblOverlap w:val="never"/>
        <w:tblW w:w="995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219"/>
        <w:gridCol w:w="1916"/>
        <w:gridCol w:w="2053"/>
        <w:gridCol w:w="1345"/>
        <w:gridCol w:w="425"/>
      </w:tblGrid>
      <w:tr w:rsidR="00D364FA" w:rsidTr="00CC7536">
        <w:tc>
          <w:tcPr>
            <w:tcW w:w="99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364FA" w:rsidRDefault="00D67A3F" w:rsidP="0044532F">
            <w:pPr>
              <w:adjustRightInd w:val="0"/>
              <w:snapToGrid w:val="0"/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</w:rPr>
              <w:t xml:space="preserve">Supplementary </w:t>
            </w:r>
            <w:r w:rsidR="00D364FA" w:rsidRPr="00C42349">
              <w:rPr>
                <w:rFonts w:ascii="Calibri" w:hAnsi="Calibri" w:cs="Calibri"/>
                <w:b/>
              </w:rPr>
              <w:t>Table</w:t>
            </w:r>
            <w:r w:rsidR="00A26F08">
              <w:rPr>
                <w:rFonts w:ascii="Calibri" w:hAnsi="Calibri" w:cs="Calibri" w:hint="eastAsia"/>
                <w:b/>
              </w:rPr>
              <w:t xml:space="preserve"> 1</w:t>
            </w:r>
            <w:r w:rsidR="00904F6F">
              <w:rPr>
                <w:rFonts w:ascii="Calibri" w:hAnsi="Calibri" w:cs="Calibri" w:hint="eastAsia"/>
                <w:b/>
              </w:rPr>
              <w:t>.</w:t>
            </w:r>
            <w:r w:rsidR="00D364FA" w:rsidRPr="00C4234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Demographic Data</w:t>
            </w:r>
            <w:r w:rsidR="00697F78">
              <w:rPr>
                <w:rFonts w:ascii="Calibri" w:hAnsi="Calibri" w:cs="Calibri" w:hint="eastAsia"/>
                <w:b/>
              </w:rPr>
              <w:t xml:space="preserve"> </w:t>
            </w:r>
            <w:r>
              <w:rPr>
                <w:rFonts w:ascii="Calibri" w:hAnsi="Calibri" w:cs="Calibri" w:hint="eastAsia"/>
                <w:b/>
              </w:rPr>
              <w:t xml:space="preserve">Stratified by </w:t>
            </w:r>
            <w:r w:rsidR="00D52B23">
              <w:rPr>
                <w:rFonts w:ascii="Calibri" w:hAnsi="Calibri" w:cs="Calibri" w:hint="eastAsia"/>
                <w:b/>
              </w:rPr>
              <w:t>Long and Short ALK Variants</w:t>
            </w:r>
            <w:r w:rsidR="00D52B23" w:rsidDel="00D52B23">
              <w:rPr>
                <w:rFonts w:ascii="Calibri" w:hAnsi="Calibri" w:cs="Calibri" w:hint="eastAsia"/>
                <w:b/>
              </w:rPr>
              <w:t xml:space="preserve"> </w:t>
            </w:r>
            <w:r w:rsidR="00697F78">
              <w:rPr>
                <w:rFonts w:ascii="Calibri" w:hAnsi="Calibri" w:cs="Calibri" w:hint="eastAsia"/>
                <w:b/>
              </w:rPr>
              <w:t>(n=54</w:t>
            </w:r>
            <w:r w:rsidR="00857E66">
              <w:rPr>
                <w:rFonts w:ascii="Calibri" w:hAnsi="Calibri" w:cs="Calibri" w:hint="eastAsia"/>
                <w:b/>
              </w:rPr>
              <w:t>)</w:t>
            </w:r>
            <w:r w:rsidR="00D364FA">
              <w:rPr>
                <w:rFonts w:ascii="Calibri" w:hAnsi="Calibri" w:cs="Calibri" w:hint="eastAsia"/>
                <w:b/>
              </w:rPr>
              <w:t>.</w:t>
            </w:r>
          </w:p>
        </w:tc>
      </w:tr>
      <w:tr w:rsidR="0044532F" w:rsidRPr="000948B8" w:rsidTr="00CC7536">
        <w:trPr>
          <w:gridAfter w:val="1"/>
          <w:wAfter w:w="425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532F" w:rsidRDefault="000B2276" w:rsidP="00BF4F5D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</w:t>
            </w:r>
            <w:r w:rsidRPr="005D337C">
              <w:rPr>
                <w:rFonts w:ascii="Calibri" w:hAnsi="Calibri" w:cs="Calibri"/>
              </w:rPr>
              <w:t>riable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532F" w:rsidRDefault="00204E57" w:rsidP="00BF4F5D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Long </w:t>
            </w:r>
            <w:r w:rsidR="0044532F">
              <w:rPr>
                <w:rFonts w:ascii="Calibri" w:hAnsi="Calibri" w:cs="Calibri" w:hint="eastAsia"/>
              </w:rPr>
              <w:t>Variant</w:t>
            </w:r>
            <w:r>
              <w:rPr>
                <w:rFonts w:ascii="Calibri" w:hAnsi="Calibri" w:cs="Calibri" w:hint="eastAsia"/>
              </w:rPr>
              <w:t>s</w:t>
            </w:r>
            <w:r w:rsidR="00A5429B" w:rsidRPr="00A5429B">
              <w:rPr>
                <w:rFonts w:ascii="Calibri" w:hAnsi="Calibri" w:cs="Calibri"/>
                <w:vertAlign w:val="superscript"/>
              </w:rPr>
              <w:t>1</w:t>
            </w:r>
          </w:p>
          <w:p w:rsidR="0044532F" w:rsidRDefault="0044532F" w:rsidP="00BF4F5D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(n=</w:t>
            </w:r>
            <w:r w:rsidR="001C7D5D">
              <w:rPr>
                <w:rFonts w:ascii="Calibri" w:hAnsi="Calibri" w:cs="Calibri" w:hint="eastAsia"/>
              </w:rPr>
              <w:t>35</w:t>
            </w:r>
            <w:r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20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532F" w:rsidRPr="005D337C" w:rsidRDefault="00204E57" w:rsidP="00204E57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Short </w:t>
            </w:r>
            <w:r w:rsidR="0044532F">
              <w:rPr>
                <w:rFonts w:ascii="Calibri" w:hAnsi="Calibri" w:cs="Calibri" w:hint="eastAsia"/>
              </w:rPr>
              <w:t>Variants</w:t>
            </w:r>
            <w:r w:rsidR="003F6D8F">
              <w:rPr>
                <w:rFonts w:ascii="Calibri" w:hAnsi="Calibri" w:cs="Calibri" w:hint="eastAsia"/>
                <w:vertAlign w:val="superscript"/>
              </w:rPr>
              <w:t>2</w:t>
            </w:r>
            <w:r w:rsidR="0044532F">
              <w:rPr>
                <w:rFonts w:ascii="Calibri" w:hAnsi="Calibri" w:cs="Calibri" w:hint="eastAsia"/>
              </w:rPr>
              <w:t xml:space="preserve"> (n=</w:t>
            </w:r>
            <w:r w:rsidR="001C7D5D">
              <w:rPr>
                <w:rFonts w:ascii="Calibri" w:hAnsi="Calibri" w:cs="Calibri" w:hint="eastAsia"/>
              </w:rPr>
              <w:t>19</w:t>
            </w:r>
            <w:r w:rsidR="0044532F"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532F" w:rsidRPr="000948B8" w:rsidRDefault="0044532F" w:rsidP="00BF4F5D">
            <w:pPr>
              <w:adjustRightInd w:val="0"/>
              <w:snapToGrid w:val="0"/>
              <w:rPr>
                <w:rFonts w:ascii="Calibri" w:hAnsi="Calibri" w:cs="Calibri"/>
                <w:i/>
              </w:rPr>
            </w:pPr>
            <w:r w:rsidRPr="000948B8">
              <w:rPr>
                <w:rFonts w:ascii="Calibri" w:hAnsi="Calibri" w:cs="Calibri"/>
                <w:i/>
              </w:rPr>
              <w:t>p</w:t>
            </w:r>
            <w:r w:rsidRPr="005D337C">
              <w:rPr>
                <w:rFonts w:ascii="Calibri" w:hAnsi="Calibri" w:cs="Calibri"/>
              </w:rPr>
              <w:t xml:space="preserve"> value</w:t>
            </w:r>
          </w:p>
        </w:tc>
      </w:tr>
      <w:tr w:rsidR="00D65C82" w:rsidRPr="00240386" w:rsidTr="00CC7536">
        <w:trPr>
          <w:gridAfter w:val="1"/>
          <w:wAfter w:w="425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Median age (year-old) (IQR)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5C82" w:rsidRPr="00FF696E" w:rsidRDefault="005F56FB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(4</w:t>
            </w:r>
            <w:r>
              <w:rPr>
                <w:rFonts w:ascii="Calibri" w:hAnsi="Calibri" w:cs="Calibri" w:hint="eastAsia"/>
              </w:rPr>
              <w:t>7</w:t>
            </w:r>
            <w:r w:rsidR="00A5429B" w:rsidRPr="00A5429B">
              <w:rPr>
                <w:rFonts w:ascii="Calibri" w:hAnsi="Calibri" w:cs="Calibri"/>
              </w:rPr>
              <w:t>-61)</w:t>
            </w:r>
          </w:p>
        </w:tc>
        <w:tc>
          <w:tcPr>
            <w:tcW w:w="20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5C82" w:rsidRPr="00FF696E" w:rsidRDefault="008318A7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(55-6</w:t>
            </w:r>
            <w:r>
              <w:rPr>
                <w:rFonts w:ascii="Calibri" w:hAnsi="Calibri" w:cs="Calibri" w:hint="eastAsia"/>
              </w:rPr>
              <w:t>4</w:t>
            </w:r>
            <w:r w:rsidR="00A5429B" w:rsidRPr="00A5429B">
              <w:rPr>
                <w:rFonts w:ascii="Calibri" w:hAnsi="Calibri" w:cs="Calibri"/>
              </w:rPr>
              <w:t>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5C82" w:rsidRPr="00FF696E" w:rsidRDefault="00A5429B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A5429B">
              <w:rPr>
                <w:rFonts w:ascii="Calibri" w:hAnsi="Calibri" w:cs="Calibri"/>
              </w:rPr>
              <w:t>0.0</w:t>
            </w:r>
            <w:r w:rsidR="001847A4">
              <w:rPr>
                <w:rFonts w:ascii="Calibri" w:hAnsi="Calibri" w:cs="Calibri" w:hint="eastAsia"/>
              </w:rPr>
              <w:t>3</w:t>
            </w:r>
          </w:p>
        </w:tc>
      </w:tr>
      <w:tr w:rsidR="00D65C82" w:rsidRPr="00240386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C62031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 w:rsidR="00C62031">
              <w:rPr>
                <w:rFonts w:ascii="Calibri" w:hAnsi="Calibri" w:cs="Calibri" w:hint="eastAsia"/>
              </w:rPr>
              <w:t>9 (54</w:t>
            </w:r>
            <w:r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13 (68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6F7348">
              <w:rPr>
                <w:rFonts w:ascii="Calibri" w:hAnsi="Calibri" w:cs="Calibri" w:hint="eastAsia"/>
              </w:rPr>
              <w:t>31</w:t>
            </w:r>
          </w:p>
        </w:tc>
      </w:tr>
      <w:tr w:rsidR="00D65C82" w:rsidRPr="00240386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Never smoker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C62031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</w:t>
            </w:r>
            <w:r w:rsidR="00C62031">
              <w:rPr>
                <w:rFonts w:ascii="Calibri" w:hAnsi="Calibri" w:cs="Calibri" w:hint="eastAsia"/>
              </w:rPr>
              <w:t>4 (69</w:t>
            </w:r>
            <w:r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 (74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6F7348">
              <w:rPr>
                <w:rFonts w:ascii="Calibri" w:hAnsi="Calibri" w:cs="Calibri" w:hint="eastAsia"/>
              </w:rPr>
              <w:t>69</w:t>
            </w:r>
          </w:p>
        </w:tc>
      </w:tr>
      <w:tr w:rsidR="00D65C82" w:rsidRPr="009E5F9C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Previous anticancer therapy (line)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 (1-5)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 (1-4)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0.3</w:t>
            </w:r>
            <w:r w:rsidR="001847A4">
              <w:rPr>
                <w:rFonts w:ascii="Calibri" w:hAnsi="Calibri" w:cs="Calibri" w:hint="eastAsia"/>
              </w:rPr>
              <w:t>0</w:t>
            </w:r>
          </w:p>
        </w:tc>
      </w:tr>
      <w:tr w:rsidR="00D65C82" w:rsidRPr="00000EB2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ECOG ≥ 2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C62031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 (26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 (11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6F7348">
              <w:rPr>
                <w:rFonts w:ascii="Calibri" w:hAnsi="Calibri" w:cs="Calibri" w:hint="eastAsia"/>
              </w:rPr>
              <w:t>19</w:t>
            </w: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Brain metastasis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C62031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15 (43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 (26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6F7348">
              <w:rPr>
                <w:rFonts w:ascii="Calibri" w:hAnsi="Calibri" w:cs="Calibri" w:hint="eastAsia"/>
              </w:rPr>
              <w:t>23</w:t>
            </w: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Best crizotinib response</w:t>
            </w:r>
            <w:r w:rsidR="003F10C5">
              <w:rPr>
                <w:rFonts w:asciiTheme="minorHAnsi" w:hAnsiTheme="minorHAnsi" w:cstheme="minorHAnsi" w:hint="eastAsia"/>
                <w:vertAlign w:val="superscript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DF0929">
              <w:rPr>
                <w:rFonts w:ascii="Calibri" w:hAnsi="Calibri" w:cs="Calibri" w:hint="eastAsia"/>
              </w:rPr>
              <w:t>87</w:t>
            </w: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BE7B55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 w:rsidR="00DF0929">
              <w:rPr>
                <w:rFonts w:ascii="Calibri" w:hAnsi="Calibri" w:cs="Calibri" w:hint="eastAsia"/>
              </w:rPr>
              <w:t>7</w:t>
            </w:r>
            <w:r w:rsidR="00D65C82">
              <w:rPr>
                <w:rFonts w:ascii="Calibri" w:hAnsi="Calibri" w:cs="Calibri" w:hint="eastAsia"/>
              </w:rPr>
              <w:t xml:space="preserve"> (</w:t>
            </w:r>
            <w:r>
              <w:rPr>
                <w:rFonts w:ascii="Calibri" w:hAnsi="Calibri" w:cs="Calibri" w:hint="eastAsia"/>
              </w:rPr>
              <w:t>5</w:t>
            </w:r>
            <w:r w:rsidR="00DF0929">
              <w:rPr>
                <w:rFonts w:ascii="Calibri" w:hAnsi="Calibri" w:cs="Calibri" w:hint="eastAsia"/>
              </w:rPr>
              <w:t>2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11</w:t>
            </w:r>
            <w:r w:rsidR="006919BE">
              <w:rPr>
                <w:rFonts w:ascii="Calibri" w:hAnsi="Calibri" w:cs="Calibri" w:hint="eastAsia"/>
              </w:rPr>
              <w:t xml:space="preserve"> (</w:t>
            </w:r>
            <w:r w:rsidR="00DF0929">
              <w:rPr>
                <w:rFonts w:ascii="Calibri" w:hAnsi="Calibri" w:cs="Calibri" w:hint="eastAsia"/>
              </w:rPr>
              <w:t>58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BE7B55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 (2</w:t>
            </w:r>
            <w:r w:rsidR="00DF0929">
              <w:rPr>
                <w:rFonts w:ascii="Calibri" w:hAnsi="Calibri" w:cs="Calibri" w:hint="eastAsia"/>
              </w:rPr>
              <w:t>7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F0929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 w:rsidR="006919BE">
              <w:rPr>
                <w:rFonts w:ascii="Calibri" w:hAnsi="Calibri" w:cs="Calibri" w:hint="eastAsia"/>
              </w:rPr>
              <w:t xml:space="preserve"> (</w:t>
            </w:r>
            <w:r>
              <w:rPr>
                <w:rFonts w:ascii="Calibri" w:hAnsi="Calibri" w:cs="Calibri" w:hint="eastAsia"/>
              </w:rPr>
              <w:t>26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BE7B55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 (2</w:t>
            </w:r>
            <w:r w:rsidR="00DF0929">
              <w:rPr>
                <w:rFonts w:ascii="Calibri" w:hAnsi="Calibri" w:cs="Calibri" w:hint="eastAsia"/>
              </w:rPr>
              <w:t>1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8318A7" w:rsidP="00DF0929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 w:rsidR="006919BE">
              <w:rPr>
                <w:rFonts w:ascii="Calibri" w:hAnsi="Calibri" w:cs="Calibri" w:hint="eastAsia"/>
              </w:rPr>
              <w:t xml:space="preserve"> (1</w:t>
            </w:r>
            <w:r w:rsidR="00DF0929">
              <w:rPr>
                <w:rFonts w:ascii="Calibri" w:hAnsi="Calibri" w:cs="Calibri" w:hint="eastAsia"/>
              </w:rPr>
              <w:t>6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BIM deletion (n=30)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C62031" w:rsidP="00C62031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4/20</w:t>
            </w:r>
            <w:r w:rsidR="00D65C82">
              <w:rPr>
                <w:rFonts w:ascii="Calibri" w:hAnsi="Calibri" w:cs="Calibri" w:hint="eastAsia"/>
              </w:rPr>
              <w:t xml:space="preserve"> (2</w:t>
            </w:r>
            <w:r>
              <w:rPr>
                <w:rFonts w:ascii="Calibri" w:hAnsi="Calibri" w:cs="Calibri" w:hint="eastAsia"/>
              </w:rPr>
              <w:t>0</w:t>
            </w:r>
            <w:r w:rsidR="00D65C82"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573CE1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2/1</w:t>
            </w:r>
            <w:r w:rsidR="00573CE1">
              <w:rPr>
                <w:rFonts w:ascii="Calibri" w:hAnsi="Calibri" w:cs="Calibri" w:hint="eastAsia"/>
              </w:rPr>
              <w:t>0 (20</w:t>
            </w:r>
            <w:r>
              <w:rPr>
                <w:rFonts w:ascii="Calibri" w:hAnsi="Calibri" w:cs="Calibri" w:hint="eastAsia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F3720A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6F7348">
              <w:rPr>
                <w:rFonts w:ascii="Calibri" w:hAnsi="Calibri" w:cs="Calibri" w:hint="eastAsia"/>
              </w:rPr>
              <w:t>99</w:t>
            </w:r>
          </w:p>
        </w:tc>
      </w:tr>
      <w:tr w:rsidR="00D65C82" w:rsidRPr="0088639F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C82" w:rsidRPr="00AB3D8F" w:rsidRDefault="00D65C82" w:rsidP="00D65C82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Median follow up time (month)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D65C82" w:rsidRDefault="000A6924" w:rsidP="000A6924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14.8</w:t>
            </w:r>
            <w:r w:rsidR="00D65C82">
              <w:rPr>
                <w:rFonts w:ascii="Calibri" w:hAnsi="Calibri" w:cs="Calibri" w:hint="eastAsia"/>
              </w:rPr>
              <w:t xml:space="preserve"> (</w:t>
            </w:r>
            <w:r>
              <w:rPr>
                <w:rFonts w:ascii="Calibri" w:hAnsi="Calibri" w:cs="Calibri" w:hint="eastAsia"/>
              </w:rPr>
              <w:t>6.5</w:t>
            </w:r>
            <w:r w:rsidR="00D65C82">
              <w:rPr>
                <w:rFonts w:ascii="Calibri" w:hAnsi="Calibri" w:cs="Calibri" w:hint="eastAsia"/>
              </w:rPr>
              <w:t xml:space="preserve"> </w:t>
            </w:r>
            <w:r w:rsidR="00D65C82">
              <w:rPr>
                <w:rFonts w:ascii="Calibri" w:hAnsi="Calibri" w:cs="Calibri"/>
              </w:rPr>
              <w:t>–</w:t>
            </w:r>
            <w:r w:rsidR="005F56FB">
              <w:rPr>
                <w:rFonts w:ascii="Calibri" w:hAnsi="Calibri" w:cs="Calibri" w:hint="eastAsia"/>
              </w:rPr>
              <w:t xml:space="preserve"> 2</w:t>
            </w:r>
            <w:r>
              <w:rPr>
                <w:rFonts w:ascii="Calibri" w:hAnsi="Calibri" w:cs="Calibri" w:hint="eastAsia"/>
              </w:rPr>
              <w:t>3.5</w:t>
            </w:r>
            <w:r w:rsidR="00D65C82"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65C82" w:rsidRDefault="00CC7536" w:rsidP="00CC7536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12.1</w:t>
            </w:r>
            <w:r w:rsidR="00573CE1">
              <w:rPr>
                <w:rFonts w:ascii="Calibri" w:hAnsi="Calibri" w:cs="Calibri" w:hint="eastAsia"/>
              </w:rPr>
              <w:t xml:space="preserve"> (</w:t>
            </w:r>
            <w:r>
              <w:rPr>
                <w:rFonts w:ascii="Calibri" w:hAnsi="Calibri" w:cs="Calibri" w:hint="eastAsia"/>
              </w:rPr>
              <w:t>10.3</w:t>
            </w:r>
            <w:r w:rsidR="00D65C82">
              <w:rPr>
                <w:rFonts w:ascii="Calibri" w:hAnsi="Calibri" w:cs="Calibri" w:hint="eastAsia"/>
              </w:rPr>
              <w:t xml:space="preserve"> </w:t>
            </w:r>
            <w:r w:rsidR="00D65C8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 w:hint="eastAsia"/>
              </w:rPr>
              <w:t xml:space="preserve"> 34.9</w:t>
            </w:r>
            <w:r w:rsidR="00D65C82">
              <w:rPr>
                <w:rFonts w:ascii="Calibri" w:hAnsi="Calibri" w:cs="Calibri" w:hint="eastAsia"/>
              </w:rPr>
              <w:t>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65C82" w:rsidRDefault="00D65C82" w:rsidP="00D65C82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</w:t>
            </w:r>
            <w:r w:rsidR="001847A4">
              <w:rPr>
                <w:rFonts w:ascii="Calibri" w:hAnsi="Calibri" w:cs="Calibri" w:hint="eastAsia"/>
              </w:rPr>
              <w:t>53</w:t>
            </w:r>
          </w:p>
        </w:tc>
      </w:tr>
      <w:tr w:rsidR="0044532F" w:rsidRPr="00A642B2" w:rsidTr="00CC7536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4532F" w:rsidRPr="00AB3D8F" w:rsidRDefault="0044532F" w:rsidP="006735D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4532F" w:rsidRPr="00A642B2" w:rsidRDefault="0044532F" w:rsidP="006735DD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4532F" w:rsidRPr="00A642B2" w:rsidRDefault="0044532F" w:rsidP="006735DD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4532F" w:rsidRPr="00A642B2" w:rsidRDefault="0044532F" w:rsidP="006735DD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6735DD" w:rsidRPr="00045FEF" w:rsidTr="00CC7536">
        <w:tc>
          <w:tcPr>
            <w:tcW w:w="9958" w:type="dxa"/>
            <w:gridSpan w:val="5"/>
            <w:tcBorders>
              <w:top w:val="single" w:sz="6" w:space="0" w:color="000000"/>
              <w:bottom w:val="nil"/>
            </w:tcBorders>
          </w:tcPr>
          <w:p w:rsidR="00043172" w:rsidRDefault="003F6D8F" w:rsidP="003F6D8F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  <w:r w:rsidRPr="007B4690">
              <w:rPr>
                <w:rFonts w:ascii="Calibri" w:hAnsi="Calibri" w:cs="Calibri" w:hint="eastAsia"/>
                <w:vertAlign w:val="superscript"/>
              </w:rPr>
              <w:t>1</w:t>
            </w:r>
            <w:r>
              <w:rPr>
                <w:rFonts w:ascii="Calibri" w:hAnsi="Calibri" w:cs="Calibri" w:hint="eastAsia"/>
              </w:rPr>
              <w:t xml:space="preserve"> Long ALK variants: </w:t>
            </w:r>
            <w:r w:rsidR="00043172">
              <w:rPr>
                <w:rFonts w:ascii="Calibri" w:hAnsi="Calibri" w:cs="Calibri" w:hint="eastAsia"/>
              </w:rPr>
              <w:t>Variants other than short ALK variants</w:t>
            </w:r>
          </w:p>
          <w:p w:rsidR="003F6D8F" w:rsidRDefault="003F6D8F" w:rsidP="003F6D8F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  <w:r w:rsidRPr="007B4690">
              <w:rPr>
                <w:rFonts w:ascii="Calibri" w:hAnsi="Calibri" w:cs="Calibri" w:hint="eastAsia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Short ALK variants: V</w:t>
            </w:r>
            <w:r w:rsidRPr="00EC1873">
              <w:rPr>
                <w:rFonts w:ascii="Calibri" w:hAnsi="Calibri" w:cs="Calibri"/>
              </w:rPr>
              <w:t xml:space="preserve">ariant 3a,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 xml:space="preserve">ariant 3b,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 xml:space="preserve">ariant 5a,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>ariant 5b</w:t>
            </w:r>
          </w:p>
          <w:p w:rsidR="003F6D8F" w:rsidRPr="00CF08F4" w:rsidRDefault="003F6D8F" w:rsidP="003F6D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vertAlign w:val="superscript"/>
              </w:rPr>
              <w:t xml:space="preserve">3 </w:t>
            </w:r>
            <w:r w:rsidR="00886CA4">
              <w:rPr>
                <w:rFonts w:asciiTheme="minorHAnsi" w:hAnsiTheme="minorHAnsi" w:cstheme="minorHAnsi" w:hint="eastAsia"/>
              </w:rPr>
              <w:t>Two</w:t>
            </w:r>
            <w:r w:rsidRPr="00CF08F4">
              <w:rPr>
                <w:rFonts w:asciiTheme="minorHAnsi" w:hAnsiTheme="minorHAnsi" w:cstheme="minorHAnsi"/>
              </w:rPr>
              <w:t xml:space="preserve"> patients with varian</w:t>
            </w:r>
            <w:r>
              <w:rPr>
                <w:rFonts w:asciiTheme="minorHAnsi" w:hAnsiTheme="minorHAnsi" w:cstheme="minorHAnsi"/>
              </w:rPr>
              <w:t xml:space="preserve">t 1 </w:t>
            </w:r>
            <w:r w:rsidRPr="00CF08F4">
              <w:rPr>
                <w:rFonts w:asciiTheme="minorHAnsi" w:hAnsiTheme="minorHAnsi" w:cstheme="minorHAnsi"/>
              </w:rPr>
              <w:t>were not evaluable for crizotinib response.</w:t>
            </w:r>
          </w:p>
          <w:p w:rsidR="00AC5DA8" w:rsidRDefault="00AC5DA8" w:rsidP="00AC5DA8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  <w:p w:rsidR="006735DD" w:rsidRPr="00AC5DA8" w:rsidRDefault="00AC5DA8" w:rsidP="00AC5DA8">
            <w:pPr>
              <w:adjustRightInd w:val="0"/>
              <w:snapToGrid w:val="0"/>
              <w:ind w:rightChars="-45" w:right="-108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Acronyms</w:t>
            </w:r>
            <w:bookmarkStart w:id="0" w:name="_GoBack"/>
            <w:bookmarkEnd w:id="0"/>
            <w:r w:rsidRPr="005D337C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 w:hint="eastAsia"/>
              </w:rPr>
              <w:t xml:space="preserve">ALK, </w:t>
            </w:r>
            <w:proofErr w:type="spellStart"/>
            <w:r>
              <w:rPr>
                <w:rFonts w:ascii="Calibri" w:hAnsi="Calibri" w:cs="Calibri" w:hint="eastAsia"/>
              </w:rPr>
              <w:t>anaplastic</w:t>
            </w:r>
            <w:proofErr w:type="spellEnd"/>
            <w:r>
              <w:rPr>
                <w:rFonts w:ascii="Calibri" w:hAnsi="Calibri" w:cs="Calibri" w:hint="eastAsia"/>
              </w:rPr>
              <w:t xml:space="preserve"> lymphoma kinase; IQR</w:t>
            </w:r>
            <w:r>
              <w:rPr>
                <w:rFonts w:ascii="Calibri" w:hAnsi="Calibri" w:cs="Calibri"/>
              </w:rPr>
              <w:t>,</w:t>
            </w:r>
            <w:r w:rsidRPr="005D337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interqua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 w:hint="eastAsia"/>
              </w:rPr>
              <w:t xml:space="preserve">tile range; ECOG, </w:t>
            </w:r>
            <w:r w:rsidRPr="00BC2D11">
              <w:rPr>
                <w:rFonts w:ascii="Calibri" w:hAnsi="Calibri" w:cs="Calibri"/>
              </w:rPr>
              <w:t>Eastern Cooperative Oncology Group</w:t>
            </w:r>
            <w:r>
              <w:rPr>
                <w:rFonts w:ascii="Calibri" w:hAnsi="Calibri" w:cs="Calibri" w:hint="eastAsia"/>
              </w:rPr>
              <w:t xml:space="preserve"> performance score; PR, partial response; SD, stable disease; PD, progressive disease; BIM, </w:t>
            </w:r>
            <w:r w:rsidRPr="00FE5297">
              <w:rPr>
                <w:rFonts w:ascii="Calibri" w:hAnsi="Calibri" w:cs="Calibri"/>
              </w:rPr>
              <w:t>Bcl-2-like 11</w:t>
            </w:r>
            <w:r w:rsidRPr="00CF08F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364FA" w:rsidRDefault="00D364FA"/>
    <w:p w:rsidR="00D364FA" w:rsidRDefault="00D364FA"/>
    <w:p w:rsidR="00D364FA" w:rsidRDefault="00D364FA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174002" w:rsidRDefault="00174002"/>
    <w:p w:rsidR="007B0AD9" w:rsidRDefault="007B0AD9" w:rsidP="007B0AD9"/>
    <w:p w:rsidR="007B0AD9" w:rsidRDefault="007B0AD9" w:rsidP="007B0AD9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tbl>
      <w:tblPr>
        <w:tblpPr w:leftFromText="180" w:rightFromText="180" w:vertAnchor="text" w:horzAnchor="margin" w:tblpY="1"/>
        <w:tblOverlap w:val="never"/>
        <w:tblW w:w="94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219"/>
        <w:gridCol w:w="1916"/>
        <w:gridCol w:w="1842"/>
        <w:gridCol w:w="1345"/>
        <w:gridCol w:w="142"/>
      </w:tblGrid>
      <w:tr w:rsidR="007B0AD9" w:rsidTr="00B46C9C">
        <w:tc>
          <w:tcPr>
            <w:tcW w:w="94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</w:rPr>
              <w:t xml:space="preserve">Supplementary </w:t>
            </w:r>
            <w:r w:rsidRPr="00C42349">
              <w:rPr>
                <w:rFonts w:ascii="Calibri" w:hAnsi="Calibri" w:cs="Calibri"/>
                <w:b/>
              </w:rPr>
              <w:t>Table</w:t>
            </w:r>
            <w:r>
              <w:rPr>
                <w:rFonts w:ascii="Calibri" w:hAnsi="Calibri" w:cs="Calibri" w:hint="eastAsia"/>
                <w:b/>
              </w:rPr>
              <w:t xml:space="preserve"> 2.</w:t>
            </w:r>
            <w:r w:rsidRPr="00C4234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Demographic Data</w:t>
            </w:r>
            <w:r>
              <w:rPr>
                <w:rFonts w:ascii="Calibri" w:hAnsi="Calibri" w:cs="Calibri" w:hint="eastAsia"/>
                <w:b/>
              </w:rPr>
              <w:t xml:space="preserve"> in Patients with Long ALK Variant</w:t>
            </w:r>
            <w:r w:rsidR="002C3247">
              <w:rPr>
                <w:rFonts w:ascii="Calibri" w:hAnsi="Calibri" w:cs="Calibri" w:hint="eastAsia"/>
                <w:b/>
              </w:rPr>
              <w:t>s</w:t>
            </w:r>
            <w:r>
              <w:rPr>
                <w:rFonts w:ascii="Calibri" w:hAnsi="Calibri" w:cs="Calibri" w:hint="eastAsia"/>
                <w:b/>
                <w:vertAlign w:val="superscript"/>
              </w:rPr>
              <w:t>1</w:t>
            </w:r>
            <w:r>
              <w:rPr>
                <w:rFonts w:ascii="Calibri" w:hAnsi="Calibri" w:cs="Calibri" w:hint="eastAsia"/>
                <w:b/>
              </w:rPr>
              <w:t xml:space="preserve"> (n=35).</w:t>
            </w:r>
          </w:p>
        </w:tc>
      </w:tr>
      <w:tr w:rsidR="007B0AD9" w:rsidRPr="000948B8" w:rsidTr="00B46C9C">
        <w:trPr>
          <w:gridAfter w:val="1"/>
          <w:wAfter w:w="142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</w:t>
            </w:r>
            <w:r w:rsidRPr="005D337C">
              <w:rPr>
                <w:rFonts w:ascii="Calibri" w:hAnsi="Calibri" w:cs="Calibri"/>
              </w:rPr>
              <w:t>riable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Variant 2</w:t>
            </w:r>
          </w:p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(n=6)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0AD9" w:rsidRPr="005D337C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Other long variants (n=29)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0AD9" w:rsidRPr="000948B8" w:rsidRDefault="007B0AD9" w:rsidP="00B46C9C">
            <w:pPr>
              <w:adjustRightInd w:val="0"/>
              <w:snapToGrid w:val="0"/>
              <w:rPr>
                <w:rFonts w:ascii="Calibri" w:hAnsi="Calibri" w:cs="Calibri"/>
                <w:i/>
              </w:rPr>
            </w:pPr>
            <w:r w:rsidRPr="000948B8">
              <w:rPr>
                <w:rFonts w:ascii="Calibri" w:hAnsi="Calibri" w:cs="Calibri"/>
                <w:i/>
              </w:rPr>
              <w:t>p</w:t>
            </w:r>
            <w:r w:rsidRPr="005D337C">
              <w:rPr>
                <w:rFonts w:ascii="Calibri" w:hAnsi="Calibri" w:cs="Calibri"/>
              </w:rPr>
              <w:t xml:space="preserve"> value</w:t>
            </w:r>
          </w:p>
        </w:tc>
      </w:tr>
      <w:tr w:rsidR="007B0AD9" w:rsidRPr="00240386" w:rsidTr="00B46C9C">
        <w:trPr>
          <w:gridAfter w:val="1"/>
          <w:wAfter w:w="142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Median age (year-old) (IQR)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F273C1">
              <w:rPr>
                <w:rFonts w:ascii="Calibri" w:hAnsi="Calibri" w:cs="Calibri"/>
              </w:rPr>
              <w:t>50 (45-57)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47</w:t>
            </w:r>
            <w:r>
              <w:rPr>
                <w:rFonts w:ascii="Calibri" w:hAnsi="Calibri" w:cs="Calibri"/>
              </w:rPr>
              <w:t>-6</w:t>
            </w:r>
            <w:r>
              <w:rPr>
                <w:rFonts w:ascii="Calibri" w:hAnsi="Calibri" w:cs="Calibri" w:hint="eastAsia"/>
              </w:rPr>
              <w:t>2</w:t>
            </w:r>
            <w:r w:rsidRPr="00F273C1">
              <w:rPr>
                <w:rFonts w:ascii="Calibri" w:hAnsi="Calibri" w:cs="Calibri"/>
              </w:rPr>
              <w:t>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F273C1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 w:hint="eastAsia"/>
              </w:rPr>
              <w:t>37</w:t>
            </w:r>
          </w:p>
        </w:tc>
      </w:tr>
      <w:tr w:rsidR="007B0AD9" w:rsidRPr="00240386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(33%)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17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59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 w:hint="eastAsia"/>
              </w:rPr>
              <w:t>26</w:t>
            </w:r>
          </w:p>
        </w:tc>
      </w:tr>
      <w:tr w:rsidR="007B0AD9" w:rsidRPr="00240386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Never smoker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(100%)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18</w:t>
            </w:r>
            <w:r>
              <w:rPr>
                <w:rFonts w:ascii="Calibri" w:hAnsi="Calibri" w:cs="Calibri"/>
              </w:rPr>
              <w:t xml:space="preserve"> (6</w:t>
            </w:r>
            <w:r>
              <w:rPr>
                <w:rFonts w:ascii="Calibri" w:hAnsi="Calibri" w:cs="Calibri" w:hint="eastAsia"/>
              </w:rPr>
              <w:t>2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</w:t>
            </w:r>
            <w:r>
              <w:rPr>
                <w:rFonts w:ascii="Calibri" w:hAnsi="Calibri" w:cs="Calibri" w:hint="eastAsia"/>
              </w:rPr>
              <w:t>7</w:t>
            </w:r>
          </w:p>
        </w:tc>
      </w:tr>
      <w:tr w:rsidR="007B0AD9" w:rsidRPr="009E5F9C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Previous anticancer therapy (line)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(1-5)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2</w:t>
            </w:r>
            <w:r>
              <w:rPr>
                <w:rFonts w:ascii="Calibri" w:hAnsi="Calibri" w:cs="Calibri"/>
              </w:rPr>
              <w:t>-5)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  <w:r>
              <w:rPr>
                <w:rFonts w:ascii="Calibri" w:hAnsi="Calibri" w:cs="Calibri" w:hint="eastAsia"/>
              </w:rPr>
              <w:t>1</w:t>
            </w:r>
          </w:p>
        </w:tc>
      </w:tr>
      <w:tr w:rsidR="007B0AD9" w:rsidRPr="00000EB2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ECOG ≥ 2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(0%)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</w:t>
            </w:r>
            <w:r>
              <w:rPr>
                <w:rFonts w:ascii="Calibri" w:hAnsi="Calibri" w:cs="Calibri"/>
              </w:rPr>
              <w:t xml:space="preserve"> (3</w:t>
            </w: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  <w:r>
              <w:rPr>
                <w:rFonts w:ascii="Calibri" w:hAnsi="Calibri" w:cs="Calibri" w:hint="eastAsia"/>
              </w:rPr>
              <w:t>1</w:t>
            </w: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Brain metastasis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 w:hint="eastAsia"/>
              </w:rPr>
              <w:t>4</w:t>
            </w:r>
            <w:r>
              <w:rPr>
                <w:rFonts w:ascii="Calibri" w:hAnsi="Calibri" w:cs="Calibri"/>
              </w:rPr>
              <w:t xml:space="preserve"> (4</w:t>
            </w:r>
            <w:r>
              <w:rPr>
                <w:rFonts w:ascii="Calibri" w:hAnsi="Calibri" w:cs="Calibri" w:hint="eastAsia"/>
              </w:rPr>
              <w:t>8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 w:hint="eastAsia"/>
              </w:rPr>
              <w:t>15</w:t>
            </w: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Best crizotinib response</w:t>
            </w:r>
            <w:r w:rsidRPr="00831128">
              <w:rPr>
                <w:rFonts w:asciiTheme="minorHAnsi" w:hAnsiTheme="minorHAnsi" w:cstheme="minorHAnsi" w:hint="eastAsia"/>
                <w:vertAlign w:val="superscript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  <w:r>
              <w:rPr>
                <w:rFonts w:ascii="Calibri" w:hAnsi="Calibri" w:cs="Calibri" w:hint="eastAsia"/>
              </w:rPr>
              <w:t>0</w:t>
            </w: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(66%)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13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48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30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 xml:space="preserve"> (2</w:t>
            </w:r>
            <w:r>
              <w:rPr>
                <w:rFonts w:ascii="Calibri" w:hAnsi="Calibri" w:cs="Calibri" w:hint="eastAsia"/>
              </w:rPr>
              <w:t>2</w:t>
            </w:r>
            <w:r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BIM deletion (n=30)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0/4 (0%)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</w:rPr>
              <w:t>16</w:t>
            </w:r>
            <w:r>
              <w:rPr>
                <w:rFonts w:ascii="Calibri" w:hAnsi="Calibri" w:cs="Calibri"/>
              </w:rPr>
              <w:t xml:space="preserve"> (2</w:t>
            </w:r>
            <w:r>
              <w:rPr>
                <w:rFonts w:ascii="Calibri" w:hAnsi="Calibri" w:cs="Calibri" w:hint="eastAsia"/>
              </w:rPr>
              <w:t>5</w:t>
            </w:r>
            <w:r w:rsidRPr="00F273C1">
              <w:rPr>
                <w:rFonts w:ascii="Calibri" w:hAnsi="Calibri" w:cs="Calibri"/>
              </w:rPr>
              <w:t>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F3720A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F273C1">
              <w:rPr>
                <w:rFonts w:ascii="Calibri" w:hAnsi="Calibri" w:cs="Calibri"/>
              </w:rPr>
              <w:t>0.2</w:t>
            </w:r>
            <w:r>
              <w:rPr>
                <w:rFonts w:ascii="Calibri" w:hAnsi="Calibri" w:cs="Calibri" w:hint="eastAsia"/>
              </w:rPr>
              <w:t>6</w:t>
            </w:r>
          </w:p>
        </w:tc>
      </w:tr>
      <w:tr w:rsidR="007B0AD9" w:rsidRPr="0088639F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AD9" w:rsidRPr="00AB3D8F" w:rsidRDefault="007B0AD9" w:rsidP="00B46C9C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Median follow up time (month)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18.2 (10.2-43.9)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14.8 (5.7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 w:hint="eastAsia"/>
              </w:rPr>
              <w:t xml:space="preserve"> 22.1)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B0AD9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0.27</w:t>
            </w:r>
          </w:p>
        </w:tc>
      </w:tr>
      <w:tr w:rsidR="007B0AD9" w:rsidRPr="00A642B2" w:rsidTr="00B46C9C">
        <w:trPr>
          <w:gridAfter w:val="1"/>
          <w:wAfter w:w="142" w:type="dxa"/>
        </w:trPr>
        <w:tc>
          <w:tcPr>
            <w:tcW w:w="4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AD9" w:rsidRPr="00AB3D8F" w:rsidRDefault="007B0AD9" w:rsidP="00B46C9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AD9" w:rsidRPr="00A642B2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AD9" w:rsidRPr="00A642B2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AD9" w:rsidRPr="00A642B2" w:rsidRDefault="007B0AD9" w:rsidP="00B46C9C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7B0AD9" w:rsidRPr="00045FEF" w:rsidTr="00B46C9C">
        <w:tc>
          <w:tcPr>
            <w:tcW w:w="9464" w:type="dxa"/>
            <w:gridSpan w:val="5"/>
            <w:tcBorders>
              <w:top w:val="single" w:sz="6" w:space="0" w:color="000000"/>
              <w:bottom w:val="nil"/>
            </w:tcBorders>
          </w:tcPr>
          <w:p w:rsidR="007B0AD9" w:rsidRDefault="007B0AD9" w:rsidP="00B46C9C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  <w:r w:rsidRPr="007B4690">
              <w:rPr>
                <w:rFonts w:ascii="Calibri" w:hAnsi="Calibri" w:cs="Calibri" w:hint="eastAsia"/>
                <w:vertAlign w:val="superscript"/>
              </w:rPr>
              <w:t>1</w:t>
            </w:r>
            <w:r>
              <w:rPr>
                <w:rFonts w:ascii="Calibri" w:hAnsi="Calibri" w:cs="Calibri" w:hint="eastAsia"/>
              </w:rPr>
              <w:t xml:space="preserve"> Long ALK variants: Variants other than V</w:t>
            </w:r>
            <w:r w:rsidRPr="00EC1873">
              <w:rPr>
                <w:rFonts w:ascii="Calibri" w:hAnsi="Calibri" w:cs="Calibri"/>
              </w:rPr>
              <w:t xml:space="preserve">ariant 3a,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 xml:space="preserve">ariant 3b,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 xml:space="preserve">ariant 5a, </w:t>
            </w:r>
            <w:r>
              <w:rPr>
                <w:rFonts w:ascii="Calibri" w:hAnsi="Calibri" w:cs="Calibri" w:hint="eastAsia"/>
              </w:rPr>
              <w:t>V</w:t>
            </w:r>
            <w:r w:rsidRPr="00EC1873">
              <w:rPr>
                <w:rFonts w:ascii="Calibri" w:hAnsi="Calibri" w:cs="Calibri"/>
              </w:rPr>
              <w:t>ariant 5</w:t>
            </w:r>
            <w:r>
              <w:rPr>
                <w:rFonts w:ascii="Calibri" w:hAnsi="Calibri" w:cs="Calibri" w:hint="eastAsia"/>
              </w:rPr>
              <w:t>b</w:t>
            </w:r>
          </w:p>
          <w:p w:rsidR="007B0AD9" w:rsidRDefault="007B0AD9" w:rsidP="00B46C9C">
            <w:pPr>
              <w:adjustRightInd w:val="0"/>
              <w:snapToGrid w:val="0"/>
              <w:ind w:rightChars="-45" w:right="-108"/>
              <w:rPr>
                <w:rFonts w:asciiTheme="minorHAnsi" w:hAnsiTheme="minorHAnsi" w:cstheme="minorHAnsi"/>
              </w:rPr>
            </w:pPr>
            <w:r w:rsidRPr="00831128">
              <w:rPr>
                <w:rFonts w:asciiTheme="minorHAnsi" w:hAnsiTheme="minorHAnsi" w:cstheme="minorHAnsi" w:hint="eastAsia"/>
                <w:vertAlign w:val="superscript"/>
              </w:rPr>
              <w:t>2</w:t>
            </w:r>
            <w:r>
              <w:rPr>
                <w:rFonts w:asciiTheme="minorHAnsi" w:hAnsiTheme="minorHAnsi" w:cstheme="minorHAnsi" w:hint="eastAsia"/>
              </w:rPr>
              <w:t>Two</w:t>
            </w:r>
            <w:r w:rsidRPr="00CF08F4">
              <w:rPr>
                <w:rFonts w:asciiTheme="minorHAnsi" w:hAnsiTheme="minorHAnsi" w:cstheme="minorHAnsi"/>
              </w:rPr>
              <w:t xml:space="preserve"> patients with varian</w:t>
            </w:r>
            <w:r>
              <w:rPr>
                <w:rFonts w:asciiTheme="minorHAnsi" w:hAnsiTheme="minorHAnsi" w:cstheme="minorHAnsi"/>
              </w:rPr>
              <w:t xml:space="preserve">t 1 </w:t>
            </w:r>
            <w:r w:rsidRPr="00CF08F4">
              <w:rPr>
                <w:rFonts w:asciiTheme="minorHAnsi" w:hAnsiTheme="minorHAnsi" w:cstheme="minorHAnsi"/>
              </w:rPr>
              <w:t>were not evaluable for crizotinib</w:t>
            </w:r>
            <w:r w:rsidRPr="007B4690" w:rsidDel="0044532F">
              <w:rPr>
                <w:rFonts w:ascii="Calibri" w:hAnsi="Calibri" w:cs="Calibri" w:hint="eastAsia"/>
                <w:vertAlign w:val="superscript"/>
              </w:rPr>
              <w:t xml:space="preserve"> </w:t>
            </w:r>
            <w:r w:rsidRPr="00CF08F4">
              <w:rPr>
                <w:rFonts w:asciiTheme="minorHAnsi" w:hAnsiTheme="minorHAnsi" w:cstheme="minorHAnsi"/>
              </w:rPr>
              <w:t>response.</w:t>
            </w:r>
          </w:p>
          <w:p w:rsidR="007B0AD9" w:rsidRPr="00616CD9" w:rsidRDefault="007B0AD9" w:rsidP="00B46C9C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  <w:p w:rsidR="007B0AD9" w:rsidRDefault="007B0AD9" w:rsidP="00B46C9C">
            <w:pPr>
              <w:adjustRightInd w:val="0"/>
              <w:snapToGrid w:val="0"/>
              <w:ind w:rightChars="-45" w:right="-108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A</w:t>
            </w:r>
            <w:r w:rsidRPr="005D337C">
              <w:rPr>
                <w:rFonts w:ascii="Calibri" w:hAnsi="Calibri" w:cs="Calibri"/>
              </w:rPr>
              <w:t xml:space="preserve">bbreviation: </w:t>
            </w:r>
            <w:r>
              <w:rPr>
                <w:rFonts w:ascii="Calibri" w:hAnsi="Calibri" w:cs="Calibri" w:hint="eastAsia"/>
              </w:rPr>
              <w:t>IQR</w:t>
            </w:r>
            <w:r>
              <w:rPr>
                <w:rFonts w:ascii="Calibri" w:hAnsi="Calibri" w:cs="Calibri"/>
              </w:rPr>
              <w:t>,</w:t>
            </w:r>
            <w:r w:rsidRPr="005D337C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</w:rPr>
              <w:t>interquatile</w:t>
            </w:r>
            <w:proofErr w:type="spellEnd"/>
            <w:r>
              <w:rPr>
                <w:rFonts w:ascii="Calibri" w:hAnsi="Calibri" w:cs="Calibri" w:hint="eastAsia"/>
              </w:rPr>
              <w:t xml:space="preserve"> range; ALK, </w:t>
            </w:r>
            <w:proofErr w:type="spellStart"/>
            <w:r>
              <w:rPr>
                <w:rFonts w:ascii="Calibri" w:hAnsi="Calibri" w:cs="Calibri" w:hint="eastAsia"/>
              </w:rPr>
              <w:t>anaplastic</w:t>
            </w:r>
            <w:proofErr w:type="spellEnd"/>
            <w:r>
              <w:rPr>
                <w:rFonts w:ascii="Calibri" w:hAnsi="Calibri" w:cs="Calibri" w:hint="eastAsia"/>
              </w:rPr>
              <w:t xml:space="preserve"> lymphoma kinase; ECOG, </w:t>
            </w:r>
            <w:r w:rsidRPr="00BC2D11">
              <w:rPr>
                <w:rFonts w:ascii="Calibri" w:hAnsi="Calibri" w:cs="Calibri"/>
              </w:rPr>
              <w:t>Eastern Cooperative Oncology Group</w:t>
            </w:r>
            <w:r>
              <w:rPr>
                <w:rFonts w:ascii="Calibri" w:hAnsi="Calibri" w:cs="Calibri" w:hint="eastAsia"/>
              </w:rPr>
              <w:t xml:space="preserve"> performance score; BIM, </w:t>
            </w:r>
            <w:r w:rsidRPr="00FE5297">
              <w:rPr>
                <w:rFonts w:ascii="Calibri" w:hAnsi="Calibri" w:cs="Calibri"/>
              </w:rPr>
              <w:t>Bcl-2-like 11</w:t>
            </w:r>
            <w:r w:rsidRPr="00CF08F4">
              <w:rPr>
                <w:rFonts w:asciiTheme="minorHAnsi" w:hAnsiTheme="minorHAnsi" w:cstheme="minorHAnsi"/>
              </w:rPr>
              <w:t xml:space="preserve"> </w:t>
            </w:r>
          </w:p>
          <w:p w:rsidR="007B0AD9" w:rsidRPr="00591C65" w:rsidRDefault="007B0AD9" w:rsidP="00B46C9C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  <w:p w:rsidR="007B0AD9" w:rsidRPr="007B07F6" w:rsidRDefault="007B0AD9" w:rsidP="00B46C9C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</w:tc>
      </w:tr>
    </w:tbl>
    <w:p w:rsidR="007B0AD9" w:rsidRP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Default="007B0AD9" w:rsidP="001B3D6B"/>
    <w:p w:rsidR="007B0AD9" w:rsidRPr="007B0AD9" w:rsidRDefault="007B0AD9" w:rsidP="001B3D6B"/>
    <w:p w:rsidR="007B0AD9" w:rsidRDefault="007B0AD9" w:rsidP="001B3D6B"/>
    <w:p w:rsidR="007B0AD9" w:rsidRPr="007B0AD9" w:rsidRDefault="007B0AD9" w:rsidP="001B3D6B"/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tbl>
      <w:tblPr>
        <w:tblpPr w:leftFromText="180" w:rightFromText="180" w:vertAnchor="text" w:horzAnchor="margin" w:tblpY="1"/>
        <w:tblOverlap w:val="never"/>
        <w:tblW w:w="995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219"/>
        <w:gridCol w:w="1916"/>
        <w:gridCol w:w="2053"/>
        <w:gridCol w:w="1345"/>
        <w:gridCol w:w="425"/>
      </w:tblGrid>
      <w:tr w:rsidR="001B3D6B" w:rsidTr="0062693E">
        <w:tc>
          <w:tcPr>
            <w:tcW w:w="99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3D6B" w:rsidRDefault="001B3D6B" w:rsidP="007B0AD9">
            <w:pPr>
              <w:adjustRightInd w:val="0"/>
              <w:snapToGrid w:val="0"/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</w:rPr>
              <w:t xml:space="preserve">Supplementary </w:t>
            </w:r>
            <w:r w:rsidRPr="00C42349">
              <w:rPr>
                <w:rFonts w:ascii="Calibri" w:hAnsi="Calibri" w:cs="Calibri"/>
                <w:b/>
              </w:rPr>
              <w:t>Table</w:t>
            </w:r>
            <w:r>
              <w:rPr>
                <w:rFonts w:ascii="Calibri" w:hAnsi="Calibri" w:cs="Calibri" w:hint="eastAsia"/>
                <w:b/>
              </w:rPr>
              <w:t xml:space="preserve"> </w:t>
            </w:r>
            <w:r w:rsidR="007B0AD9">
              <w:rPr>
                <w:rFonts w:ascii="Calibri" w:hAnsi="Calibri" w:cs="Calibri" w:hint="eastAsia"/>
                <w:b/>
              </w:rPr>
              <w:t>3</w:t>
            </w:r>
            <w:r>
              <w:rPr>
                <w:rFonts w:ascii="Calibri" w:hAnsi="Calibri" w:cs="Calibri" w:hint="eastAsia"/>
                <w:b/>
              </w:rPr>
              <w:t>.</w:t>
            </w:r>
            <w:r w:rsidRPr="00C4234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Demographic Data</w:t>
            </w:r>
            <w:r>
              <w:rPr>
                <w:rFonts w:ascii="Calibri" w:hAnsi="Calibri" w:cs="Calibri" w:hint="eastAsia"/>
                <w:b/>
              </w:rPr>
              <w:t xml:space="preserve"> Stratified by BIM Polymorphism</w:t>
            </w:r>
            <w:r w:rsidDel="00D52B23">
              <w:rPr>
                <w:rFonts w:ascii="Calibri" w:hAnsi="Calibri" w:cs="Calibri" w:hint="eastAsia"/>
                <w:b/>
              </w:rPr>
              <w:t xml:space="preserve"> </w:t>
            </w:r>
            <w:r>
              <w:rPr>
                <w:rFonts w:ascii="Calibri" w:hAnsi="Calibri" w:cs="Calibri" w:hint="eastAsia"/>
                <w:b/>
              </w:rPr>
              <w:t>(n=30).</w:t>
            </w:r>
          </w:p>
        </w:tc>
      </w:tr>
      <w:tr w:rsidR="001B3D6B" w:rsidRPr="000948B8" w:rsidTr="0062693E">
        <w:trPr>
          <w:gridAfter w:val="1"/>
          <w:wAfter w:w="425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</w:t>
            </w:r>
            <w:r w:rsidRPr="005D337C">
              <w:rPr>
                <w:rFonts w:ascii="Calibri" w:hAnsi="Calibri" w:cs="Calibri"/>
              </w:rPr>
              <w:t>riable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3D6B" w:rsidRPr="005D337C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BIM deletion (n=6)</w:t>
            </w:r>
          </w:p>
        </w:tc>
        <w:tc>
          <w:tcPr>
            <w:tcW w:w="20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3D6B" w:rsidRPr="005D337C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Wild type BIM (n=24)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3D6B" w:rsidRPr="000948B8" w:rsidRDefault="001B3D6B" w:rsidP="0062693E">
            <w:pPr>
              <w:adjustRightInd w:val="0"/>
              <w:snapToGrid w:val="0"/>
              <w:rPr>
                <w:rFonts w:ascii="Calibri" w:hAnsi="Calibri" w:cs="Calibri"/>
                <w:i/>
              </w:rPr>
            </w:pPr>
            <w:r w:rsidRPr="000948B8">
              <w:rPr>
                <w:rFonts w:ascii="Calibri" w:hAnsi="Calibri" w:cs="Calibri"/>
                <w:i/>
              </w:rPr>
              <w:t>p</w:t>
            </w:r>
            <w:r w:rsidRPr="005D337C">
              <w:rPr>
                <w:rFonts w:ascii="Calibri" w:hAnsi="Calibri" w:cs="Calibri"/>
              </w:rPr>
              <w:t xml:space="preserve"> value</w:t>
            </w:r>
          </w:p>
        </w:tc>
      </w:tr>
      <w:tr w:rsidR="001B3D6B" w:rsidRPr="00240386" w:rsidTr="0062693E">
        <w:trPr>
          <w:gridAfter w:val="1"/>
          <w:wAfter w:w="425" w:type="dxa"/>
        </w:trPr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Median age (year-old) (IQR)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D6B" w:rsidRPr="00FF696E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57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 w:hint="eastAsia"/>
              </w:rPr>
              <w:t>46</w:t>
            </w:r>
            <w:r>
              <w:rPr>
                <w:rFonts w:ascii="Calibri" w:hAnsi="Calibri" w:cs="Calibri"/>
              </w:rPr>
              <w:t>-6</w:t>
            </w:r>
            <w:r>
              <w:rPr>
                <w:rFonts w:ascii="Calibri" w:hAnsi="Calibri" w:cs="Calibri" w:hint="eastAsia"/>
              </w:rPr>
              <w:t>6</w:t>
            </w:r>
            <w:r w:rsidRPr="00A5429B">
              <w:rPr>
                <w:rFonts w:ascii="Calibri" w:hAnsi="Calibri" w:cs="Calibri"/>
              </w:rPr>
              <w:t>)</w:t>
            </w:r>
          </w:p>
        </w:tc>
        <w:tc>
          <w:tcPr>
            <w:tcW w:w="20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D6B" w:rsidRPr="00FF696E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56 (49-66)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D6B" w:rsidRPr="00FF696E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0.86</w:t>
            </w:r>
          </w:p>
        </w:tc>
      </w:tr>
      <w:tr w:rsidR="001B3D6B" w:rsidRPr="00240386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 (83%)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 (58%)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0.26</w:t>
            </w:r>
          </w:p>
        </w:tc>
      </w:tr>
      <w:tr w:rsidR="001B3D6B" w:rsidRPr="00240386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Never smoker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 (50%)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17 (71%)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0.33</w:t>
            </w:r>
          </w:p>
        </w:tc>
      </w:tr>
      <w:tr w:rsidR="001B3D6B" w:rsidRPr="009E5F9C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Previous anticancer therapy (line)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(2-6)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(2-5)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0.98</w:t>
            </w:r>
          </w:p>
        </w:tc>
      </w:tr>
      <w:tr w:rsidR="001B3D6B" w:rsidRPr="00000EB2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ECOG ≥ 2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 (33%)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 (21%)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0.52</w:t>
            </w: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Brain metastasis before crizotinib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 (17%)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 (38%)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0.33</w:t>
            </w: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ALK fusion variant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0.75</w:t>
            </w: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226F09" w:rsidRDefault="001B3D6B" w:rsidP="006269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Variant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 (50%)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 (37%)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Variant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 (0%)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(17%)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Variant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 (33%)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 (29%)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Other variants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 (17%)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(17%)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Best crizotinib response</w:t>
            </w:r>
            <w:r w:rsidR="00B20FC6" w:rsidRPr="007B4690">
              <w:rPr>
                <w:rFonts w:ascii="Calibri" w:hAnsi="Calibri" w:cs="Calibri" w:hint="eastAsia"/>
                <w:vertAlign w:val="superscript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0.21</w:t>
            </w: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(80%)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10 (41%)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 (0%)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 (38%)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 (20%)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 (21%)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F3720A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88639F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D6B" w:rsidRPr="00AB3D8F" w:rsidRDefault="001B3D6B" w:rsidP="0062693E">
            <w:pPr>
              <w:adjustRightInd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Median follow up time (month) (IQR)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17.3 (1.0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 w:hint="eastAsia"/>
              </w:rPr>
              <w:t xml:space="preserve"> 45.6)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13.8 (6.8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 w:hint="eastAsia"/>
              </w:rPr>
              <w:t xml:space="preserve"> 30.4)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B3D6B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0.88</w:t>
            </w:r>
          </w:p>
        </w:tc>
      </w:tr>
      <w:tr w:rsidR="001B3D6B" w:rsidRPr="00A642B2" w:rsidTr="0062693E">
        <w:trPr>
          <w:gridAfter w:val="1"/>
          <w:wAfter w:w="425" w:type="dxa"/>
        </w:trPr>
        <w:tc>
          <w:tcPr>
            <w:tcW w:w="4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3D6B" w:rsidRPr="00AB3D8F" w:rsidRDefault="001B3D6B" w:rsidP="006269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3D6B" w:rsidRPr="00A642B2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3D6B" w:rsidRPr="00A642B2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3D6B" w:rsidRPr="00A642B2" w:rsidRDefault="001B3D6B" w:rsidP="0062693E">
            <w:pPr>
              <w:adjustRightInd w:val="0"/>
              <w:snapToGrid w:val="0"/>
              <w:rPr>
                <w:rFonts w:ascii="Calibri" w:hAnsi="Calibri" w:cs="Calibri"/>
              </w:rPr>
            </w:pPr>
          </w:p>
        </w:tc>
      </w:tr>
      <w:tr w:rsidR="001B3D6B" w:rsidRPr="00045FEF" w:rsidTr="0062693E">
        <w:tc>
          <w:tcPr>
            <w:tcW w:w="9958" w:type="dxa"/>
            <w:gridSpan w:val="5"/>
            <w:tcBorders>
              <w:top w:val="single" w:sz="6" w:space="0" w:color="000000"/>
              <w:bottom w:val="nil"/>
            </w:tcBorders>
          </w:tcPr>
          <w:p w:rsidR="001B3D6B" w:rsidRDefault="001B3D6B" w:rsidP="0062693E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  <w:p w:rsidR="001B3D6B" w:rsidRPr="00CF08F4" w:rsidRDefault="00B20FC6" w:rsidP="0062693E">
            <w:pPr>
              <w:rPr>
                <w:rFonts w:asciiTheme="minorHAnsi" w:hAnsiTheme="minorHAnsi" w:cstheme="minorHAnsi"/>
              </w:rPr>
            </w:pPr>
            <w:r w:rsidRPr="007B4690">
              <w:rPr>
                <w:rFonts w:ascii="Calibri" w:hAnsi="Calibri" w:cs="Calibri" w:hint="eastAsia"/>
                <w:vertAlign w:val="superscript"/>
              </w:rPr>
              <w:t>1</w:t>
            </w:r>
            <w:r>
              <w:rPr>
                <w:rFonts w:ascii="Calibri" w:hAnsi="Calibri" w:cs="Calibri" w:hint="eastAsia"/>
              </w:rPr>
              <w:t xml:space="preserve"> </w:t>
            </w:r>
            <w:r w:rsidR="001B3D6B">
              <w:rPr>
                <w:rFonts w:asciiTheme="minorHAnsi" w:hAnsiTheme="minorHAnsi" w:cstheme="minorHAnsi" w:hint="eastAsia"/>
              </w:rPr>
              <w:t xml:space="preserve">One patient with BIM deletion </w:t>
            </w:r>
            <w:r w:rsidR="001B3D6B" w:rsidRPr="00CF08F4">
              <w:rPr>
                <w:rFonts w:asciiTheme="minorHAnsi" w:hAnsiTheme="minorHAnsi" w:cstheme="minorHAnsi"/>
              </w:rPr>
              <w:t>w</w:t>
            </w:r>
            <w:r w:rsidR="001B3D6B">
              <w:rPr>
                <w:rFonts w:asciiTheme="minorHAnsi" w:hAnsiTheme="minorHAnsi" w:cstheme="minorHAnsi" w:hint="eastAsia"/>
              </w:rPr>
              <w:t>as</w:t>
            </w:r>
            <w:r w:rsidR="001B3D6B" w:rsidRPr="00CF08F4">
              <w:rPr>
                <w:rFonts w:asciiTheme="minorHAnsi" w:hAnsiTheme="minorHAnsi" w:cstheme="minorHAnsi"/>
              </w:rPr>
              <w:t xml:space="preserve"> not evaluable for crizotinib response.</w:t>
            </w:r>
          </w:p>
          <w:p w:rsidR="001B3D6B" w:rsidRDefault="001B3D6B" w:rsidP="0062693E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</w:p>
          <w:p w:rsidR="001B3D6B" w:rsidRPr="007B07F6" w:rsidRDefault="001B3D6B" w:rsidP="0062693E">
            <w:pPr>
              <w:adjustRightInd w:val="0"/>
              <w:snapToGrid w:val="0"/>
              <w:ind w:rightChars="-45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Acronyms</w:t>
            </w:r>
            <w:r w:rsidRPr="005D337C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 w:hint="eastAsia"/>
              </w:rPr>
              <w:t xml:space="preserve"> BIM, </w:t>
            </w:r>
            <w:r w:rsidRPr="00FE5297">
              <w:rPr>
                <w:rFonts w:ascii="Calibri" w:hAnsi="Calibri" w:cs="Calibri"/>
              </w:rPr>
              <w:t>Bcl-2-like 11</w:t>
            </w:r>
            <w:r>
              <w:rPr>
                <w:rFonts w:ascii="Calibri" w:hAnsi="Calibri" w:cs="Calibri" w:hint="eastAsia"/>
              </w:rPr>
              <w:t>; IQR</w:t>
            </w:r>
            <w:r>
              <w:rPr>
                <w:rFonts w:ascii="Calibri" w:hAnsi="Calibri" w:cs="Calibri"/>
              </w:rPr>
              <w:t>,</w:t>
            </w:r>
            <w:r w:rsidRPr="005D337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interqua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 w:hint="eastAsia"/>
              </w:rPr>
              <w:t xml:space="preserve">tile range; ECOG, </w:t>
            </w:r>
            <w:r w:rsidRPr="00BC2D11">
              <w:rPr>
                <w:rFonts w:ascii="Calibri" w:hAnsi="Calibri" w:cs="Calibri"/>
              </w:rPr>
              <w:t>Eastern Cooperative Oncology Group</w:t>
            </w:r>
            <w:r>
              <w:rPr>
                <w:rFonts w:ascii="Calibri" w:hAnsi="Calibri" w:cs="Calibri" w:hint="eastAsia"/>
              </w:rPr>
              <w:t xml:space="preserve"> performance score; ALK, </w:t>
            </w:r>
            <w:proofErr w:type="spellStart"/>
            <w:r>
              <w:rPr>
                <w:rFonts w:ascii="Calibri" w:hAnsi="Calibri" w:cs="Calibri" w:hint="eastAsia"/>
              </w:rPr>
              <w:t>anaplastic</w:t>
            </w:r>
            <w:proofErr w:type="spellEnd"/>
            <w:r>
              <w:rPr>
                <w:rFonts w:ascii="Calibri" w:hAnsi="Calibri" w:cs="Calibri" w:hint="eastAsia"/>
              </w:rPr>
              <w:t xml:space="preserve"> lymphoma kinase; PR, partial response; SD, stable disease; PD, progressive disease</w:t>
            </w:r>
          </w:p>
        </w:tc>
      </w:tr>
    </w:tbl>
    <w:p w:rsidR="001B3D6B" w:rsidRPr="00C40BEC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>
      <w:pPr>
        <w:framePr w:hSpace="180" w:wrap="around" w:vAnchor="text" w:hAnchor="margin" w:y="1"/>
        <w:adjustRightInd w:val="0"/>
        <w:snapToGrid w:val="0"/>
        <w:ind w:rightChars="-45" w:right="-108"/>
        <w:suppressOverlap/>
        <w:rPr>
          <w:rFonts w:ascii="Calibri" w:hAnsi="Calibri" w:cs="Calibri"/>
        </w:rPr>
      </w:pPr>
    </w:p>
    <w:p w:rsidR="001B3D6B" w:rsidRDefault="001B3D6B" w:rsidP="001B3D6B"/>
    <w:p w:rsidR="00174002" w:rsidRPr="001B3D6B" w:rsidRDefault="00174002"/>
    <w:p w:rsidR="00174002" w:rsidRDefault="00174002"/>
    <w:p w:rsidR="00174002" w:rsidRPr="00174002" w:rsidRDefault="00174002"/>
    <w:sectPr w:rsidR="00174002" w:rsidRPr="00174002" w:rsidSect="00D364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1D" w:rsidRDefault="007F4A1D" w:rsidP="000B6F6B">
      <w:r>
        <w:separator/>
      </w:r>
    </w:p>
  </w:endnote>
  <w:endnote w:type="continuationSeparator" w:id="0">
    <w:p w:rsidR="007F4A1D" w:rsidRDefault="007F4A1D" w:rsidP="000B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1D" w:rsidRDefault="007F4A1D" w:rsidP="000B6F6B">
      <w:r>
        <w:separator/>
      </w:r>
    </w:p>
  </w:footnote>
  <w:footnote w:type="continuationSeparator" w:id="0">
    <w:p w:rsidR="007F4A1D" w:rsidRDefault="007F4A1D" w:rsidP="000B6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4FA"/>
    <w:rsid w:val="00005829"/>
    <w:rsid w:val="00043172"/>
    <w:rsid w:val="0004671B"/>
    <w:rsid w:val="00057D7A"/>
    <w:rsid w:val="000A6924"/>
    <w:rsid w:val="000B2276"/>
    <w:rsid w:val="000B596A"/>
    <w:rsid w:val="000B6F6B"/>
    <w:rsid w:val="000B79FC"/>
    <w:rsid w:val="001115AF"/>
    <w:rsid w:val="001119FC"/>
    <w:rsid w:val="00111B1E"/>
    <w:rsid w:val="00117244"/>
    <w:rsid w:val="0012250A"/>
    <w:rsid w:val="0012536F"/>
    <w:rsid w:val="001269E1"/>
    <w:rsid w:val="00157E75"/>
    <w:rsid w:val="00174002"/>
    <w:rsid w:val="001847A4"/>
    <w:rsid w:val="001943C0"/>
    <w:rsid w:val="001B3D6B"/>
    <w:rsid w:val="001B643D"/>
    <w:rsid w:val="001C7D5D"/>
    <w:rsid w:val="00204E57"/>
    <w:rsid w:val="00210E7F"/>
    <w:rsid w:val="002267B9"/>
    <w:rsid w:val="00240F59"/>
    <w:rsid w:val="00247D46"/>
    <w:rsid w:val="00247ED9"/>
    <w:rsid w:val="00252B79"/>
    <w:rsid w:val="00254C37"/>
    <w:rsid w:val="002610C0"/>
    <w:rsid w:val="002668D0"/>
    <w:rsid w:val="002B2F5A"/>
    <w:rsid w:val="002C3247"/>
    <w:rsid w:val="00357091"/>
    <w:rsid w:val="00360464"/>
    <w:rsid w:val="00380A70"/>
    <w:rsid w:val="003B7ACA"/>
    <w:rsid w:val="003E0354"/>
    <w:rsid w:val="003F10C5"/>
    <w:rsid w:val="003F6D8F"/>
    <w:rsid w:val="0044532F"/>
    <w:rsid w:val="00445B41"/>
    <w:rsid w:val="004508E7"/>
    <w:rsid w:val="00470375"/>
    <w:rsid w:val="004714D5"/>
    <w:rsid w:val="004A69D8"/>
    <w:rsid w:val="00513973"/>
    <w:rsid w:val="005342B2"/>
    <w:rsid w:val="00536A44"/>
    <w:rsid w:val="0054603A"/>
    <w:rsid w:val="00552823"/>
    <w:rsid w:val="00561592"/>
    <w:rsid w:val="00566D1F"/>
    <w:rsid w:val="00573CE1"/>
    <w:rsid w:val="00582565"/>
    <w:rsid w:val="00582571"/>
    <w:rsid w:val="00591C65"/>
    <w:rsid w:val="005A0A6F"/>
    <w:rsid w:val="005A185D"/>
    <w:rsid w:val="005C08AB"/>
    <w:rsid w:val="005D192F"/>
    <w:rsid w:val="005D2DA4"/>
    <w:rsid w:val="005F56FB"/>
    <w:rsid w:val="00600A09"/>
    <w:rsid w:val="0063172F"/>
    <w:rsid w:val="0063288F"/>
    <w:rsid w:val="00635A11"/>
    <w:rsid w:val="00655B80"/>
    <w:rsid w:val="00660009"/>
    <w:rsid w:val="006735DD"/>
    <w:rsid w:val="00684215"/>
    <w:rsid w:val="006919BE"/>
    <w:rsid w:val="00691E3E"/>
    <w:rsid w:val="006941D0"/>
    <w:rsid w:val="00697874"/>
    <w:rsid w:val="00697F78"/>
    <w:rsid w:val="006A5351"/>
    <w:rsid w:val="006C6626"/>
    <w:rsid w:val="006F7348"/>
    <w:rsid w:val="00700156"/>
    <w:rsid w:val="00711973"/>
    <w:rsid w:val="007249A0"/>
    <w:rsid w:val="00744869"/>
    <w:rsid w:val="007B0AD9"/>
    <w:rsid w:val="007C47FE"/>
    <w:rsid w:val="007C4C89"/>
    <w:rsid w:val="007D6C73"/>
    <w:rsid w:val="007E58DA"/>
    <w:rsid w:val="007F4A1D"/>
    <w:rsid w:val="00800514"/>
    <w:rsid w:val="00803258"/>
    <w:rsid w:val="00815AD0"/>
    <w:rsid w:val="008266DA"/>
    <w:rsid w:val="008318A7"/>
    <w:rsid w:val="00835E69"/>
    <w:rsid w:val="00852894"/>
    <w:rsid w:val="00857E66"/>
    <w:rsid w:val="0087720E"/>
    <w:rsid w:val="0088032A"/>
    <w:rsid w:val="008808D7"/>
    <w:rsid w:val="00886CA4"/>
    <w:rsid w:val="0089155D"/>
    <w:rsid w:val="00892900"/>
    <w:rsid w:val="008972A0"/>
    <w:rsid w:val="008B3E02"/>
    <w:rsid w:val="008C5E16"/>
    <w:rsid w:val="008D2439"/>
    <w:rsid w:val="008D5430"/>
    <w:rsid w:val="008E32A9"/>
    <w:rsid w:val="008F13EB"/>
    <w:rsid w:val="00904F6F"/>
    <w:rsid w:val="0093770E"/>
    <w:rsid w:val="0095116F"/>
    <w:rsid w:val="00981C34"/>
    <w:rsid w:val="00986674"/>
    <w:rsid w:val="009A3852"/>
    <w:rsid w:val="009B3C26"/>
    <w:rsid w:val="009D45D9"/>
    <w:rsid w:val="009E3E8A"/>
    <w:rsid w:val="009F219A"/>
    <w:rsid w:val="009F6772"/>
    <w:rsid w:val="00A03F36"/>
    <w:rsid w:val="00A2277B"/>
    <w:rsid w:val="00A26F08"/>
    <w:rsid w:val="00A5429B"/>
    <w:rsid w:val="00A5448B"/>
    <w:rsid w:val="00A5565C"/>
    <w:rsid w:val="00A61101"/>
    <w:rsid w:val="00A67E4F"/>
    <w:rsid w:val="00A74557"/>
    <w:rsid w:val="00AA051E"/>
    <w:rsid w:val="00AC5DA8"/>
    <w:rsid w:val="00AF1A34"/>
    <w:rsid w:val="00AF58E9"/>
    <w:rsid w:val="00B15A35"/>
    <w:rsid w:val="00B20FC6"/>
    <w:rsid w:val="00B2662F"/>
    <w:rsid w:val="00B667AA"/>
    <w:rsid w:val="00B70E73"/>
    <w:rsid w:val="00BA1436"/>
    <w:rsid w:val="00BC2D11"/>
    <w:rsid w:val="00BE7B55"/>
    <w:rsid w:val="00C057EC"/>
    <w:rsid w:val="00C11A35"/>
    <w:rsid w:val="00C243EC"/>
    <w:rsid w:val="00C560D7"/>
    <w:rsid w:val="00C62031"/>
    <w:rsid w:val="00C625FD"/>
    <w:rsid w:val="00C65020"/>
    <w:rsid w:val="00C712E8"/>
    <w:rsid w:val="00C82822"/>
    <w:rsid w:val="00C8515F"/>
    <w:rsid w:val="00C85E22"/>
    <w:rsid w:val="00C96D55"/>
    <w:rsid w:val="00CB1921"/>
    <w:rsid w:val="00CC7536"/>
    <w:rsid w:val="00CD75E2"/>
    <w:rsid w:val="00CF28FC"/>
    <w:rsid w:val="00D13D51"/>
    <w:rsid w:val="00D364FA"/>
    <w:rsid w:val="00D473CE"/>
    <w:rsid w:val="00D52B23"/>
    <w:rsid w:val="00D62C0F"/>
    <w:rsid w:val="00D65C82"/>
    <w:rsid w:val="00D67A3F"/>
    <w:rsid w:val="00D92715"/>
    <w:rsid w:val="00D95BF0"/>
    <w:rsid w:val="00DE1268"/>
    <w:rsid w:val="00DF0929"/>
    <w:rsid w:val="00E056EC"/>
    <w:rsid w:val="00E2150B"/>
    <w:rsid w:val="00E40020"/>
    <w:rsid w:val="00E47835"/>
    <w:rsid w:val="00E60161"/>
    <w:rsid w:val="00E81371"/>
    <w:rsid w:val="00E84324"/>
    <w:rsid w:val="00EA37BC"/>
    <w:rsid w:val="00EA63D1"/>
    <w:rsid w:val="00EA6FDE"/>
    <w:rsid w:val="00EC0496"/>
    <w:rsid w:val="00EC1873"/>
    <w:rsid w:val="00EC6CE0"/>
    <w:rsid w:val="00ED41F5"/>
    <w:rsid w:val="00ED4816"/>
    <w:rsid w:val="00ED679F"/>
    <w:rsid w:val="00F01BC0"/>
    <w:rsid w:val="00F24663"/>
    <w:rsid w:val="00F27DE8"/>
    <w:rsid w:val="00F3720A"/>
    <w:rsid w:val="00F5413F"/>
    <w:rsid w:val="00F575A3"/>
    <w:rsid w:val="00F8034C"/>
    <w:rsid w:val="00F870C1"/>
    <w:rsid w:val="00FE3AE8"/>
    <w:rsid w:val="00FE5297"/>
    <w:rsid w:val="00FE7CD9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6F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6F6B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0582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5829"/>
  </w:style>
  <w:style w:type="character" w:customStyle="1" w:styleId="a9">
    <w:name w:val="註解文字 字元"/>
    <w:basedOn w:val="a0"/>
    <w:link w:val="a8"/>
    <w:uiPriority w:val="99"/>
    <w:semiHidden/>
    <w:rsid w:val="0000582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82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0582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5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0582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225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Shwansi-UX303</cp:lastModifiedBy>
  <cp:revision>7</cp:revision>
  <dcterms:created xsi:type="dcterms:W3CDTF">2018-12-30T05:59:00Z</dcterms:created>
  <dcterms:modified xsi:type="dcterms:W3CDTF">2019-08-06T05:43:00Z</dcterms:modified>
</cp:coreProperties>
</file>