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110C0B07" w:rsidR="00654E8F" w:rsidRPr="001549D3" w:rsidRDefault="00AC462D" w:rsidP="0001436A">
      <w:pPr>
        <w:pStyle w:val="SupplementaryMaterial"/>
        <w:rPr>
          <w:b w:val="0"/>
        </w:rPr>
      </w:pPr>
      <w:r w:rsidRPr="00AC462D">
        <w:t>Supplementary Information S1</w:t>
      </w:r>
    </w:p>
    <w:p w14:paraId="2DA03756" w14:textId="50D185EF" w:rsidR="00AC462D" w:rsidRPr="00E126CB" w:rsidRDefault="00AC462D" w:rsidP="00AC462D">
      <w:pPr>
        <w:jc w:val="both"/>
        <w:rPr>
          <w:lang w:eastAsia="zh-CN"/>
        </w:rPr>
      </w:pPr>
      <w:r w:rsidRPr="00E126CB">
        <w:rPr>
          <w:b/>
          <w:lang w:eastAsia="zh-CN"/>
        </w:rPr>
        <w:t>Table S1.</w:t>
      </w:r>
      <w:r w:rsidRPr="00E126CB">
        <w:rPr>
          <w:lang w:eastAsia="zh-CN"/>
        </w:rPr>
        <w:t xml:space="preserve"> The optimized parameters of the 10 basic RF classifiers, and their performance on the two benchmark datasets obtained by using 5-fold cross-validation</w:t>
      </w:r>
    </w:p>
    <w:tbl>
      <w:tblPr>
        <w:tblStyle w:val="10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959"/>
        <w:gridCol w:w="1015"/>
        <w:gridCol w:w="1015"/>
        <w:gridCol w:w="923"/>
        <w:gridCol w:w="920"/>
        <w:gridCol w:w="974"/>
        <w:gridCol w:w="1136"/>
        <w:gridCol w:w="1096"/>
      </w:tblGrid>
      <w:tr w:rsidR="00AC462D" w:rsidRPr="00AC462D" w14:paraId="0AAB2B45" w14:textId="77777777" w:rsidTr="004E0F19">
        <w:trPr>
          <w:trHeight w:val="397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21B5B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w:bookmarkStart w:id="0" w:name="_GoBack" w:colFirst="0" w:colLast="8"/>
            <w:r w:rsidRPr="00AC462D">
              <w:rPr>
                <w:b/>
                <w:szCs w:val="24"/>
                <w:lang w:val="en-GB"/>
              </w:rPr>
              <w:t>Species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047B4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i/>
                <w:szCs w:val="24"/>
                <w:lang w:val="en-GB"/>
              </w:rPr>
            </w:pPr>
            <w:r w:rsidRPr="00AC462D">
              <w:rPr>
                <w:b/>
                <w:i/>
                <w:szCs w:val="24"/>
                <w:lang w:val="en-GB"/>
              </w:rPr>
              <w:t>i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B8F78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ε</m:t>
                </m:r>
              </m:oMath>
            </m:oMathPara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BC896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4"/>
                    <w:lang w:val="en-GB"/>
                  </w:rPr>
                  <m:t>δ</m:t>
                </m:r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1ADBBD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GB"/>
                  </w:rPr>
                  <m:t>k</m:t>
                </m:r>
              </m:oMath>
            </m:oMathPara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6CB2CF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4"/>
                    <w:lang w:val="en-GB"/>
                  </w:rPr>
                  <m:t>λ</m:t>
                </m:r>
              </m:oMath>
            </m:oMathPara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47E2C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GB"/>
                  </w:rPr>
                  <m:t>w</m:t>
                </m:r>
              </m:oMath>
            </m:oMathPara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9490E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w:proofErr w:type="gramStart"/>
            <w:r w:rsidRPr="00AC462D">
              <w:rPr>
                <w:b/>
                <w:szCs w:val="24"/>
                <w:lang w:val="en-GB"/>
              </w:rPr>
              <w:t>ACC(</w:t>
            </w:r>
            <w:proofErr w:type="gramEnd"/>
            <w:r w:rsidRPr="00AC462D">
              <w:rPr>
                <w:b/>
                <w:szCs w:val="24"/>
                <w:lang w:val="en-GB"/>
              </w:rPr>
              <w:t>%)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48DA7" w14:textId="77777777" w:rsidR="00AC462D" w:rsidRPr="00AC462D" w:rsidRDefault="00AC462D" w:rsidP="004E0F19">
            <w:pPr>
              <w:spacing w:before="202" w:after="0"/>
              <w:jc w:val="center"/>
              <w:rPr>
                <w:b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GB"/>
                  </w:rPr>
                  <m:t>q</m:t>
                </m:r>
              </m:oMath>
            </m:oMathPara>
          </w:p>
        </w:tc>
      </w:tr>
      <w:bookmarkEnd w:id="0"/>
      <w:tr w:rsidR="00AC462D" w:rsidRPr="00AC462D" w14:paraId="0A6164FC" w14:textId="77777777" w:rsidTr="00117443">
        <w:trPr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A7A33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i/>
                <w:szCs w:val="24"/>
                <w:lang w:val="en-GB"/>
              </w:rPr>
              <w:t xml:space="preserve">Saccharomyces </w:t>
            </w:r>
            <w:proofErr w:type="spellStart"/>
            <w:r w:rsidRPr="00AC462D">
              <w:rPr>
                <w:i/>
                <w:szCs w:val="24"/>
                <w:lang w:val="en-GB"/>
              </w:rPr>
              <w:t>cerevisiae</w:t>
            </w:r>
            <w:proofErr w:type="spellEnd"/>
            <w:r w:rsidRPr="00AC462D">
              <w:rPr>
                <w:szCs w:val="2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1</m:t>
                  </m:r>
                </m:sub>
              </m:sSub>
            </m:oMath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E960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E8B3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ED24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5FB2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20AA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E59B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4A72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73.54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D960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0.2011</w:t>
            </w:r>
          </w:p>
        </w:tc>
      </w:tr>
      <w:tr w:rsidR="00AC462D" w:rsidRPr="00AC462D" w14:paraId="72AC24F3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BD43D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A06F2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9432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6BA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BF2F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5770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50ED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F6C47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71.93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AEC6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0.0080</w:t>
            </w:r>
          </w:p>
        </w:tc>
      </w:tr>
      <w:tr w:rsidR="00AC462D" w:rsidRPr="00AC462D" w14:paraId="5994104D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26FF1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5F8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4B8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C6E8E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28B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846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F73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303792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68.57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09FE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0.0877</w:t>
            </w:r>
          </w:p>
        </w:tc>
      </w:tr>
      <w:tr w:rsidR="00AC462D" w:rsidRPr="00AC462D" w14:paraId="55A16DE9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24592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3C59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D34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8FEB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ADF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9D6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8FC2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DEB43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73.98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59852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0.0485</w:t>
            </w:r>
          </w:p>
        </w:tc>
      </w:tr>
      <w:tr w:rsidR="00AC462D" w:rsidRPr="00AC462D" w14:paraId="01548860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2619B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7489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93F3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B2A2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CA3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3F0A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31D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59435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72.95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8E4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0.0387</w:t>
            </w:r>
          </w:p>
        </w:tc>
      </w:tr>
      <w:tr w:rsidR="00AC462D" w:rsidRPr="00AC462D" w14:paraId="4668ED8B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08459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20A0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564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64FC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E7D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13AE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DD6A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7FF2C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73.10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15B5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0.0195</w:t>
            </w:r>
          </w:p>
        </w:tc>
      </w:tr>
      <w:tr w:rsidR="00AC462D" w:rsidRPr="00AC462D" w14:paraId="10815236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DD366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3CB1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25C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C0E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F185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BB8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388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50D21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72.08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836F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0.0504</w:t>
            </w:r>
          </w:p>
        </w:tc>
      </w:tr>
      <w:tr w:rsidR="00AC462D" w:rsidRPr="00AC462D" w14:paraId="40058433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BA919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308D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C58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18B3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4ED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A643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480D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2F2AD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72.66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749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0.2461</w:t>
            </w:r>
          </w:p>
        </w:tc>
      </w:tr>
      <w:tr w:rsidR="00AC462D" w:rsidRPr="00AC462D" w14:paraId="06DD00E6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7836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987B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9022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574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41E3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840C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FF5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82AB0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73.54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560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0.0326</w:t>
            </w:r>
          </w:p>
        </w:tc>
      </w:tr>
      <w:tr w:rsidR="00AC462D" w:rsidRPr="00AC462D" w14:paraId="79944D79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838AA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22CC0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FA864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D57A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8C56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93C7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1380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E86F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73.54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0C43D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0.2674</w:t>
            </w:r>
          </w:p>
        </w:tc>
      </w:tr>
      <w:tr w:rsidR="00AC462D" w:rsidRPr="00AC462D" w14:paraId="6A6AE7BD" w14:textId="77777777" w:rsidTr="00117443">
        <w:trPr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6D132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proofErr w:type="spellStart"/>
            <w:r w:rsidRPr="00AC462D">
              <w:rPr>
                <w:i/>
                <w:szCs w:val="24"/>
                <w:lang w:val="en-GB"/>
              </w:rPr>
              <w:t>Pichia</w:t>
            </w:r>
            <w:proofErr w:type="spellEnd"/>
            <w:r w:rsidRPr="00AC462D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AC462D">
              <w:rPr>
                <w:i/>
                <w:szCs w:val="24"/>
                <w:lang w:val="en-GB"/>
              </w:rPr>
              <w:t>pastoris</w:t>
            </w:r>
            <w:proofErr w:type="spellEnd"/>
            <w:r w:rsidRPr="00AC462D">
              <w:rPr>
                <w:i/>
                <w:szCs w:val="2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GB"/>
                    </w:rPr>
                    <m:t>2</m:t>
                  </m:r>
                </m:sub>
              </m:sSub>
            </m:oMath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84336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4E2C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C45B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AF5B2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055E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9C472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25A8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72.09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3842E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0.0013</w:t>
            </w:r>
          </w:p>
        </w:tc>
      </w:tr>
      <w:tr w:rsidR="00AC462D" w:rsidRPr="00AC462D" w14:paraId="601658E4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91F5E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52D9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2EEE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966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D540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D078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78DD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E9D81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71.92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483E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0.2915</w:t>
            </w:r>
          </w:p>
        </w:tc>
      </w:tr>
      <w:tr w:rsidR="00AC462D" w:rsidRPr="00AC462D" w14:paraId="61365F77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D0056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2D77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72C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1CE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09C6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41B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26C8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09C5AB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70.77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0F01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0.2082</w:t>
            </w:r>
          </w:p>
        </w:tc>
      </w:tr>
      <w:tr w:rsidR="00AC462D" w:rsidRPr="00AC462D" w14:paraId="4BD72EEE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F94745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0299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9362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ECF3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FECB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8CE6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2CF1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8F430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68.97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B3AA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0.0928</w:t>
            </w:r>
          </w:p>
        </w:tc>
      </w:tr>
      <w:tr w:rsidR="00AC462D" w:rsidRPr="00AC462D" w14:paraId="1FCE6918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034C2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B73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5906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581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AA14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233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8BE5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DABC6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69.46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F9D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0.1272</w:t>
            </w:r>
          </w:p>
        </w:tc>
      </w:tr>
      <w:tr w:rsidR="00AC462D" w:rsidRPr="00AC462D" w14:paraId="4B848A39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290F7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260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B8C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578C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28AF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A5FA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36FFE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9C283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70.11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574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0.0174</w:t>
            </w:r>
          </w:p>
        </w:tc>
      </w:tr>
      <w:tr w:rsidR="00AC462D" w:rsidRPr="00AC462D" w14:paraId="13DC8EF7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78C77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4905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13A2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0FC5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DF13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BDA1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AA20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A6180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69.13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443DE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0.0072</w:t>
            </w:r>
          </w:p>
        </w:tc>
      </w:tr>
      <w:tr w:rsidR="00AC462D" w:rsidRPr="00AC462D" w14:paraId="12C363E6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56230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497B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D1DD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FDE6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43949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688E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DD935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72AC4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70.77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9154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0.2094</w:t>
            </w:r>
          </w:p>
        </w:tc>
      </w:tr>
      <w:tr w:rsidR="00AC462D" w:rsidRPr="00AC462D" w14:paraId="0939E8F2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C2D1E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BCB7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864F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683C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D1D7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40490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F1E3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8F68AE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69.29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FC58A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0.0379</w:t>
            </w:r>
          </w:p>
        </w:tc>
      </w:tr>
      <w:tr w:rsidR="00AC462D" w:rsidRPr="00AC462D" w14:paraId="64BB50CA" w14:textId="77777777" w:rsidTr="00117443">
        <w:trPr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A4D08" w14:textId="77777777" w:rsidR="00AC462D" w:rsidRPr="00AC462D" w:rsidRDefault="00AC462D" w:rsidP="00AC462D">
            <w:pPr>
              <w:spacing w:before="202" w:after="0"/>
              <w:rPr>
                <w:szCs w:val="24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59D976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86E7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B39D74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C687E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1A58D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9151F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C2CB1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71.43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B4178" w14:textId="77777777" w:rsidR="00AC462D" w:rsidRPr="00AC462D" w:rsidRDefault="00AC462D" w:rsidP="00AC462D">
            <w:pPr>
              <w:spacing w:before="202" w:after="0"/>
              <w:jc w:val="center"/>
              <w:rPr>
                <w:szCs w:val="24"/>
                <w:lang w:val="en-GB"/>
              </w:rPr>
            </w:pPr>
            <w:r w:rsidRPr="00AC462D">
              <w:rPr>
                <w:szCs w:val="24"/>
                <w:lang w:val="en-GB"/>
              </w:rPr>
              <w:t>0.0072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  <w:rPr>
          <w:lang w:eastAsia="zh-CN"/>
        </w:rPr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7E70" w14:textId="77777777" w:rsidR="00D37646" w:rsidRDefault="00D37646" w:rsidP="00117666">
      <w:pPr>
        <w:spacing w:after="0"/>
      </w:pPr>
      <w:r>
        <w:separator/>
      </w:r>
    </w:p>
  </w:endnote>
  <w:endnote w:type="continuationSeparator" w:id="0">
    <w:p w14:paraId="53AA7657" w14:textId="77777777" w:rsidR="00D37646" w:rsidRDefault="00D3764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46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462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46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462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F3C9" w14:textId="77777777" w:rsidR="00D37646" w:rsidRDefault="00D37646" w:rsidP="00117666">
      <w:pPr>
        <w:spacing w:after="0"/>
      </w:pPr>
      <w:r>
        <w:separator/>
      </w:r>
    </w:p>
  </w:footnote>
  <w:footnote w:type="continuationSeparator" w:id="0">
    <w:p w14:paraId="4CBCE791" w14:textId="77777777" w:rsidR="00D37646" w:rsidRDefault="00D3764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0F19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462D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37646"/>
    <w:rsid w:val="00DA47D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网格型1"/>
    <w:basedOn w:val="a2"/>
    <w:next w:val="afc"/>
    <w:uiPriority w:val="59"/>
    <w:rsid w:val="00AC462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网格型1"/>
    <w:basedOn w:val="a2"/>
    <w:next w:val="afc"/>
    <w:uiPriority w:val="59"/>
    <w:rsid w:val="00AC462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B99225-D4BA-4B54-B4C5-D6541B0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yk</cp:lastModifiedBy>
  <cp:revision>4</cp:revision>
  <cp:lastPrinted>2013-10-03T12:51:00Z</cp:lastPrinted>
  <dcterms:created xsi:type="dcterms:W3CDTF">2018-11-23T08:58:00Z</dcterms:created>
  <dcterms:modified xsi:type="dcterms:W3CDTF">2019-06-05T08:26:00Z</dcterms:modified>
</cp:coreProperties>
</file>