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5D67" w14:textId="259FF031" w:rsidR="00CA1E56" w:rsidRPr="00CA1E56" w:rsidRDefault="00CA1E56" w:rsidP="00CA1E56">
      <w:pPr>
        <w:spacing w:before="0" w:after="0"/>
        <w:rPr>
          <w:b/>
        </w:rPr>
      </w:pPr>
      <w:r w:rsidRPr="00CA1E56">
        <w:rPr>
          <w:b/>
        </w:rPr>
        <w:t xml:space="preserve">SUPPLEMENTARY TABLE 1 </w:t>
      </w:r>
      <w:r w:rsidRPr="00CA1E56">
        <w:t xml:space="preserve">Description of the widespread clinically </w:t>
      </w:r>
      <w:r w:rsidR="007E6578">
        <w:t>important</w:t>
      </w:r>
      <w:bookmarkStart w:id="0" w:name="_GoBack"/>
      <w:bookmarkEnd w:id="0"/>
      <w:r w:rsidRPr="00CA1E56">
        <w:t xml:space="preserve"> potential drug–drug interactions in patients with UTIs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47"/>
        <w:gridCol w:w="1375"/>
        <w:gridCol w:w="1883"/>
        <w:gridCol w:w="1885"/>
        <w:gridCol w:w="5274"/>
      </w:tblGrid>
      <w:tr w:rsidR="00CA1E56" w:rsidRPr="00CA1E56" w14:paraId="1A7AC368" w14:textId="77777777" w:rsidTr="006A7745">
        <w:trPr>
          <w:trHeight w:val="105"/>
        </w:trPr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9E2BCE" w14:textId="77777777" w:rsidR="00CA1E56" w:rsidRPr="00CA1E56" w:rsidRDefault="00CA1E56" w:rsidP="006A7745">
            <w:pPr>
              <w:spacing w:before="0" w:after="0"/>
              <w:rPr>
                <w:b/>
              </w:rPr>
            </w:pPr>
            <w:r w:rsidRPr="00CA1E56">
              <w:rPr>
                <w:b/>
              </w:rPr>
              <w:t>Drug Interaction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03738D" w14:textId="77777777" w:rsidR="00CA1E56" w:rsidRPr="00CA1E56" w:rsidRDefault="00CA1E56" w:rsidP="006A7745">
            <w:pPr>
              <w:spacing w:before="0" w:after="0"/>
              <w:rPr>
                <w:b/>
              </w:rPr>
            </w:pPr>
            <w:r w:rsidRPr="00CA1E56">
              <w:rPr>
                <w:b/>
              </w:rPr>
              <w:t>Frequency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74A97D" w14:textId="77777777" w:rsidR="00CA1E56" w:rsidRPr="00CA1E56" w:rsidRDefault="00CA1E56" w:rsidP="006A7745">
            <w:pPr>
              <w:spacing w:before="0" w:after="0"/>
              <w:rPr>
                <w:b/>
              </w:rPr>
            </w:pPr>
            <w:r w:rsidRPr="00CA1E56">
              <w:rPr>
                <w:b/>
              </w:rPr>
              <w:t>Severity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96DBE8" w14:textId="77777777" w:rsidR="00CA1E56" w:rsidRPr="00CA1E56" w:rsidRDefault="00CA1E56" w:rsidP="006A7745">
            <w:pPr>
              <w:spacing w:before="0" w:after="0"/>
              <w:rPr>
                <w:b/>
              </w:rPr>
            </w:pPr>
            <w:r w:rsidRPr="00CA1E56">
              <w:rPr>
                <w:b/>
              </w:rPr>
              <w:t>Documentation</w:t>
            </w:r>
          </w:p>
        </w:tc>
        <w:tc>
          <w:tcPr>
            <w:tcW w:w="1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97F0F4C" w14:textId="77777777" w:rsidR="00CA1E56" w:rsidRPr="00CA1E56" w:rsidRDefault="00CA1E56" w:rsidP="006A7745">
            <w:pPr>
              <w:spacing w:before="0" w:after="0"/>
              <w:rPr>
                <w:b/>
              </w:rPr>
            </w:pPr>
            <w:r w:rsidRPr="00CA1E56">
              <w:rPr>
                <w:b/>
              </w:rPr>
              <w:t>Adverse outcomes</w:t>
            </w:r>
          </w:p>
        </w:tc>
      </w:tr>
      <w:tr w:rsidR="00CA1E56" w:rsidRPr="00CA1E56" w14:paraId="6B053AF5" w14:textId="77777777" w:rsidTr="006A7745">
        <w:trPr>
          <w:trHeight w:val="70"/>
        </w:trPr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A73CBA" w14:textId="77777777" w:rsidR="00CA1E56" w:rsidRPr="00CA1E56" w:rsidRDefault="00CA1E56" w:rsidP="006A7745">
            <w:pPr>
              <w:spacing w:before="0" w:after="0"/>
            </w:pPr>
            <w:r w:rsidRPr="00CA1E56">
              <w:t>Aspirin – Insulin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D1A482" w14:textId="77777777" w:rsidR="00CA1E56" w:rsidRPr="00CA1E56" w:rsidRDefault="00CA1E56" w:rsidP="006A7745">
            <w:pPr>
              <w:spacing w:before="0" w:after="0"/>
            </w:pPr>
            <w:r w:rsidRPr="00CA1E56">
              <w:t>42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A0C94C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5739AF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4CB696" w14:textId="77777777" w:rsidR="00CA1E56" w:rsidRPr="00CA1E56" w:rsidRDefault="00CA1E56" w:rsidP="006A7745">
            <w:pPr>
              <w:spacing w:before="0" w:after="0"/>
            </w:pPr>
            <w:r w:rsidRPr="00CA1E56">
              <w:t>Hypoglycemia</w:t>
            </w:r>
          </w:p>
        </w:tc>
      </w:tr>
      <w:tr w:rsidR="00CA1E56" w:rsidRPr="00CA1E56" w14:paraId="682367C5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42B3B81F" w14:textId="77777777" w:rsidR="00CA1E56" w:rsidRPr="00CA1E56" w:rsidRDefault="00CA1E56" w:rsidP="006A7745">
            <w:pPr>
              <w:spacing w:before="0" w:after="0"/>
            </w:pPr>
            <w:r w:rsidRPr="00CA1E56">
              <w:t>Insulin – Metformin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3AB657E" w14:textId="77777777" w:rsidR="00CA1E56" w:rsidRPr="00CA1E56" w:rsidRDefault="00CA1E56" w:rsidP="006A7745">
            <w:pPr>
              <w:spacing w:before="0" w:after="0"/>
            </w:pPr>
            <w:r w:rsidRPr="00CA1E56">
              <w:t>33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61613949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69DF8D4B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403C660A" w14:textId="77777777" w:rsidR="00CA1E56" w:rsidRPr="00CA1E56" w:rsidRDefault="00CA1E56" w:rsidP="006A7745">
            <w:pPr>
              <w:spacing w:before="0" w:after="0"/>
            </w:pPr>
            <w:r w:rsidRPr="00CA1E56">
              <w:t>Hypoglycemia</w:t>
            </w:r>
          </w:p>
        </w:tc>
      </w:tr>
      <w:tr w:rsidR="00CA1E56" w:rsidRPr="00CA1E56" w14:paraId="358A73AF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3150DE1D" w14:textId="77777777" w:rsidR="00CA1E56" w:rsidRPr="00CA1E56" w:rsidRDefault="00CA1E56" w:rsidP="006A7745">
            <w:pPr>
              <w:spacing w:before="0" w:after="0"/>
            </w:pPr>
            <w:r w:rsidRPr="00CA1E56">
              <w:t>Insulin – Ramipril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65C772" w14:textId="77777777" w:rsidR="00CA1E56" w:rsidRPr="00CA1E56" w:rsidRDefault="00CA1E56" w:rsidP="006A7745">
            <w:pPr>
              <w:spacing w:before="0" w:after="0"/>
            </w:pPr>
            <w:r w:rsidRPr="00CA1E56">
              <w:t>24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09A109C7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0200D4F7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74F6A7A6" w14:textId="77777777" w:rsidR="00CA1E56" w:rsidRPr="00CA1E56" w:rsidRDefault="00CA1E56" w:rsidP="006A7745">
            <w:pPr>
              <w:spacing w:before="0" w:after="0"/>
            </w:pPr>
            <w:r w:rsidRPr="00CA1E56">
              <w:t>Hypoglycemia</w:t>
            </w:r>
          </w:p>
        </w:tc>
      </w:tr>
      <w:tr w:rsidR="00CA1E56" w:rsidRPr="00CA1E56" w14:paraId="7919D319" w14:textId="77777777" w:rsidTr="006A7745">
        <w:trPr>
          <w:trHeight w:val="315"/>
        </w:trPr>
        <w:tc>
          <w:tcPr>
            <w:tcW w:w="1160" w:type="pct"/>
            <w:shd w:val="clear" w:color="auto" w:fill="auto"/>
            <w:noWrap/>
            <w:hideMark/>
          </w:tcPr>
          <w:p w14:paraId="1B84CC08" w14:textId="77777777" w:rsidR="00CA1E56" w:rsidRPr="00CA1E56" w:rsidRDefault="00CA1E56" w:rsidP="006A7745">
            <w:pPr>
              <w:spacing w:before="0" w:after="0"/>
            </w:pPr>
            <w:r w:rsidRPr="00CA1E56">
              <w:t>Aspirin – Nitroglycerin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093FF02" w14:textId="77777777" w:rsidR="00CA1E56" w:rsidRPr="00CA1E56" w:rsidRDefault="00CA1E56" w:rsidP="006A7745">
            <w:pPr>
              <w:spacing w:before="0" w:after="0"/>
            </w:pPr>
            <w:r w:rsidRPr="00CA1E56">
              <w:t>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8AAE118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2E8A28BE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0549BE65" w14:textId="77777777" w:rsidR="00CA1E56" w:rsidRPr="00CA1E56" w:rsidRDefault="00CA1E56" w:rsidP="006A7745">
            <w:pPr>
              <w:spacing w:before="0" w:after="0"/>
            </w:pPr>
            <w:r w:rsidRPr="00CA1E56">
              <w:t>Increase in nitroglycerin concentrations and additive platelet function depression</w:t>
            </w:r>
          </w:p>
        </w:tc>
      </w:tr>
      <w:tr w:rsidR="00CA1E56" w:rsidRPr="00CA1E56" w14:paraId="73F83737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6EC45EF0" w14:textId="77777777" w:rsidR="00CA1E56" w:rsidRPr="00CA1E56" w:rsidRDefault="00CA1E56" w:rsidP="006A7745">
            <w:pPr>
              <w:spacing w:before="0" w:after="0"/>
            </w:pPr>
            <w:r w:rsidRPr="00CA1E56">
              <w:t>Aspirin – Ramipril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7B1CF0" w14:textId="77777777" w:rsidR="00CA1E56" w:rsidRPr="00CA1E56" w:rsidRDefault="00CA1E56" w:rsidP="006A7745">
            <w:pPr>
              <w:spacing w:before="0" w:after="0"/>
            </w:pPr>
            <w:r w:rsidRPr="00CA1E56">
              <w:t>20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541217DA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5529D8FD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41765719" w14:textId="77777777" w:rsidR="00CA1E56" w:rsidRPr="00CA1E56" w:rsidRDefault="00CA1E56" w:rsidP="006A7745">
            <w:pPr>
              <w:spacing w:before="0" w:after="0"/>
            </w:pPr>
            <w:r w:rsidRPr="00CA1E56">
              <w:t>Decreased ramipril effectiveness</w:t>
            </w:r>
          </w:p>
        </w:tc>
      </w:tr>
      <w:tr w:rsidR="00CA1E56" w:rsidRPr="00CA1E56" w14:paraId="443E437B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146B30B8" w14:textId="77777777" w:rsidR="00CA1E56" w:rsidRPr="00CA1E56" w:rsidRDefault="00CA1E56" w:rsidP="006A7745">
            <w:pPr>
              <w:spacing w:before="0" w:after="0"/>
            </w:pPr>
            <w:r w:rsidRPr="00CA1E56">
              <w:t>Aspirin – Bisoprolol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F38C082" w14:textId="77777777" w:rsidR="00CA1E56" w:rsidRPr="00CA1E56" w:rsidRDefault="00CA1E56" w:rsidP="006A7745">
            <w:pPr>
              <w:spacing w:before="0" w:after="0"/>
            </w:pPr>
            <w:r w:rsidRPr="00CA1E56">
              <w:t>20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6F3E27DF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3E8C7E89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2EDF3698" w14:textId="77777777" w:rsidR="00CA1E56" w:rsidRPr="00CA1E56" w:rsidRDefault="00CA1E56" w:rsidP="006A7745">
            <w:pPr>
              <w:spacing w:before="0" w:after="0"/>
            </w:pPr>
            <w:r w:rsidRPr="00CA1E56">
              <w:t>Increased blood pressure</w:t>
            </w:r>
          </w:p>
        </w:tc>
      </w:tr>
      <w:tr w:rsidR="00CA1E56" w:rsidRPr="00CA1E56" w14:paraId="7DB6A9D2" w14:textId="77777777" w:rsidTr="006A7745">
        <w:trPr>
          <w:trHeight w:val="315"/>
        </w:trPr>
        <w:tc>
          <w:tcPr>
            <w:tcW w:w="1160" w:type="pct"/>
            <w:shd w:val="clear" w:color="auto" w:fill="auto"/>
            <w:noWrap/>
            <w:hideMark/>
          </w:tcPr>
          <w:p w14:paraId="23AF8C7E" w14:textId="77777777" w:rsidR="00CA1E56" w:rsidRPr="00CA1E56" w:rsidRDefault="00CA1E56" w:rsidP="006A7745">
            <w:pPr>
              <w:spacing w:before="0" w:after="0"/>
            </w:pPr>
            <w:r w:rsidRPr="00CA1E56">
              <w:t>Aspirin – Furosemide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AD8A34" w14:textId="77777777" w:rsidR="00CA1E56" w:rsidRPr="00CA1E56" w:rsidRDefault="00CA1E56" w:rsidP="006A7745">
            <w:pPr>
              <w:spacing w:before="0" w:after="0"/>
            </w:pPr>
            <w:r w:rsidRPr="00CA1E56">
              <w:t>20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3C9BAADB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Major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3AF675B7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1C0EC560" w14:textId="77777777" w:rsidR="00CA1E56" w:rsidRPr="00CA1E56" w:rsidRDefault="00CA1E56" w:rsidP="006A7745">
            <w:pPr>
              <w:spacing w:before="0" w:after="0"/>
            </w:pPr>
            <w:r w:rsidRPr="00CA1E56">
              <w:t>Reduced diuretic effectiveness and possible nephrotoxicity</w:t>
            </w:r>
          </w:p>
        </w:tc>
      </w:tr>
      <w:tr w:rsidR="00CA1E56" w:rsidRPr="00CA1E56" w14:paraId="68B21C80" w14:textId="77777777" w:rsidTr="006A7745">
        <w:trPr>
          <w:trHeight w:val="268"/>
        </w:trPr>
        <w:tc>
          <w:tcPr>
            <w:tcW w:w="1160" w:type="pct"/>
            <w:shd w:val="clear" w:color="auto" w:fill="auto"/>
            <w:noWrap/>
            <w:hideMark/>
          </w:tcPr>
          <w:p w14:paraId="639DD519" w14:textId="77777777" w:rsidR="00CA1E56" w:rsidRPr="00CA1E56" w:rsidRDefault="00CA1E56" w:rsidP="006A7745">
            <w:pPr>
              <w:spacing w:before="0" w:after="0"/>
            </w:pPr>
            <w:r w:rsidRPr="00CA1E56">
              <w:t>Calcium containing products – Ceftriaxone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9050B01" w14:textId="77777777" w:rsidR="00CA1E56" w:rsidRPr="00CA1E56" w:rsidRDefault="00CA1E56" w:rsidP="006A7745">
            <w:pPr>
              <w:spacing w:before="0" w:after="0"/>
            </w:pPr>
            <w:r w:rsidRPr="00CA1E56">
              <w:t>19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118406EC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Contraindicated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110A523F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5401EB70" w14:textId="77777777" w:rsidR="00CA1E56" w:rsidRPr="00CA1E56" w:rsidRDefault="00CA1E56" w:rsidP="006A7745">
            <w:pPr>
              <w:spacing w:before="0" w:after="0"/>
            </w:pPr>
            <w:r w:rsidRPr="00CA1E56">
              <w:t>Formation of ceftriaxone-calcium precipitates and is contraindicated in neonates.</w:t>
            </w:r>
          </w:p>
        </w:tc>
      </w:tr>
      <w:tr w:rsidR="00CA1E56" w:rsidRPr="00CA1E56" w14:paraId="7AC41608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13FC3B29" w14:textId="77777777" w:rsidR="00CA1E56" w:rsidRPr="00CA1E56" w:rsidRDefault="00CA1E56" w:rsidP="006A7745">
            <w:pPr>
              <w:spacing w:before="0" w:after="0"/>
            </w:pPr>
            <w:r w:rsidRPr="00CA1E56">
              <w:t>Isoniazid – Rifampin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E765382" w14:textId="77777777" w:rsidR="00CA1E56" w:rsidRPr="00CA1E56" w:rsidRDefault="00CA1E56" w:rsidP="006A7745">
            <w:pPr>
              <w:spacing w:before="0" w:after="0"/>
            </w:pPr>
            <w:r w:rsidRPr="00CA1E56">
              <w:t>19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2C6E843C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Major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26D3BBC1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23D6994E" w14:textId="77777777" w:rsidR="00CA1E56" w:rsidRPr="00CA1E56" w:rsidRDefault="00CA1E56" w:rsidP="006A7745">
            <w:pPr>
              <w:spacing w:before="0" w:after="0"/>
            </w:pPr>
            <w:r w:rsidRPr="00CA1E56">
              <w:t>Hepatotoxicity</w:t>
            </w:r>
          </w:p>
        </w:tc>
      </w:tr>
      <w:tr w:rsidR="00CA1E56" w:rsidRPr="00CA1E56" w14:paraId="68CC10CB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4F8E22CC" w14:textId="77777777" w:rsidR="00CA1E56" w:rsidRPr="00CA1E56" w:rsidRDefault="00CA1E56" w:rsidP="006A7745">
            <w:pPr>
              <w:spacing w:before="0" w:after="0"/>
            </w:pPr>
            <w:r w:rsidRPr="00CA1E56">
              <w:t>Pyrazinamide – Rifampin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AD9C98C" w14:textId="77777777" w:rsidR="00CA1E56" w:rsidRPr="00CA1E56" w:rsidRDefault="00CA1E56" w:rsidP="006A7745">
            <w:pPr>
              <w:spacing w:before="0" w:after="0"/>
            </w:pPr>
            <w:r w:rsidRPr="00CA1E56">
              <w:t>19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3015C6BE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Major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4E763A6B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28ABFB15" w14:textId="77777777" w:rsidR="00CA1E56" w:rsidRPr="00CA1E56" w:rsidRDefault="00CA1E56" w:rsidP="006A7745">
            <w:pPr>
              <w:spacing w:before="0" w:after="0"/>
            </w:pPr>
            <w:r w:rsidRPr="00CA1E56">
              <w:t>Hepatotoxicity</w:t>
            </w:r>
          </w:p>
        </w:tc>
      </w:tr>
      <w:tr w:rsidR="00CA1E56" w:rsidRPr="00CA1E56" w14:paraId="31102501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77AD367A" w14:textId="77777777" w:rsidR="00CA1E56" w:rsidRPr="00CA1E56" w:rsidRDefault="00CA1E56" w:rsidP="006A7745">
            <w:pPr>
              <w:spacing w:before="0" w:after="0"/>
            </w:pPr>
            <w:r w:rsidRPr="00CA1E56">
              <w:t>Insulin – Valsartan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B0FD464" w14:textId="77777777" w:rsidR="00CA1E56" w:rsidRPr="00CA1E56" w:rsidRDefault="00CA1E56" w:rsidP="006A7745">
            <w:pPr>
              <w:spacing w:before="0" w:after="0"/>
            </w:pPr>
            <w:r w:rsidRPr="00CA1E56">
              <w:t>18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3953D3B9" w14:textId="271041BC" w:rsidR="00CA1E56" w:rsidRPr="00CA1E56" w:rsidRDefault="00CA1E56" w:rsidP="006A7745">
            <w:pPr>
              <w:spacing w:before="0" w:after="0"/>
            </w:pPr>
            <w:r w:rsidRPr="00CA1E56">
              <w:t>Moderate</w:t>
            </w:r>
            <w:r w:rsidR="00130FAE" w:rsidRPr="005A1D84">
              <w:rPr>
                <w:b/>
                <w:noProof/>
                <w:color w:val="A6A6A6" w:themeColor="background1" w:themeShade="A6"/>
                <w:lang w:val="en-GB" w:eastAsia="en-GB"/>
              </w:rPr>
              <w:t xml:space="preserve"> </w:t>
            </w:r>
            <w:r w:rsidRPr="00CA1E56">
              <w:t xml:space="preserve">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5FEE406A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522A050A" w14:textId="77777777" w:rsidR="00CA1E56" w:rsidRPr="00CA1E56" w:rsidRDefault="00CA1E56" w:rsidP="006A7745">
            <w:pPr>
              <w:spacing w:before="0" w:after="0"/>
            </w:pPr>
            <w:r w:rsidRPr="00CA1E56">
              <w:t>Hypoglycemia</w:t>
            </w:r>
          </w:p>
        </w:tc>
      </w:tr>
      <w:tr w:rsidR="00CA1E56" w:rsidRPr="00CA1E56" w14:paraId="7CDBB2C9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53685F12" w14:textId="77777777" w:rsidR="00CA1E56" w:rsidRPr="00CA1E56" w:rsidRDefault="00CA1E56" w:rsidP="006A7745">
            <w:pPr>
              <w:spacing w:before="0" w:after="0"/>
            </w:pPr>
            <w:r w:rsidRPr="00CA1E56">
              <w:t>Aspirin – Clopidogrel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1408DB" w14:textId="77777777" w:rsidR="00CA1E56" w:rsidRPr="00CA1E56" w:rsidRDefault="00CA1E56" w:rsidP="006A7745">
            <w:pPr>
              <w:spacing w:before="0" w:after="0"/>
            </w:pPr>
            <w:r w:rsidRPr="00CA1E56">
              <w:t>16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29A4B92A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Major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2F60408C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1A990EDB" w14:textId="257DC023" w:rsidR="00CA1E56" w:rsidRPr="00CA1E56" w:rsidRDefault="00CA1E56" w:rsidP="006A7745">
            <w:pPr>
              <w:spacing w:before="0" w:after="0"/>
            </w:pPr>
            <w:r w:rsidRPr="00CA1E56">
              <w:t>Increased risk of bleeding</w:t>
            </w:r>
          </w:p>
        </w:tc>
      </w:tr>
      <w:tr w:rsidR="00CA1E56" w:rsidRPr="00CA1E56" w14:paraId="723C4474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1366B0F3" w14:textId="77777777" w:rsidR="00CA1E56" w:rsidRPr="00CA1E56" w:rsidRDefault="00CA1E56" w:rsidP="006A7745">
            <w:pPr>
              <w:spacing w:before="0" w:after="0"/>
            </w:pPr>
            <w:r w:rsidRPr="00CA1E56">
              <w:t>Aspirin – Spironolactone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9F0B5A" w14:textId="77777777" w:rsidR="00CA1E56" w:rsidRPr="00CA1E56" w:rsidRDefault="00CA1E56" w:rsidP="006A7745">
            <w:pPr>
              <w:spacing w:before="0" w:after="0"/>
            </w:pPr>
            <w:r w:rsidRPr="00CA1E56">
              <w:t>15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21837AED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Major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4C0F99E8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0D9041E2" w14:textId="77777777" w:rsidR="00CA1E56" w:rsidRPr="00CA1E56" w:rsidRDefault="00CA1E56" w:rsidP="006A7745">
            <w:pPr>
              <w:spacing w:before="0" w:after="0"/>
            </w:pPr>
            <w:r w:rsidRPr="00CA1E56">
              <w:t>Reduced diuretic effectiveness, hyperkalemia, or possible nephrotoxicity</w:t>
            </w:r>
          </w:p>
        </w:tc>
      </w:tr>
      <w:tr w:rsidR="00CA1E56" w:rsidRPr="00CA1E56" w14:paraId="4D5CB08A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0D1B0FAE" w14:textId="77777777" w:rsidR="00CA1E56" w:rsidRPr="00CA1E56" w:rsidRDefault="00CA1E56" w:rsidP="006A7745">
            <w:pPr>
              <w:spacing w:before="0" w:after="0"/>
            </w:pPr>
            <w:r w:rsidRPr="00CA1E56">
              <w:t>Insulin – Sitagliptin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2352B4C" w14:textId="77777777" w:rsidR="00CA1E56" w:rsidRPr="00CA1E56" w:rsidRDefault="00CA1E56" w:rsidP="006A7745">
            <w:pPr>
              <w:spacing w:before="0" w:after="0"/>
            </w:pPr>
            <w:r w:rsidRPr="00CA1E56">
              <w:t>14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2CCAFF71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02B65D0F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291CB51C" w14:textId="77777777" w:rsidR="00CA1E56" w:rsidRPr="00CA1E56" w:rsidRDefault="00CA1E56" w:rsidP="006A7745">
            <w:pPr>
              <w:spacing w:before="0" w:after="0"/>
            </w:pPr>
            <w:r w:rsidRPr="00CA1E56">
              <w:t>Hypoglycemia</w:t>
            </w:r>
          </w:p>
        </w:tc>
      </w:tr>
      <w:tr w:rsidR="00CA1E56" w:rsidRPr="00CA1E56" w14:paraId="151FE904" w14:textId="77777777" w:rsidTr="006A7745">
        <w:trPr>
          <w:trHeight w:val="385"/>
        </w:trPr>
        <w:tc>
          <w:tcPr>
            <w:tcW w:w="1160" w:type="pct"/>
            <w:shd w:val="clear" w:color="auto" w:fill="auto"/>
            <w:noWrap/>
            <w:hideMark/>
          </w:tcPr>
          <w:p w14:paraId="77ED85E8" w14:textId="77777777" w:rsidR="00CA1E56" w:rsidRPr="00CA1E56" w:rsidRDefault="00CA1E56" w:rsidP="006A7745">
            <w:pPr>
              <w:spacing w:before="0" w:after="0"/>
            </w:pPr>
            <w:r w:rsidRPr="00CA1E56">
              <w:t>Bisoprolol – Insulin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E370512" w14:textId="77777777" w:rsidR="00CA1E56" w:rsidRPr="00CA1E56" w:rsidRDefault="00CA1E56" w:rsidP="006A7745">
            <w:pPr>
              <w:spacing w:before="0" w:after="0"/>
            </w:pPr>
            <w:r w:rsidRPr="00CA1E56">
              <w:t>14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4FCA840A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27386141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38F7CA7D" w14:textId="77777777" w:rsidR="00CA1E56" w:rsidRPr="00CA1E56" w:rsidRDefault="00CA1E56" w:rsidP="006A7745">
            <w:pPr>
              <w:spacing w:before="0" w:after="0"/>
            </w:pPr>
            <w:r w:rsidRPr="00CA1E56">
              <w:t>Hypoglycemia or hyperglycemia; decreased symptoms of hypoglycemia</w:t>
            </w:r>
          </w:p>
        </w:tc>
      </w:tr>
      <w:tr w:rsidR="00CA1E56" w:rsidRPr="00CA1E56" w14:paraId="4FAF9026" w14:textId="77777777" w:rsidTr="006A7745">
        <w:trPr>
          <w:trHeight w:val="115"/>
        </w:trPr>
        <w:tc>
          <w:tcPr>
            <w:tcW w:w="1160" w:type="pct"/>
            <w:shd w:val="clear" w:color="auto" w:fill="auto"/>
            <w:noWrap/>
            <w:hideMark/>
          </w:tcPr>
          <w:p w14:paraId="043AFC7F" w14:textId="77777777" w:rsidR="00CA1E56" w:rsidRPr="00CA1E56" w:rsidRDefault="00CA1E56" w:rsidP="006A7745">
            <w:pPr>
              <w:spacing w:before="0" w:after="0"/>
            </w:pPr>
            <w:r w:rsidRPr="00CA1E56">
              <w:t>Furosemide – Ramipril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F556E5" w14:textId="77777777" w:rsidR="00CA1E56" w:rsidRPr="00CA1E56" w:rsidRDefault="00CA1E56" w:rsidP="006A7745">
            <w:pPr>
              <w:spacing w:before="0" w:after="0"/>
            </w:pPr>
            <w:r w:rsidRPr="00CA1E56">
              <w:t>13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10138954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588811D6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77213307" w14:textId="77777777" w:rsidR="00CA1E56" w:rsidRPr="00CA1E56" w:rsidRDefault="00CA1E56" w:rsidP="006A7745">
            <w:pPr>
              <w:spacing w:before="0" w:after="0"/>
            </w:pPr>
            <w:r w:rsidRPr="00CA1E56">
              <w:t>Postural hypotension (first dose)</w:t>
            </w:r>
          </w:p>
        </w:tc>
      </w:tr>
      <w:tr w:rsidR="00CA1E56" w:rsidRPr="00CA1E56" w14:paraId="46C0E164" w14:textId="77777777" w:rsidTr="006A7745">
        <w:trPr>
          <w:trHeight w:val="80"/>
        </w:trPr>
        <w:tc>
          <w:tcPr>
            <w:tcW w:w="1160" w:type="pct"/>
            <w:shd w:val="clear" w:color="auto" w:fill="auto"/>
            <w:noWrap/>
            <w:hideMark/>
          </w:tcPr>
          <w:p w14:paraId="1D39DE58" w14:textId="77777777" w:rsidR="00CA1E56" w:rsidRPr="00CA1E56" w:rsidRDefault="00CA1E56" w:rsidP="006A7745">
            <w:pPr>
              <w:spacing w:before="0" w:after="0"/>
            </w:pPr>
            <w:r w:rsidRPr="00CA1E56">
              <w:t>Insulin – Losartan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01395F5" w14:textId="77777777" w:rsidR="00CA1E56" w:rsidRPr="00CA1E56" w:rsidRDefault="00CA1E56" w:rsidP="006A7745">
            <w:pPr>
              <w:spacing w:before="0" w:after="0"/>
            </w:pPr>
            <w:r w:rsidRPr="00CA1E56">
              <w:t>12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1A6CB67E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57A1B51F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Fair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71AE4CB0" w14:textId="77777777" w:rsidR="00CA1E56" w:rsidRPr="00CA1E56" w:rsidRDefault="00CA1E56" w:rsidP="006A7745">
            <w:pPr>
              <w:spacing w:before="0" w:after="0"/>
            </w:pPr>
            <w:r w:rsidRPr="00CA1E56">
              <w:t>Hypoglycemia</w:t>
            </w:r>
          </w:p>
        </w:tc>
      </w:tr>
      <w:tr w:rsidR="00CA1E56" w:rsidRPr="00CA1E56" w14:paraId="03B216D8" w14:textId="77777777" w:rsidTr="006A7745">
        <w:trPr>
          <w:trHeight w:val="277"/>
        </w:trPr>
        <w:tc>
          <w:tcPr>
            <w:tcW w:w="1160" w:type="pct"/>
            <w:shd w:val="clear" w:color="auto" w:fill="auto"/>
            <w:noWrap/>
            <w:hideMark/>
          </w:tcPr>
          <w:p w14:paraId="70939111" w14:textId="77777777" w:rsidR="00CA1E56" w:rsidRPr="00CA1E56" w:rsidRDefault="00CA1E56" w:rsidP="006A7745">
            <w:pPr>
              <w:spacing w:before="0" w:after="0"/>
            </w:pPr>
            <w:r w:rsidRPr="00CA1E56">
              <w:t>Aspirin – Dexamethasone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312DE9" w14:textId="77777777" w:rsidR="00CA1E56" w:rsidRPr="00CA1E56" w:rsidRDefault="00CA1E56" w:rsidP="006A7745">
            <w:pPr>
              <w:spacing w:before="0" w:after="0"/>
            </w:pPr>
            <w:r w:rsidRPr="00CA1E56">
              <w:t>12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41BB43D9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4826AD81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0EDB0742" w14:textId="77777777" w:rsidR="00CA1E56" w:rsidRPr="00CA1E56" w:rsidRDefault="00CA1E56" w:rsidP="006A7745">
            <w:pPr>
              <w:spacing w:before="0" w:after="0"/>
            </w:pPr>
            <w:r w:rsidRPr="00CA1E56">
              <w:t>Increased risk of gastrointestinal ulceration and subtherapeutic aspirin serum concentrations</w:t>
            </w:r>
          </w:p>
        </w:tc>
      </w:tr>
      <w:tr w:rsidR="00CA1E56" w:rsidRPr="00CA1E56" w14:paraId="0330B787" w14:textId="77777777" w:rsidTr="006A7745">
        <w:trPr>
          <w:trHeight w:val="358"/>
        </w:trPr>
        <w:tc>
          <w:tcPr>
            <w:tcW w:w="1160" w:type="pct"/>
            <w:shd w:val="clear" w:color="auto" w:fill="auto"/>
            <w:noWrap/>
            <w:hideMark/>
          </w:tcPr>
          <w:p w14:paraId="622301DB" w14:textId="77777777" w:rsidR="00CA1E56" w:rsidRPr="00CA1E56" w:rsidRDefault="00CA1E56" w:rsidP="006A7745">
            <w:pPr>
              <w:spacing w:before="0" w:after="0"/>
            </w:pPr>
            <w:r w:rsidRPr="00CA1E56">
              <w:t>Clopidogrel – Omeprazole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40B20E5" w14:textId="77777777" w:rsidR="00CA1E56" w:rsidRPr="00CA1E56" w:rsidRDefault="00CA1E56" w:rsidP="006A7745">
            <w:pPr>
              <w:spacing w:before="0" w:after="0"/>
            </w:pPr>
            <w:r w:rsidRPr="00CA1E56">
              <w:t>11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14:paraId="69F9F86F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Major 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14:paraId="35BCB548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Excellent </w:t>
            </w:r>
          </w:p>
        </w:tc>
        <w:tc>
          <w:tcPr>
            <w:tcW w:w="1944" w:type="pct"/>
            <w:shd w:val="clear" w:color="auto" w:fill="auto"/>
            <w:noWrap/>
            <w:hideMark/>
          </w:tcPr>
          <w:p w14:paraId="238367C5" w14:textId="77777777" w:rsidR="00CA1E56" w:rsidRPr="00CA1E56" w:rsidRDefault="00CA1E56" w:rsidP="006A7745">
            <w:pPr>
              <w:spacing w:before="0" w:after="0"/>
            </w:pPr>
            <w:r w:rsidRPr="00CA1E56">
              <w:t>Reduced plasma concentrations of clopidogrel active metabolite and reduced antiplatelet activity</w:t>
            </w:r>
          </w:p>
        </w:tc>
      </w:tr>
      <w:tr w:rsidR="00CA1E56" w:rsidRPr="00CA1E56" w14:paraId="74301377" w14:textId="77777777" w:rsidTr="006A7745">
        <w:trPr>
          <w:trHeight w:val="80"/>
        </w:trPr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FD6A0A" w14:textId="77777777" w:rsidR="00CA1E56" w:rsidRPr="00CA1E56" w:rsidRDefault="00CA1E56" w:rsidP="006A7745">
            <w:pPr>
              <w:spacing w:before="0" w:after="0"/>
            </w:pPr>
            <w:r w:rsidRPr="00CA1E56">
              <w:t>Dexamethasone – Rifampin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DA0416" w14:textId="77777777" w:rsidR="00CA1E56" w:rsidRPr="00CA1E56" w:rsidRDefault="00CA1E56" w:rsidP="006A7745">
            <w:pPr>
              <w:spacing w:before="0" w:after="0"/>
            </w:pPr>
            <w:r w:rsidRPr="00CA1E56">
              <w:t>11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DB9389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Moderate 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B7DCEB" w14:textId="77777777" w:rsidR="00CA1E56" w:rsidRPr="00CA1E56" w:rsidRDefault="00CA1E56" w:rsidP="006A7745">
            <w:pPr>
              <w:spacing w:before="0" w:after="0"/>
            </w:pPr>
            <w:r w:rsidRPr="00CA1E56">
              <w:t xml:space="preserve">Good 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2D773" w14:textId="77777777" w:rsidR="00CA1E56" w:rsidRPr="00CA1E56" w:rsidRDefault="00CA1E56" w:rsidP="006A7745">
            <w:pPr>
              <w:spacing w:before="0" w:after="0"/>
            </w:pPr>
            <w:r w:rsidRPr="00CA1E56">
              <w:t>Decreased dexamethasone effectiveness</w:t>
            </w:r>
          </w:p>
        </w:tc>
      </w:tr>
    </w:tbl>
    <w:p w14:paraId="74D57F06" w14:textId="77777777" w:rsidR="00776B67" w:rsidRDefault="00776B67" w:rsidP="00CA1E56">
      <w:pPr>
        <w:spacing w:before="0"/>
        <w:sectPr w:rsidR="00776B67" w:rsidSect="00130FAE">
          <w:headerReference w:type="even" r:id="rId8"/>
          <w:footerReference w:type="even" r:id="rId9"/>
          <w:footerReference w:type="default" r:id="rId10"/>
          <w:headerReference w:type="first" r:id="rId11"/>
          <w:pgSz w:w="15840" w:h="12240" w:orient="landscape"/>
          <w:pgMar w:top="1181" w:right="1138" w:bottom="1282" w:left="1138" w:header="432" w:footer="720" w:gutter="0"/>
          <w:cols w:space="720"/>
          <w:titlePg/>
          <w:docGrid w:linePitch="360"/>
        </w:sectPr>
      </w:pPr>
    </w:p>
    <w:p w14:paraId="7B65BC41" w14:textId="4558A598" w:rsidR="00DE23E8" w:rsidRPr="004B5035" w:rsidRDefault="00DE23E8" w:rsidP="00CA1E56">
      <w:pPr>
        <w:spacing w:before="0"/>
      </w:pPr>
    </w:p>
    <w:sectPr w:rsidR="00DE23E8" w:rsidRPr="004B5035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D2F6" w14:textId="77777777" w:rsidR="00F92E76" w:rsidRDefault="00F92E76" w:rsidP="00117666">
      <w:pPr>
        <w:spacing w:after="0"/>
      </w:pPr>
      <w:r>
        <w:separator/>
      </w:r>
    </w:p>
  </w:endnote>
  <w:endnote w:type="continuationSeparator" w:id="0">
    <w:p w14:paraId="5E114863" w14:textId="77777777" w:rsidR="00F92E76" w:rsidRDefault="00F92E7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6486" w14:textId="77777777" w:rsidR="00F92E76" w:rsidRDefault="00F92E76" w:rsidP="00117666">
      <w:pPr>
        <w:spacing w:after="0"/>
      </w:pPr>
      <w:r>
        <w:separator/>
      </w:r>
    </w:p>
  </w:footnote>
  <w:footnote w:type="continuationSeparator" w:id="0">
    <w:p w14:paraId="128BA10C" w14:textId="77777777" w:rsidR="00F92E76" w:rsidRDefault="00F92E7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5869F59D" w:rsidR="00995F6A" w:rsidRDefault="00130FAE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8204263" wp14:editId="389FAC47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FAE">
      <w:rPr>
        <w:b/>
      </w:rPr>
      <w:ptab w:relativeTo="margin" w:alignment="center" w:leader="none"/>
    </w:r>
    <w:r w:rsidRPr="00130FAE">
      <w:rPr>
        <w:b/>
      </w:rPr>
      <w:ptab w:relativeTo="margin" w:alignment="right" w:leader="none"/>
    </w:r>
    <w:r>
      <w:rPr>
        <w:b/>
      </w:rPr>
      <w:t>Drug interactions in UTIs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C45C3"/>
    <w:rsid w:val="00105FD9"/>
    <w:rsid w:val="00117666"/>
    <w:rsid w:val="00130FAE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B3A"/>
    <w:rsid w:val="003D2F2D"/>
    <w:rsid w:val="00401590"/>
    <w:rsid w:val="00447801"/>
    <w:rsid w:val="00452E9C"/>
    <w:rsid w:val="004735C8"/>
    <w:rsid w:val="00477C28"/>
    <w:rsid w:val="004947A6"/>
    <w:rsid w:val="004961FF"/>
    <w:rsid w:val="004B5035"/>
    <w:rsid w:val="00517A89"/>
    <w:rsid w:val="005250F2"/>
    <w:rsid w:val="00593EEA"/>
    <w:rsid w:val="005A5EEE"/>
    <w:rsid w:val="006375C7"/>
    <w:rsid w:val="00654E8F"/>
    <w:rsid w:val="00660D05"/>
    <w:rsid w:val="006820B1"/>
    <w:rsid w:val="006A7745"/>
    <w:rsid w:val="006B7D14"/>
    <w:rsid w:val="00701727"/>
    <w:rsid w:val="0070566C"/>
    <w:rsid w:val="00714C50"/>
    <w:rsid w:val="00725A7D"/>
    <w:rsid w:val="007501BE"/>
    <w:rsid w:val="00776B67"/>
    <w:rsid w:val="00790BB3"/>
    <w:rsid w:val="007C206C"/>
    <w:rsid w:val="007E6578"/>
    <w:rsid w:val="008024EE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F3BD4"/>
    <w:rsid w:val="00B1671E"/>
    <w:rsid w:val="00B25EB8"/>
    <w:rsid w:val="00B37F4D"/>
    <w:rsid w:val="00C52A7B"/>
    <w:rsid w:val="00C56BAF"/>
    <w:rsid w:val="00C679AA"/>
    <w:rsid w:val="00C75972"/>
    <w:rsid w:val="00CA1E56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942F61-9A3F-483C-AEC4-23267D6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 Noor</cp:lastModifiedBy>
  <cp:revision>10</cp:revision>
  <cp:lastPrinted>2013-10-03T12:51:00Z</cp:lastPrinted>
  <dcterms:created xsi:type="dcterms:W3CDTF">2018-11-23T08:58:00Z</dcterms:created>
  <dcterms:modified xsi:type="dcterms:W3CDTF">2019-03-05T11:14:00Z</dcterms:modified>
</cp:coreProperties>
</file>