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D8D7D" w14:textId="60CD5832" w:rsidR="00502B2D" w:rsidRPr="00234086" w:rsidRDefault="00502B2D" w:rsidP="00234086">
      <w:pPr>
        <w:jc w:val="center"/>
        <w:rPr>
          <w:rFonts w:ascii="Times New Roman" w:hAnsi="Times New Roman" w:cs="Times New Roman"/>
          <w:b/>
          <w:sz w:val="32"/>
          <w:lang w:val="en-US"/>
        </w:rPr>
      </w:pPr>
      <w:r w:rsidRPr="00234086">
        <w:rPr>
          <w:rFonts w:ascii="Times New Roman" w:hAnsi="Times New Roman" w:cs="Times New Roman"/>
          <w:b/>
          <w:sz w:val="32"/>
          <w:lang w:val="en-US"/>
        </w:rPr>
        <w:t xml:space="preserve">Supplementary </w:t>
      </w:r>
      <w:r w:rsidR="00234086" w:rsidRPr="00234086">
        <w:rPr>
          <w:rFonts w:ascii="Times New Roman" w:hAnsi="Times New Roman" w:cs="Times New Roman"/>
          <w:b/>
          <w:sz w:val="32"/>
          <w:lang w:val="en-US"/>
        </w:rPr>
        <w:t>Material</w:t>
      </w:r>
    </w:p>
    <w:p w14:paraId="2399B4B3" w14:textId="77777777" w:rsidR="00502B2D" w:rsidRPr="00234086" w:rsidRDefault="00502B2D" w:rsidP="00502B2D">
      <w:pPr>
        <w:rPr>
          <w:rFonts w:ascii="Times New Roman" w:hAnsi="Times New Roman" w:cs="Times New Roman"/>
          <w:b/>
          <w:lang w:val="en-US"/>
        </w:rPr>
      </w:pPr>
    </w:p>
    <w:p w14:paraId="5AB60B05" w14:textId="77777777" w:rsidR="00502B2D" w:rsidRPr="00234086" w:rsidRDefault="00502B2D" w:rsidP="00502B2D">
      <w:pPr>
        <w:rPr>
          <w:rFonts w:ascii="Times New Roman" w:hAnsi="Times New Roman" w:cs="Times New Roman"/>
          <w:b/>
          <w:lang w:val="en-US"/>
        </w:rPr>
      </w:pPr>
    </w:p>
    <w:p w14:paraId="14D1B069" w14:textId="77777777" w:rsidR="00502B2D" w:rsidRPr="00234086" w:rsidRDefault="00DC47C6" w:rsidP="00502B2D">
      <w:pPr>
        <w:rPr>
          <w:rFonts w:ascii="Times New Roman" w:hAnsi="Times New Roman" w:cs="Times New Roman"/>
          <w:sz w:val="22"/>
          <w:lang w:val="en-US"/>
        </w:rPr>
      </w:pPr>
      <w:r w:rsidRPr="00234086">
        <w:rPr>
          <w:rFonts w:ascii="Times New Roman" w:hAnsi="Times New Roman" w:cs="Times New Roman"/>
          <w:noProof/>
          <w:sz w:val="22"/>
          <w:lang w:val="de-DE"/>
        </w:rPr>
        <w:drawing>
          <wp:inline distT="0" distB="0" distL="0" distR="0" wp14:anchorId="4A32B08E" wp14:editId="15AC1759">
            <wp:extent cx="3950208" cy="2225040"/>
            <wp:effectExtent l="0" t="0" r="12700" b="1016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mo-Dcs3.png"/>
                    <pic:cNvPicPr/>
                  </pic:nvPicPr>
                  <pic:blipFill>
                    <a:blip r:embed="rId5">
                      <a:extLst>
                        <a:ext uri="{28A0092B-C50C-407E-A947-70E740481C1C}">
                          <a14:useLocalDpi xmlns:a14="http://schemas.microsoft.com/office/drawing/2010/main" val="0"/>
                        </a:ext>
                      </a:extLst>
                    </a:blip>
                    <a:stretch>
                      <a:fillRect/>
                    </a:stretch>
                  </pic:blipFill>
                  <pic:spPr>
                    <a:xfrm>
                      <a:off x="0" y="0"/>
                      <a:ext cx="3950208" cy="2225040"/>
                    </a:xfrm>
                    <a:prstGeom prst="rect">
                      <a:avLst/>
                    </a:prstGeom>
                  </pic:spPr>
                </pic:pic>
              </a:graphicData>
            </a:graphic>
          </wp:inline>
        </w:drawing>
      </w:r>
    </w:p>
    <w:p w14:paraId="4B696DB5" w14:textId="77777777" w:rsidR="00502B2D" w:rsidRPr="00234086" w:rsidRDefault="00502B2D" w:rsidP="00502B2D">
      <w:pPr>
        <w:rPr>
          <w:rFonts w:ascii="Times New Roman" w:hAnsi="Times New Roman" w:cs="Times New Roman"/>
          <w:b/>
          <w:sz w:val="20"/>
          <w:szCs w:val="22"/>
          <w:lang w:val="en-US"/>
        </w:rPr>
      </w:pPr>
    </w:p>
    <w:p w14:paraId="26A2901F" w14:textId="77777777" w:rsidR="00502B2D" w:rsidRPr="00234086" w:rsidRDefault="00502B2D" w:rsidP="00502B2D">
      <w:pPr>
        <w:spacing w:line="360" w:lineRule="auto"/>
        <w:jc w:val="both"/>
        <w:rPr>
          <w:rFonts w:ascii="Times New Roman" w:hAnsi="Times New Roman" w:cs="Times New Roman"/>
          <w:b/>
          <w:sz w:val="20"/>
          <w:szCs w:val="22"/>
          <w:lang w:val="en-US"/>
        </w:rPr>
      </w:pPr>
    </w:p>
    <w:p w14:paraId="17ACB7C4" w14:textId="77777777" w:rsidR="003C2DFA" w:rsidRPr="00234086" w:rsidRDefault="00502B2D" w:rsidP="00234086">
      <w:pPr>
        <w:jc w:val="both"/>
        <w:rPr>
          <w:rFonts w:ascii="Times New Roman" w:hAnsi="Times New Roman" w:cs="Times New Roman"/>
          <w:b/>
          <w:lang w:val="en-US"/>
        </w:rPr>
      </w:pPr>
      <w:r w:rsidRPr="00234086">
        <w:rPr>
          <w:rFonts w:ascii="Times New Roman" w:hAnsi="Times New Roman" w:cs="Times New Roman"/>
          <w:b/>
          <w:lang w:val="en-US"/>
        </w:rPr>
        <w:t xml:space="preserve">Figure S1. Neuropilin-1 is upregulated during differentiation of monocytes to dendritic cells. </w:t>
      </w:r>
    </w:p>
    <w:p w14:paraId="457FC729" w14:textId="0B373B1A" w:rsidR="00502B2D" w:rsidRPr="00234086" w:rsidRDefault="00502B2D" w:rsidP="00234086">
      <w:pPr>
        <w:jc w:val="both"/>
        <w:rPr>
          <w:rFonts w:ascii="Times New Roman" w:hAnsi="Times New Roman" w:cs="Times New Roman"/>
          <w:lang w:val="en-US"/>
        </w:rPr>
      </w:pPr>
      <w:r w:rsidRPr="00234086">
        <w:rPr>
          <w:rFonts w:ascii="Times New Roman" w:hAnsi="Times New Roman" w:cs="Times New Roman"/>
          <w:lang w:val="en-US"/>
        </w:rPr>
        <w:t>A) Expression of NRP1 (grey histograms) on monocytes and cells differentiated towards immature monocyte-derived dendritic cells (i</w:t>
      </w:r>
      <w:r w:rsidR="003C2DFA" w:rsidRPr="00234086">
        <w:rPr>
          <w:rFonts w:ascii="Times New Roman" w:hAnsi="Times New Roman" w:cs="Times New Roman"/>
          <w:lang w:val="en-US"/>
        </w:rPr>
        <w:t>mmature mo</w:t>
      </w:r>
      <w:r w:rsidRPr="00234086">
        <w:rPr>
          <w:rFonts w:ascii="Times New Roman" w:hAnsi="Times New Roman" w:cs="Times New Roman"/>
          <w:lang w:val="en-US"/>
        </w:rPr>
        <w:t xml:space="preserve">DCs) for five days by addition of GM-CSF and IL-4. </w:t>
      </w:r>
      <w:proofErr w:type="gramStart"/>
      <w:r w:rsidRPr="00234086">
        <w:rPr>
          <w:rFonts w:ascii="Times New Roman" w:hAnsi="Times New Roman" w:cs="Times New Roman"/>
          <w:lang w:val="en-US"/>
        </w:rPr>
        <w:t xml:space="preserve">Mature moDCs were generated by adding LPS (300 </w:t>
      </w:r>
      <w:proofErr w:type="spellStart"/>
      <w:r w:rsidRPr="00234086">
        <w:rPr>
          <w:rFonts w:ascii="Times New Roman" w:hAnsi="Times New Roman" w:cs="Times New Roman"/>
          <w:lang w:val="en-US"/>
        </w:rPr>
        <w:t>ng</w:t>
      </w:r>
      <w:proofErr w:type="spellEnd"/>
      <w:r w:rsidRPr="00234086">
        <w:rPr>
          <w:rFonts w:ascii="Times New Roman" w:hAnsi="Times New Roman" w:cs="Times New Roman"/>
          <w:lang w:val="en-US"/>
        </w:rPr>
        <w:t xml:space="preserve">/ml) at day five to the </w:t>
      </w:r>
      <w:r w:rsidR="003C2DFA" w:rsidRPr="00234086">
        <w:rPr>
          <w:rFonts w:ascii="Times New Roman" w:hAnsi="Times New Roman" w:cs="Times New Roman"/>
          <w:lang w:val="en-US"/>
        </w:rPr>
        <w:t>immature mo</w:t>
      </w:r>
      <w:r w:rsidRPr="00234086">
        <w:rPr>
          <w:rFonts w:ascii="Times New Roman" w:hAnsi="Times New Roman" w:cs="Times New Roman"/>
          <w:lang w:val="en-US"/>
        </w:rPr>
        <w:t>DCs for 24</w:t>
      </w:r>
      <w:r w:rsidR="00B37D72">
        <w:rPr>
          <w:rFonts w:ascii="Times New Roman" w:hAnsi="Times New Roman" w:cs="Times New Roman"/>
          <w:lang w:val="en-US"/>
        </w:rPr>
        <w:t xml:space="preserve"> </w:t>
      </w:r>
      <w:r w:rsidRPr="00234086">
        <w:rPr>
          <w:rFonts w:ascii="Times New Roman" w:hAnsi="Times New Roman" w:cs="Times New Roman"/>
          <w:lang w:val="en-US"/>
        </w:rPr>
        <w:t>h. Open histograms represent reactivity of isotype control antibody</w:t>
      </w:r>
      <w:proofErr w:type="gramEnd"/>
      <w:r w:rsidRPr="00234086">
        <w:rPr>
          <w:rFonts w:ascii="Times New Roman" w:hAnsi="Times New Roman" w:cs="Times New Roman"/>
          <w:lang w:val="en-US"/>
        </w:rPr>
        <w:t>. Cell surface expression was assessed via flow cytometry.</w:t>
      </w:r>
    </w:p>
    <w:p w14:paraId="520837D3" w14:textId="77777777" w:rsidR="00502B2D" w:rsidRPr="00234086" w:rsidRDefault="00502B2D" w:rsidP="00502B2D">
      <w:pPr>
        <w:rPr>
          <w:rFonts w:ascii="Times New Roman" w:hAnsi="Times New Roman" w:cs="Times New Roman"/>
          <w:lang w:val="en-US"/>
        </w:rPr>
      </w:pPr>
    </w:p>
    <w:p w14:paraId="205281E1" w14:textId="77777777" w:rsidR="00502B2D" w:rsidRPr="00234086" w:rsidRDefault="00502B2D" w:rsidP="00502B2D">
      <w:pPr>
        <w:rPr>
          <w:rFonts w:ascii="Times New Roman" w:hAnsi="Times New Roman" w:cs="Times New Roman"/>
          <w:lang w:val="en-US"/>
        </w:rPr>
      </w:pPr>
    </w:p>
    <w:p w14:paraId="09BFAD15" w14:textId="6249A16F" w:rsidR="00502B2D" w:rsidRPr="00234086" w:rsidRDefault="007C1CF2" w:rsidP="00502B2D">
      <w:pPr>
        <w:spacing w:line="276" w:lineRule="auto"/>
        <w:jc w:val="both"/>
        <w:rPr>
          <w:rFonts w:ascii="Times New Roman" w:hAnsi="Times New Roman" w:cs="Times New Roman"/>
          <w:sz w:val="20"/>
          <w:szCs w:val="22"/>
          <w:lang w:val="en-US"/>
        </w:rPr>
      </w:pPr>
      <w:r>
        <w:rPr>
          <w:rFonts w:ascii="Times New Roman" w:hAnsi="Times New Roman" w:cs="Times New Roman"/>
          <w:noProof/>
          <w:sz w:val="20"/>
          <w:szCs w:val="22"/>
          <w:lang w:val="de-DE"/>
        </w:rPr>
        <w:drawing>
          <wp:inline distT="0" distB="0" distL="0" distR="0" wp14:anchorId="3DC316E9" wp14:editId="01666773">
            <wp:extent cx="5254752" cy="987552"/>
            <wp:effectExtent l="0" t="0" r="3175"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 Fig2.png"/>
                    <pic:cNvPicPr/>
                  </pic:nvPicPr>
                  <pic:blipFill>
                    <a:blip r:embed="rId6">
                      <a:extLst>
                        <a:ext uri="{28A0092B-C50C-407E-A947-70E740481C1C}">
                          <a14:useLocalDpi xmlns:a14="http://schemas.microsoft.com/office/drawing/2010/main" val="0"/>
                        </a:ext>
                      </a:extLst>
                    </a:blip>
                    <a:stretch>
                      <a:fillRect/>
                    </a:stretch>
                  </pic:blipFill>
                  <pic:spPr>
                    <a:xfrm>
                      <a:off x="0" y="0"/>
                      <a:ext cx="5254752" cy="987552"/>
                    </a:xfrm>
                    <a:prstGeom prst="rect">
                      <a:avLst/>
                    </a:prstGeom>
                  </pic:spPr>
                </pic:pic>
              </a:graphicData>
            </a:graphic>
          </wp:inline>
        </w:drawing>
      </w:r>
    </w:p>
    <w:p w14:paraId="195FA3DF" w14:textId="2879928A" w:rsidR="00502B2D" w:rsidRPr="00234086" w:rsidRDefault="00502B2D" w:rsidP="00502B2D">
      <w:pPr>
        <w:spacing w:line="360" w:lineRule="auto"/>
        <w:jc w:val="both"/>
        <w:rPr>
          <w:rFonts w:ascii="Times New Roman" w:eastAsia="Times New Roman" w:hAnsi="Times New Roman" w:cs="Times New Roman"/>
          <w:b/>
          <w:color w:val="222222"/>
          <w:spacing w:val="3"/>
          <w:sz w:val="22"/>
          <w:szCs w:val="22"/>
          <w:lang w:val="en-US"/>
        </w:rPr>
      </w:pPr>
    </w:p>
    <w:p w14:paraId="051E600E" w14:textId="77777777" w:rsidR="00502B2D" w:rsidRPr="00234086" w:rsidRDefault="00502B2D" w:rsidP="00502B2D">
      <w:pPr>
        <w:rPr>
          <w:rFonts w:ascii="Times New Roman" w:hAnsi="Times New Roman" w:cs="Times New Roman"/>
          <w:sz w:val="22"/>
          <w:szCs w:val="22"/>
          <w:lang w:val="en-US"/>
        </w:rPr>
      </w:pPr>
    </w:p>
    <w:p w14:paraId="7957BBD8" w14:textId="77777777" w:rsidR="00502B2D" w:rsidRPr="00234086" w:rsidRDefault="00502B2D" w:rsidP="00502B2D">
      <w:pPr>
        <w:rPr>
          <w:rFonts w:ascii="Times New Roman" w:hAnsi="Times New Roman" w:cs="Times New Roman"/>
          <w:lang w:val="en-US"/>
        </w:rPr>
      </w:pPr>
    </w:p>
    <w:p w14:paraId="35CE479A" w14:textId="77777777" w:rsidR="00502B2D" w:rsidRPr="00234086" w:rsidRDefault="00502B2D" w:rsidP="00502B2D">
      <w:pPr>
        <w:rPr>
          <w:rFonts w:ascii="Times New Roman" w:hAnsi="Times New Roman" w:cs="Times New Roman"/>
          <w:lang w:val="en-US"/>
        </w:rPr>
      </w:pPr>
    </w:p>
    <w:p w14:paraId="459DBBC8" w14:textId="3B006C09" w:rsidR="00502B2D" w:rsidRPr="00234086" w:rsidRDefault="00502B2D" w:rsidP="00234086">
      <w:pPr>
        <w:rPr>
          <w:rFonts w:ascii="Times New Roman" w:hAnsi="Times New Roman" w:cs="Times New Roman"/>
          <w:b/>
          <w:szCs w:val="22"/>
          <w:lang w:val="en-US"/>
        </w:rPr>
      </w:pPr>
      <w:r w:rsidRPr="00234086">
        <w:rPr>
          <w:rFonts w:ascii="Times New Roman" w:hAnsi="Times New Roman" w:cs="Times New Roman"/>
          <w:b/>
          <w:szCs w:val="22"/>
          <w:lang w:val="en-US"/>
        </w:rPr>
        <w:t>Figure S</w:t>
      </w:r>
      <w:r w:rsidR="003C2DFA" w:rsidRPr="00234086">
        <w:rPr>
          <w:rFonts w:ascii="Times New Roman" w:hAnsi="Times New Roman" w:cs="Times New Roman"/>
          <w:b/>
          <w:szCs w:val="22"/>
          <w:lang w:val="en-US"/>
        </w:rPr>
        <w:t>2</w:t>
      </w:r>
      <w:r w:rsidRPr="00234086">
        <w:rPr>
          <w:rFonts w:ascii="Times New Roman" w:hAnsi="Times New Roman" w:cs="Times New Roman"/>
          <w:b/>
          <w:szCs w:val="22"/>
          <w:lang w:val="en-US"/>
        </w:rPr>
        <w:t xml:space="preserve">. </w:t>
      </w:r>
      <w:r w:rsidRPr="00B37D72">
        <w:rPr>
          <w:rFonts w:ascii="Times New Roman" w:hAnsi="Times New Roman" w:cs="Times New Roman"/>
          <w:b/>
          <w:szCs w:val="22"/>
          <w:lang w:val="en-US"/>
        </w:rPr>
        <w:t>N</w:t>
      </w:r>
      <w:r w:rsidRPr="00B37D72">
        <w:rPr>
          <w:rFonts w:ascii="Times New Roman" w:hAnsi="Times New Roman" w:cs="Times New Roman"/>
          <w:b/>
          <w:szCs w:val="18"/>
          <w:lang w:val="en-US"/>
        </w:rPr>
        <w:t>RP1 interacts with different MHC class I molecules</w:t>
      </w:r>
      <w:r w:rsidRPr="00B37D72">
        <w:rPr>
          <w:rFonts w:ascii="Times New Roman" w:hAnsi="Times New Roman" w:cs="Times New Roman"/>
          <w:b/>
          <w:szCs w:val="22"/>
          <w:lang w:val="en-US"/>
        </w:rPr>
        <w:t>.</w:t>
      </w:r>
      <w:r w:rsidRPr="00234086">
        <w:rPr>
          <w:rFonts w:ascii="Times New Roman" w:hAnsi="Times New Roman" w:cs="Times New Roman"/>
          <w:b/>
          <w:szCs w:val="22"/>
          <w:lang w:val="en-US"/>
        </w:rPr>
        <w:t xml:space="preserve"> </w:t>
      </w:r>
    </w:p>
    <w:p w14:paraId="4F39C385" w14:textId="77777777" w:rsidR="00502B2D" w:rsidRPr="00234086" w:rsidRDefault="00502B2D" w:rsidP="00234086">
      <w:pPr>
        <w:jc w:val="both"/>
        <w:rPr>
          <w:rFonts w:ascii="Times New Roman" w:hAnsi="Times New Roman" w:cs="Times New Roman"/>
          <w:szCs w:val="18"/>
          <w:lang w:val="en-US"/>
        </w:rPr>
      </w:pPr>
      <w:r w:rsidRPr="00234086">
        <w:rPr>
          <w:rFonts w:ascii="Times New Roman" w:hAnsi="Times New Roman" w:cs="Times New Roman"/>
          <w:szCs w:val="18"/>
          <w:lang w:val="en-US"/>
        </w:rPr>
        <w:t xml:space="preserve">A) </w:t>
      </w:r>
      <w:r w:rsidRPr="00234086">
        <w:rPr>
          <w:rFonts w:ascii="Times New Roman" w:hAnsi="Times New Roman" w:cs="Times New Roman"/>
          <w:szCs w:val="20"/>
          <w:lang w:val="en-US"/>
        </w:rPr>
        <w:t xml:space="preserve">Flow cytometric analysis of BW cells transduced to express high levels of human NRP1 or ILT4. B) </w:t>
      </w:r>
      <w:r w:rsidRPr="00234086">
        <w:rPr>
          <w:rFonts w:ascii="Times New Roman" w:hAnsi="Times New Roman" w:cs="Times New Roman"/>
          <w:szCs w:val="18"/>
          <w:lang w:val="en-US"/>
        </w:rPr>
        <w:t xml:space="preserve">Binding of tetramers representing different MHC class I molecules HLA-A*24:02 (CMV QYDPYAALF), HLA-B*08:01 (CMV ELRRKMMYM) and HLA-A*02:01 (CMV LLFGVPVYV) to BW control cells and BW cells expressing NRP1 or ILT4. </w:t>
      </w:r>
      <w:r w:rsidRPr="00234086">
        <w:rPr>
          <w:rFonts w:ascii="Times New Roman" w:hAnsi="Times New Roman" w:cs="Times New Roman"/>
          <w:iCs/>
          <w:szCs w:val="18"/>
          <w:lang w:val="en-US"/>
        </w:rPr>
        <w:t>Ab, antibody</w:t>
      </w:r>
    </w:p>
    <w:p w14:paraId="760E9350" w14:textId="77777777" w:rsidR="00502B2D" w:rsidRPr="00234086" w:rsidRDefault="00502B2D" w:rsidP="00502B2D">
      <w:pPr>
        <w:jc w:val="both"/>
        <w:rPr>
          <w:rFonts w:ascii="Times New Roman" w:hAnsi="Times New Roman" w:cs="Times New Roman"/>
          <w:b/>
          <w:sz w:val="22"/>
          <w:szCs w:val="22"/>
          <w:lang w:val="en-US"/>
        </w:rPr>
      </w:pPr>
      <w:r w:rsidRPr="00234086">
        <w:rPr>
          <w:rFonts w:ascii="Times New Roman" w:hAnsi="Times New Roman" w:cs="Times New Roman"/>
          <w:b/>
          <w:sz w:val="22"/>
          <w:szCs w:val="22"/>
          <w:lang w:val="en-US"/>
        </w:rPr>
        <w:br w:type="page"/>
      </w:r>
    </w:p>
    <w:p w14:paraId="4DE3FF81" w14:textId="77777777" w:rsidR="003C2DFA" w:rsidRPr="00234086" w:rsidRDefault="003C2DFA" w:rsidP="003C2DFA">
      <w:pPr>
        <w:rPr>
          <w:rFonts w:ascii="Times New Roman" w:hAnsi="Times New Roman" w:cs="Times New Roman"/>
          <w:lang w:val="en-US"/>
        </w:rPr>
      </w:pPr>
      <w:bookmarkStart w:id="0" w:name="_GoBack"/>
      <w:r w:rsidRPr="00234086">
        <w:rPr>
          <w:rFonts w:ascii="Times New Roman" w:hAnsi="Times New Roman" w:cs="Times New Roman"/>
          <w:noProof/>
          <w:lang w:val="de-DE"/>
        </w:rPr>
        <w:lastRenderedPageBreak/>
        <w:drawing>
          <wp:inline distT="0" distB="0" distL="0" distR="0" wp14:anchorId="25591CAD" wp14:editId="66ADDED4">
            <wp:extent cx="4962144" cy="3151632"/>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 Fig2.png"/>
                    <pic:cNvPicPr/>
                  </pic:nvPicPr>
                  <pic:blipFill>
                    <a:blip r:embed="rId7">
                      <a:extLst>
                        <a:ext uri="{28A0092B-C50C-407E-A947-70E740481C1C}">
                          <a14:useLocalDpi xmlns:a14="http://schemas.microsoft.com/office/drawing/2010/main" val="0"/>
                        </a:ext>
                      </a:extLst>
                    </a:blip>
                    <a:stretch>
                      <a:fillRect/>
                    </a:stretch>
                  </pic:blipFill>
                  <pic:spPr>
                    <a:xfrm>
                      <a:off x="0" y="0"/>
                      <a:ext cx="4962144" cy="3151632"/>
                    </a:xfrm>
                    <a:prstGeom prst="rect">
                      <a:avLst/>
                    </a:prstGeom>
                  </pic:spPr>
                </pic:pic>
              </a:graphicData>
            </a:graphic>
          </wp:inline>
        </w:drawing>
      </w:r>
      <w:bookmarkEnd w:id="0"/>
    </w:p>
    <w:p w14:paraId="3ECDDF6A" w14:textId="77777777" w:rsidR="003C2DFA" w:rsidRPr="00234086" w:rsidRDefault="003C2DFA" w:rsidP="003C2DFA">
      <w:pPr>
        <w:keepNext/>
        <w:rPr>
          <w:rFonts w:ascii="Times New Roman" w:hAnsi="Times New Roman" w:cs="Times New Roman"/>
          <w:lang w:val="en-US"/>
        </w:rPr>
      </w:pPr>
    </w:p>
    <w:p w14:paraId="7B00C064" w14:textId="77777777" w:rsidR="003C2DFA" w:rsidRPr="00234086" w:rsidRDefault="003C2DFA" w:rsidP="003C2DFA">
      <w:pPr>
        <w:rPr>
          <w:rFonts w:ascii="Times New Roman" w:hAnsi="Times New Roman" w:cs="Times New Roman"/>
          <w:lang w:val="en-US"/>
        </w:rPr>
      </w:pPr>
    </w:p>
    <w:p w14:paraId="66E1C931" w14:textId="77777777" w:rsidR="003C2DFA" w:rsidRPr="00234086" w:rsidRDefault="003C2DFA" w:rsidP="003C2DFA">
      <w:pPr>
        <w:rPr>
          <w:rFonts w:ascii="Times New Roman" w:hAnsi="Times New Roman" w:cs="Times New Roman"/>
          <w:lang w:val="en-US"/>
        </w:rPr>
      </w:pPr>
    </w:p>
    <w:p w14:paraId="7EF04938" w14:textId="77777777" w:rsidR="003C2DFA" w:rsidRPr="00234086" w:rsidRDefault="003C2DFA" w:rsidP="00234086">
      <w:pPr>
        <w:jc w:val="both"/>
        <w:rPr>
          <w:rFonts w:ascii="Times New Roman" w:hAnsi="Times New Roman" w:cs="Times New Roman"/>
          <w:b/>
          <w:lang w:val="en-US"/>
        </w:rPr>
      </w:pPr>
      <w:r w:rsidRPr="00234086">
        <w:rPr>
          <w:rFonts w:ascii="Times New Roman" w:hAnsi="Times New Roman" w:cs="Times New Roman"/>
          <w:b/>
          <w:lang w:val="en-US"/>
        </w:rPr>
        <w:t xml:space="preserve">Figure S3. CSPs-Neuropilin-1 interaction does not modulate the activation of DCs. </w:t>
      </w:r>
    </w:p>
    <w:p w14:paraId="6335E32D" w14:textId="2C318BBA" w:rsidR="003C2DFA" w:rsidRPr="00234086" w:rsidRDefault="003C2DFA" w:rsidP="00234086">
      <w:pPr>
        <w:jc w:val="both"/>
        <w:rPr>
          <w:rFonts w:ascii="Times New Roman" w:hAnsi="Times New Roman" w:cs="Times New Roman"/>
          <w:lang w:val="en-US"/>
        </w:rPr>
      </w:pPr>
      <w:r w:rsidRPr="00234086">
        <w:rPr>
          <w:rFonts w:ascii="Times New Roman" w:hAnsi="Times New Roman" w:cs="Times New Roman"/>
          <w:lang w:val="en-US"/>
        </w:rPr>
        <w:t>A) Jurkat T cells (open histogram) and Jurkat T cells engineered to express CD40L (grey histogram) were probed with an CD40L antibody and analyzed via flow cytometry (B) Control Jurkat cells and Jurkat cells incubated with thymoglobulin and human serum to induce deposition of CSPs (Jurkat + CSPs) were probed with antibodies to C4d, C3d, and iC3b and analyzed via flow cytometry. (C) Day five immature moDCs were co-incubated with the indicated Jurkat cells in presence or absence of isotype control and polyclonal NRP1 antibody for 24h. Subsequently, moDCs were assessed for the expression of the activation markers CD80, CD83 and CD86. Results of two independently performed experiments with two dono</w:t>
      </w:r>
      <w:r w:rsidR="007C1CF2">
        <w:rPr>
          <w:rFonts w:ascii="Times New Roman" w:hAnsi="Times New Roman" w:cs="Times New Roman"/>
          <w:lang w:val="en-US"/>
        </w:rPr>
        <w:t>rs are summarized. Ab, antibody; CSPs, complement split products</w:t>
      </w:r>
    </w:p>
    <w:p w14:paraId="283667A3" w14:textId="77777777" w:rsidR="00517431" w:rsidRDefault="00517431"/>
    <w:sectPr w:rsidR="00517431" w:rsidSect="00BF4F4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2D"/>
    <w:rsid w:val="00234086"/>
    <w:rsid w:val="003C2DFA"/>
    <w:rsid w:val="00502B2D"/>
    <w:rsid w:val="00517431"/>
    <w:rsid w:val="007C1CF2"/>
    <w:rsid w:val="00B37D72"/>
    <w:rsid w:val="00BF4F41"/>
    <w:rsid w:val="00DC47C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D19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B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02B2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2B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B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02B2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2B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1550</Characters>
  <Application>Microsoft Macintosh Word</Application>
  <DocSecurity>0</DocSecurity>
  <Lines>12</Lines>
  <Paragraphs>3</Paragraphs>
  <ScaleCrop>false</ScaleCrop>
  <Company>Institut für Immunologie</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Battin</dc:creator>
  <cp:keywords/>
  <dc:description/>
  <cp:lastModifiedBy>Claire Battin</cp:lastModifiedBy>
  <cp:revision>5</cp:revision>
  <dcterms:created xsi:type="dcterms:W3CDTF">2019-06-27T10:13:00Z</dcterms:created>
  <dcterms:modified xsi:type="dcterms:W3CDTF">2019-07-02T12:33:00Z</dcterms:modified>
</cp:coreProperties>
</file>