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4D0051EE" w14:textId="77777777" w:rsidR="006745CD" w:rsidRPr="00B23797" w:rsidRDefault="006745CD" w:rsidP="00E520C4">
      <w:pPr>
        <w:pStyle w:val="Heading2"/>
        <w:numPr>
          <w:ilvl w:val="0"/>
          <w:numId w:val="0"/>
        </w:numPr>
        <w:ind w:left="567" w:hanging="567"/>
      </w:pPr>
      <w:r>
        <w:t xml:space="preserve">1. </w:t>
      </w:r>
      <w:r w:rsidRPr="00B23797">
        <w:t>Study Site: Southern Java (Indonesia)</w:t>
      </w:r>
    </w:p>
    <w:p w14:paraId="2053E610" w14:textId="77777777" w:rsidR="006745CD" w:rsidRPr="00B23797" w:rsidRDefault="006745CD" w:rsidP="00E520C4">
      <w:pPr>
        <w:pStyle w:val="Heading3"/>
        <w:numPr>
          <w:ilvl w:val="0"/>
          <w:numId w:val="0"/>
        </w:numPr>
        <w:ind w:left="567" w:hanging="567"/>
      </w:pPr>
      <w:r w:rsidRPr="00B23797">
        <w:t>1.1 Site description</w:t>
      </w:r>
    </w:p>
    <w:p w14:paraId="4DADBC0B" w14:textId="278A1084" w:rsidR="006745CD" w:rsidRDefault="006745CD" w:rsidP="006745CD">
      <w:r>
        <w:t xml:space="preserve">The study was carried out in the coastal area of the </w:t>
      </w:r>
      <w:proofErr w:type="spellStart"/>
      <w:r>
        <w:t>Gunung</w:t>
      </w:r>
      <w:proofErr w:type="spellEnd"/>
      <w:r>
        <w:t xml:space="preserve"> </w:t>
      </w:r>
      <w:proofErr w:type="spellStart"/>
      <w:r>
        <w:t>Sewu</w:t>
      </w:r>
      <w:proofErr w:type="spellEnd"/>
      <w:r>
        <w:t xml:space="preserve"> karst region, which stretches along the southern central coast of Java (Indonesia). The area has a warm and moist tropical monsoon climate with a mean annual temperature of 27 °C, a high humidity of ~80%, and an annual precipitation of around 2000 mm </w:t>
      </w:r>
      <w:r>
        <w:fldChar w:fldCharType="begin" w:fldLock="1"/>
      </w:r>
      <w:r w:rsidR="00950B3C">
        <w:instrText>ADDIN CSL_CITATION {"citationItems":[{"id":"ITEM-1","itemData":{"author":[{"dropping-particle":"","family":"Flathe","given":"H","non-dropping-particle":"","parse-names":false,"suffix":""},{"dropping-particle":"","family":"Pfeiffer","given":"D","non-dropping-particle":"","parse-names":false,"suffix":""}],"container-title":"Geologisches Jahrbuch, B","id":"ITEM-1","issued":{"date-parts":[["1965"]]},"page":"533-562","title":"Grundzüge der Geomorpholgie, Geologie und Hydrogeologie im Karstgebiet Gunung Sewu (Java, Indonesien)","type":"article-journal","volume":"83"},"uris":["http://www.mendeley.com/documents/?uuid=684ca09a-6328-32ea-ab78-04637c2f371e"]},{"id":"ITEM-2","itemData":{"author":[{"dropping-particle":"","family":"Haryono","given":"E","non-dropping-particle":"","parse-names":false,"suffix":""},{"dropping-particle":"","family":"Day","given":"M","non-dropping-particle":"","parse-names":false,"suffix":""}],"container-title":"Journal of Cave and Karst Studies","id":"ITEM-2","issue":"2","issued":{"date-parts":[["2004"]]},"page":"62-69","title":"Landform differentiation within the Gunung Kidul Kegelkarst, Java, Indonesia","type":"article-journal","volume":"66"},"uris":["http://www.mendeley.com/documents/?uuid=c1f163e6-1f77-3cc3-9da3-c54f21052a23"]}],"mendeley":{"formattedCitation":"(Flathe and Pfeiffer 1965; Haryono and Day 2004)","plainTextFormattedCitation":"(Flathe and Pfeiffer 1965; Haryono and Day 2004)","previouslyFormattedCitation":"(Flathe &amp; Pfeiffer, 1965; Haryono &amp; Day, 2004)"},"properties":{"noteIndex":0},"schema":"https://github.com/citation-style-language/schema/raw/master/csl-citation.json"}</w:instrText>
      </w:r>
      <w:r>
        <w:fldChar w:fldCharType="separate"/>
      </w:r>
      <w:r w:rsidR="00950B3C" w:rsidRPr="00950B3C">
        <w:rPr>
          <w:noProof/>
        </w:rPr>
        <w:t>(Flathe and Pfeiffer 1965; Haryono and Day 2004)</w:t>
      </w:r>
      <w:r>
        <w:fldChar w:fldCharType="end"/>
      </w:r>
      <w:r>
        <w:t xml:space="preserve">. In general, the rainy season lasts from November to April with precipitation rates of about 150-350 mm per month. The dry season lasts from May to October with </w:t>
      </w:r>
      <w:r w:rsidR="00505C22">
        <w:t>precipitation rates of about 24-</w:t>
      </w:r>
      <w:r>
        <w:t xml:space="preserve">150 mm per month </w:t>
      </w:r>
      <w:r>
        <w:fldChar w:fldCharType="begin" w:fldLock="1"/>
      </w:r>
      <w:r w:rsidR="00950B3C">
        <w:instrText>ADDIN CSL_CITATION {"citationItems":[{"id":"ITEM-1","itemData":{"abstract":"The study area is the district Gunung Kidul in the south of Java. A sub territory of Gunung Kidul is the karst area Gunung Sewu (\" land of thousand hills \"). Due to the geology of this area, which is characterized by soluble limestone, there is barely any surface runoff so the water is collected in the underground karst systems. The climate of Gunung Kidul can be described as tropical winter monsoon climate with an average precipitation of approximately 2000mm. Additional to the spatial rainfall variation in Gunung Kidul there is also a temporal variation. Long-term rainfall is declining slightly, whereas there was a clear decrease in precipitation from 2002 to 2009. The trend of rainfall intensity gets higher from December to February but decreases in most of the other months, especially in the dry period. There is even a tendency of an extended dry spell period visible. Furthermore, the El Niño and La Niña events have influence on the rainfall variation, mainly in the months May until October, with years of either extremely low or high rainfall rates. The variation in precipitation has also consequences on the discharge of the underground river Bribin, which has its catchment area in Gunung Kidul. The present investigation shows that the decline in discharge since 2002 runs parallel to the decreasing precipitation numbers.","author":[{"dropping-particle":"","family":"Brunsch","given":"Andrea","non-dropping-particle":"","parse-names":false,"suffix":""},{"dropping-particle":"","family":"Adji","given":"Tjahyo Nugroho","non-dropping-particle":"","parse-names":false,"suffix":""},{"dropping-particle":"","family":"Stoffel","given":"Daniel","non-dropping-particle":"","parse-names":false,"suffix":""},{"dropping-particle":"","family":"Ikhwan","given":"Muhammad","non-dropping-particle":"","parse-names":false,"suffix":""},{"dropping-particle":"","family":"Oberle","given":"Peter","non-dropping-particle":"","parse-names":false,"suffix":""},{"dropping-particle":"","family":"Nestmann","given":"Franz","non-dropping-particle":"","parse-names":false,"suffix":""}],"container-title":"Asian Trans-Disciplinary Karst Conference Yogyakarta Indonesia","id":"ITEM-1","issued":{"date-parts":[["2011"]]},"page":"55-68","title":"Hydrological assessment of a karst area in southern Java with respect to climate phenomena","type":"article-journal"},"uris":["http://www.mendeley.com/documents/?uuid=a1ade07b-d525-3f55-ae29-fa729910ee69"]}],"mendeley":{"formattedCitation":"(Brunsch et al. 2011)","plainTextFormattedCitation":"(Brunsch et al. 2011)","previouslyFormattedCitation":"(Brunsch et al., 2011)"},"properties":{"noteIndex":0},"schema":"https://github.com/citation-style-language/schema/raw/master/csl-citation.json"}</w:instrText>
      </w:r>
      <w:r>
        <w:fldChar w:fldCharType="separate"/>
      </w:r>
      <w:r w:rsidR="00950B3C" w:rsidRPr="00950B3C">
        <w:rPr>
          <w:noProof/>
        </w:rPr>
        <w:t>(Brunsch et al. 2011)</w:t>
      </w:r>
      <w:r>
        <w:fldChar w:fldCharType="end"/>
      </w:r>
      <w:r>
        <w:t xml:space="preserve">. </w:t>
      </w:r>
    </w:p>
    <w:p w14:paraId="1D13CFBC" w14:textId="3D0E4FAE" w:rsidR="006745CD" w:rsidRDefault="006745CD" w:rsidP="006745CD">
      <w:pPr>
        <w:tabs>
          <w:tab w:val="left" w:pos="8789"/>
        </w:tabs>
      </w:pPr>
      <w:r>
        <w:t>Morphologically, the area is known for its cone-karst hills, which are in a mature stadium.</w:t>
      </w:r>
      <w:r w:rsidRPr="00684B51">
        <w:t xml:space="preserve"> </w:t>
      </w:r>
      <w:r>
        <w:t>Two different types of limestones (</w:t>
      </w:r>
      <w:proofErr w:type="spellStart"/>
      <w:r>
        <w:t>bioclastic</w:t>
      </w:r>
      <w:proofErr w:type="spellEnd"/>
      <w:r>
        <w:t xml:space="preserve"> and reef) dominate in the region. These limestones are either </w:t>
      </w:r>
      <w:proofErr w:type="spellStart"/>
      <w:r>
        <w:t>karstified</w:t>
      </w:r>
      <w:proofErr w:type="spellEnd"/>
      <w:r>
        <w:t xml:space="preserve"> and physically hard, or chalky/</w:t>
      </w:r>
      <w:proofErr w:type="spellStart"/>
      <w:r>
        <w:t>chalichic</w:t>
      </w:r>
      <w:proofErr w:type="spellEnd"/>
      <w:r>
        <w:t xml:space="preserve"> and soft. In general, the limestone formation gently dips southward towards the Indian Ocean.</w:t>
      </w:r>
      <w:r w:rsidR="00950B3C">
        <w:t xml:space="preserve"> Towards the hinterland mountains which consist of sediments and volcanic deposits occur </w:t>
      </w:r>
      <w:r w:rsidR="00950B3C">
        <w:fldChar w:fldCharType="begin" w:fldLock="1"/>
      </w:r>
      <w:r w:rsidR="00950B3C">
        <w:instrText>ADDIN CSL_CITATION {"citationItems":[{"id":"ITEM-1","itemData":{"DOI":"10.1016/J.JHYDROL.2018.08.077","ISSN":"0022-1694","abstract":"In tropical karstic regions, knowledge about the timing and quantity of land-ocean groundwater nutrient fluxes is important, as those nutrients may affect sensitive coastal ecosystems such as coral reefs. High permeability of karst aquifers, combined with high discharge during heavy rain events, lead to a close connectivity between groundwater in the hinterland and the coastal zone. Alteration between dry and wet periods can lead to a temporal variability of groundwater discharge volume and its associated nutrient fluxes. We studied the seasonal variability of land-ocean groundwater nutrient fluxes in the tropical karstic region of Gunung Kidul (southern Java, Indonesia) from November 2015 to December 2016. Satellite thermal infrared imagery revealed two major areas of direct submarine and coastal groundwater discharge. Nutrient fluxes were estimated at the largest coastal spring using a discharge dataset from a subsurface river dam and a monthly record of nutrient concentrations sampled from the spring. Nitrate fluxes ranged from 6 × 106–245 × 106 mol/day, dissolved silicon fluxes from 58 × 106–546 × 106 mol/day and phosphate fluxes from 17 × 103–1571 × 103 mol/day. Nutrient fluxes are mostly controlled by discharge and show a high variability through time. Extraordinarily high nitrate and phosphate fluxes were observed after a period of constant and heavy rain. Most likely a nutrient pool in the top soil in the hinterland from untreated sewage or fertilizer is flushed during rain events through the aquifer to the coast. In tropical karstic regions sudden inputs of large amounts of nutrients via groundwater discharge may affect coastal ecosystems such as coral reefs making them especially vulnerable during high discharge events.","author":[{"dropping-particle":"","family":"Oehler","given":"T.","non-dropping-particle":"","parse-names":false,"suffix":""},{"dropping-particle":"","family":"Eiche","given":"E.","non-dropping-particle":"","parse-names":false,"suffix":""},{"dropping-particle":"","family":"Putra","given":"D.","non-dropping-particle":"","parse-names":false,"suffix":""},{"dropping-particle":"","family":"Adyasari","given":"D.","non-dropping-particle":"","parse-names":false,"suffix":""},{"dropping-particle":"","family":"Hennig","given":"H.","non-dropping-particle":"","parse-names":false,"suffix":""},{"dropping-particle":"","family":"Mallast","given":"U.","non-dropping-particle":"","parse-names":false,"suffix":""},{"dropping-particle":"","family":"Moosdorf","given":"N.","non-dropping-particle":"","parse-names":false,"suffix":""}],"container-title":"Journal of Hydrology","id":"ITEM-1","issued":{"date-parts":[["2018","10","1"]]},"page":"662-671","publisher":"Elsevier","title":"Seasonal variability of land-ocean groundwater nutrient fluxes from a tropical karstic region (southern Java, Indonesia)","type":"article-journal","volume":"565"},"uris":["http://www.mendeley.com/documents/?uuid=81c3cd84-db92-3937-b012-9b550d0f09b6"]}],"mendeley":{"formattedCitation":"(Oehler et al. 2018)","plainTextFormattedCitation":"(Oehler et al. 2018)","previouslyFormattedCitation":"(Oehler et al., 2018)"},"properties":{"noteIndex":0},"schema":"https://github.com/citation-style-language/schema/raw/master/csl-citation.json"}</w:instrText>
      </w:r>
      <w:r w:rsidR="00950B3C">
        <w:fldChar w:fldCharType="separate"/>
      </w:r>
      <w:r w:rsidR="00950B3C" w:rsidRPr="00950B3C">
        <w:rPr>
          <w:noProof/>
        </w:rPr>
        <w:t>(Oehler et al. 2018)</w:t>
      </w:r>
      <w:r w:rsidR="00950B3C">
        <w:fldChar w:fldCharType="end"/>
      </w:r>
      <w:r w:rsidR="00950B3C">
        <w:t>.</w:t>
      </w:r>
      <w:r>
        <w:t xml:space="preserve"> At the coast strongly </w:t>
      </w:r>
      <w:proofErr w:type="spellStart"/>
      <w:r>
        <w:t>karstified</w:t>
      </w:r>
      <w:proofErr w:type="spellEnd"/>
      <w:r>
        <w:t xml:space="preserve"> massive coral reef-limestone, with intercalated clay and volcanic ash lenses predominantly occur </w:t>
      </w:r>
      <w:r>
        <w:fldChar w:fldCharType="begin" w:fldLock="1"/>
      </w:r>
      <w:r w:rsidR="00950B3C">
        <w:instrText>ADDIN CSL_CITATION {"citationItems":[{"id":"ITEM-1","itemData":{"author":[{"dropping-particle":"","family":"Bemmelen","given":"RW","non-dropping-particle":"van","parse-names":false,"suffix":""}],"chapter-number":"5","container-title":"The geology of Indonesia","id":"ITEM-1","issued":{"date-parts":[["1949"]]},"page":"554-559","publisher":"Government Printing Office","publisher-place":"The Hague","title":"Geological evolution of the physiographic units-Java Vol IA","type":"chapter"},"uris":["http://www.mendeley.com/documents/?uuid=2d2d025d-3e68-4a25-b7d8-254edd28ae3f"]},{"id":"ITEM-2","itemData":{"author":[{"dropping-particle":"","family":"Flathe","given":"H","non-dropping-particle":"","parse-names":false,"suffix":""},{"dropping-particle":"","family":"Pfeiffer","given":"D","non-dropping-particle":"","parse-names":false,"suffix":""}],"container-title":"Geologisches Jahrbuch, B","id":"ITEM-2","issued":{"date-parts":[["1965"]]},"page":"533-562","title":"Grundzüge der Geomorpholgie, Geologie und Hydrogeologie im Karstgebiet Gunung Sewu (Java, Indonesien)","type":"article-journal","volume":"83"},"uris":["http://www.mendeley.com/documents/?uuid=684ca09a-6328-32ea-ab78-04637c2f371e"]},{"id":"ITEM-3","itemData":{"author":[{"dropping-particle":"","family":"Waltham","given":"AC","non-dropping-particle":"","parse-names":false,"suffix":""},{"dropping-particle":"","family":"Smart","given":"PL","non-dropping-particle":"","parse-names":false,"suffix":""},{"dropping-particle":"","family":"Friederich","given":"H","non-dropping-particle":"","parse-names":false,"suffix":""},{"dropping-particle":"","family":"Eavis","given":"AJ","non-dropping-particle":"","parse-names":false,"suffix":""}],"container-title":"Cave Science","id":"ITEM-3","issue":"2","issued":{"date-parts":[["1983"]]},"page":"55-96","title":"The caves of Gunung Sewu, Java","type":"article-journal","volume":"10"},"uris":["http://www.mendeley.com/documents/?uuid=3b62a3fc-c616-3f56-9a61-98d49c364110"]},{"id":"ITEM-4","itemData":{"author":[{"dropping-particle":"","family":"Haryono","given":"E","non-dropping-particle":"","parse-names":false,"suffix":""},{"dropping-particle":"","family":"Day","given":"M","non-dropping-particle":"","parse-names":false,"suffix":""}],"container-title":"Journal of Cave and Karst Studies","id":"ITEM-4","issue":"2","issued":{"date-parts":[["2004"]]},"page":"62-69","title":"Landform differentiation within the Gunung Kidul Kegelkarst, Java, Indonesia","type":"article-journal","volume":"66"},"uris":["http://www.mendeley.com/documents/?uuid=c1f163e6-1f77-3cc3-9da3-c54f21052a23"]}],"mendeley":{"formattedCitation":"(van Bemmelen 1949; Flathe and Pfeiffer 1965; Waltham et al. 1983; Haryono and Day 2004)","plainTextFormattedCitation":"(van Bemmelen 1949; Flathe and Pfeiffer 1965; Waltham et al. 1983; Haryono and Day 2004)","previouslyFormattedCitation":"(Flathe &amp; Pfeiffer, 1965; Haryono &amp; Day, 2004; van Bemmelen, 1949; Waltham, Smart, Friederich, &amp; Eavis, 1983)"},"properties":{"noteIndex":0},"schema":"https://github.com/citation-style-language/schema/raw/master/csl-citation.json"}</w:instrText>
      </w:r>
      <w:r>
        <w:fldChar w:fldCharType="separate"/>
      </w:r>
      <w:r w:rsidR="00950B3C" w:rsidRPr="00950B3C">
        <w:rPr>
          <w:noProof/>
        </w:rPr>
        <w:t>(van Bemmelen 1949; Flathe and Pfeiffer 1965; Waltham et al. 1983; Haryono and Day 2004)</w:t>
      </w:r>
      <w:r>
        <w:fldChar w:fldCharType="end"/>
      </w:r>
      <w:r>
        <w:t xml:space="preserve">. The coastline consists of cliffs with heights of 25 to 100 m </w:t>
      </w:r>
      <w:r>
        <w:fldChar w:fldCharType="begin" w:fldLock="1"/>
      </w:r>
      <w:r w:rsidR="00950B3C">
        <w:instrText>ADDIN CSL_CITATION {"citationItems":[{"id":"ITEM-1","itemData":{"author":[{"dropping-particle":"","family":"Haryono","given":"E","non-dropping-particle":"","parse-names":false,"suffix":""},{"dropping-particle":"","family":"Day","given":"M","non-dropping-particle":"","parse-names":false,"suffix":""}],"container-title":"Journal of Cave and Karst Studies","id":"ITEM-1","issue":"2","issued":{"date-parts":[["2004"]]},"page":"62-69","title":"Landform differentiation within the Gunung Kidul Kegelkarst, Java, Indonesia","type":"article-journal","volume":"66"},"uris":["http://www.mendeley.com/documents/?uuid=c1f163e6-1f77-3cc3-9da3-c54f21052a23"]}],"mendeley":{"formattedCitation":"(Haryono and Day 2004)","plainTextFormattedCitation":"(Haryono and Day 2004)","previouslyFormattedCitation":"(Haryono &amp; Day, 2004)"},"properties":{"noteIndex":0},"schema":"https://github.com/citation-style-language/schema/raw/master/csl-citation.json"}</w:instrText>
      </w:r>
      <w:r>
        <w:fldChar w:fldCharType="separate"/>
      </w:r>
      <w:r w:rsidR="00950B3C" w:rsidRPr="00950B3C">
        <w:rPr>
          <w:noProof/>
        </w:rPr>
        <w:t>(Haryono and Day 2004)</w:t>
      </w:r>
      <w:r>
        <w:fldChar w:fldCharType="end"/>
      </w:r>
      <w:r>
        <w:t xml:space="preserve">, which are frequently disrupted by several hundred of meter wide bays. Similar to other karstic areas, there is negligible surface runoff (except in cases of torrential runoff) and ephemeral streams, because rainfall directly penetrates in the ground. Coastal and submarine freshwater springs can be observed all along the coast, which are fed by perennial underground rivers </w:t>
      </w:r>
      <w:r>
        <w:fldChar w:fldCharType="begin" w:fldLock="1"/>
      </w:r>
      <w:r w:rsidR="00950B3C">
        <w:instrText>ADDIN CSL_CITATION {"citationItems":[{"id":"ITEM-1","itemData":{"DOI":"10.1007/s100400050014","ISSN":"1431-2174","author":[{"dropping-particle":"","family":"Kusumayudha","given":"Sari B.","non-dropping-particle":"","parse-names":false,"suffix":""},{"dropping-particle":"","family":"Zen","given":"M. T.","non-dropping-particle":"","parse-names":false,"suffix":""},{"dropping-particle":"","family":"Notosiswoyo","given":"Sudarto","non-dropping-particle":"","parse-names":false,"suffix":""},{"dropping-particle":"","family":"Gautama","given":"Rudy Sayoga","non-dropping-particle":"","parse-names":false,"suffix":""}],"container-title":"Hydrogeology Journal","id":"ITEM-1","issue":"3","issued":{"date-parts":[["2000","10","1"]]},"page":"271-278","title":"Fractal analysis of the Oyo River, cave systems, and topography of the Gunungsewu karst area, central Java, Indonesia","type":"article-journal","volume":"8"},"uris":["http://www.mendeley.com/documents/?uuid=70eb804a-3ccf-4497-9d8c-4c30719236bb"]}],"mendeley":{"formattedCitation":"(Kusumayudha et al. 2000)","plainTextFormattedCitation":"(Kusumayudha et al. 2000)","previouslyFormattedCitation":"(Kusumayudha, Zen, Notosiswoyo, &amp; Gautama, 2000)"},"properties":{"noteIndex":0},"schema":"https://github.com/citation-style-language/schema/raw/master/csl-citation.json"}</w:instrText>
      </w:r>
      <w:r>
        <w:fldChar w:fldCharType="separate"/>
      </w:r>
      <w:r w:rsidR="00950B3C" w:rsidRPr="00950B3C">
        <w:rPr>
          <w:noProof/>
        </w:rPr>
        <w:t>(Kusumayudha et al. 2000)</w:t>
      </w:r>
      <w:r>
        <w:fldChar w:fldCharType="end"/>
      </w:r>
      <w:r>
        <w:t xml:space="preserve">. A very steep bathymetry leads to very strong and dangerous rip currents. The detailed site under study is a small embayment at the </w:t>
      </w:r>
      <w:proofErr w:type="spellStart"/>
      <w:r>
        <w:t>Gunung</w:t>
      </w:r>
      <w:proofErr w:type="spellEnd"/>
      <w:r>
        <w:t xml:space="preserve"> </w:t>
      </w:r>
      <w:proofErr w:type="spellStart"/>
      <w:r>
        <w:t>Sewu</w:t>
      </w:r>
      <w:proofErr w:type="spellEnd"/>
      <w:r>
        <w:t xml:space="preserve"> coastline which has a surface area of ~24,000 m² and an average water depth of about 1-2 m. The embayment receives groundwater from a submarine spring and has one connection to the open sea</w:t>
      </w:r>
      <w:r w:rsidR="00674C2D">
        <w:t xml:space="preserve"> (supplementary Figure A)</w:t>
      </w:r>
      <w:r>
        <w:t xml:space="preserve">. </w:t>
      </w:r>
    </w:p>
    <w:p w14:paraId="1C151BB1" w14:textId="77777777" w:rsidR="006745CD" w:rsidRDefault="006745CD" w:rsidP="00E520C4">
      <w:pPr>
        <w:pStyle w:val="Heading3"/>
        <w:numPr>
          <w:ilvl w:val="0"/>
          <w:numId w:val="0"/>
        </w:numPr>
        <w:ind w:left="567" w:hanging="567"/>
      </w:pPr>
      <w:r>
        <w:t>1.2 Water sampling &amp; analyses</w:t>
      </w:r>
    </w:p>
    <w:p w14:paraId="70D41836" w14:textId="55DEC320" w:rsidR="006745CD" w:rsidRDefault="006745CD" w:rsidP="006745CD">
      <w:pPr>
        <w:tabs>
          <w:tab w:val="left" w:pos="8789"/>
        </w:tabs>
      </w:pPr>
      <w:r>
        <w:t>Sampling campaigns were carried out in November 2015 before the wet season and in April 2016 at the end of the wet season. Coastal and offshore water sampling was conducted from small fishing boats or via snorkeling</w:t>
      </w:r>
      <w:r w:rsidRPr="003740FF">
        <w:t xml:space="preserve"> </w:t>
      </w:r>
      <w:r>
        <w:t xml:space="preserve">directly at the beach. Water samples for </w:t>
      </w:r>
      <w:proofErr w:type="spellStart"/>
      <w:r>
        <w:t>DSi</w:t>
      </w:r>
      <w:proofErr w:type="spellEnd"/>
      <w:r>
        <w:t xml:space="preserve"> and salinity measurements were further collected close to the submarine spring and within the center of the embayment over a tidal cycle. The water level was simultaneously measured using a Hobo water level logger (HOBO U20L) which was deployed at the seafloor. Several known coastal and intertidal springs were sampled for groundwater endmembers along the coastline</w:t>
      </w:r>
      <w:r w:rsidR="00674C2D">
        <w:t xml:space="preserve"> (supplementary Figure A)</w:t>
      </w:r>
      <w:r>
        <w:t xml:space="preserve">. </w:t>
      </w:r>
    </w:p>
    <w:p w14:paraId="13B1B154" w14:textId="594851C6" w:rsidR="006745CD" w:rsidRDefault="006745CD" w:rsidP="006745CD">
      <w:r>
        <w:t xml:space="preserve">For radium analyses about 100 liters of seawater and 20 L of groundwater were sampled and processed at the beach based on the procedure described in </w:t>
      </w:r>
      <w:r>
        <w:fldChar w:fldCharType="begin" w:fldLock="1"/>
      </w:r>
      <w:r w:rsidR="00950B3C">
        <w:instrText>ADDIN CSL_CITATION {"citationItems":[{"id":"ITEM-1","itemData":{"DOI":"10.1029/JC078i036p08880","ISSN":"01480227","author":[{"dropping-particle":"","family":"Moore","given":"Willard S.","non-dropping-particle":"","parse-names":false,"suffix":""},{"dropping-particle":"","family":"Reid","given":"David F.","non-dropping-particle":"","parse-names":false,"suffix":""}],"container-title":"Journal of Geophysical Research","id":"ITEM-1","issue":"36","issued":{"date-parts":[["1973","12","20"]]},"page":"8880-8886","publisher":"John Wiley &amp; Sons, Ltd","title":"Extraction of radium from natural waters using manganese-impregnated acrylic fibers","type":"article-journal","volume":"78"},"uris":["http://www.mendeley.com/documents/?uuid=862451ff-3d04-3702-9047-c62710d1a379"]}],"mendeley":{"formattedCitation":"(Moore and Reid 1973)","manualFormatting":"Moore and Reid (1973)","plainTextFormattedCitation":"(Moore and Reid 1973)","previouslyFormattedCitation":"(Willard S. Moore &amp; Reid, 1973)"},"properties":{"noteIndex":0},"schema":"https://github.com/citation-style-language/schema/raw/master/csl-citation.json"}</w:instrText>
      </w:r>
      <w:r>
        <w:fldChar w:fldCharType="separate"/>
      </w:r>
      <w:r w:rsidRPr="00E51FBA">
        <w:rPr>
          <w:noProof/>
        </w:rPr>
        <w:t xml:space="preserve">Moore and Reid </w:t>
      </w:r>
      <w:r>
        <w:rPr>
          <w:noProof/>
        </w:rPr>
        <w:t>(</w:t>
      </w:r>
      <w:r w:rsidRPr="00E51FBA">
        <w:rPr>
          <w:noProof/>
        </w:rPr>
        <w:t>1973)</w:t>
      </w:r>
      <w:r>
        <w:fldChar w:fldCharType="end"/>
      </w:r>
      <w:r>
        <w:t>. Water samples for radium were filtered at &lt;1 L min</w:t>
      </w:r>
      <w:r w:rsidRPr="008E31CD">
        <w:rPr>
          <w:vertAlign w:val="superscript"/>
        </w:rPr>
        <w:t>-1</w:t>
      </w:r>
      <w:r>
        <w:t xml:space="preserve"> through 15 g of MnO</w:t>
      </w:r>
      <w:r>
        <w:rPr>
          <w:vertAlign w:val="subscript"/>
        </w:rPr>
        <w:t>2</w:t>
      </w:r>
      <w:r w:rsidRPr="06037DB5">
        <w:t xml:space="preserve"> </w:t>
      </w:r>
      <w:r>
        <w:t xml:space="preserve">impregnated acrylic fibers to quantitatively extract the radium isotopes </w:t>
      </w:r>
      <w:r>
        <w:fldChar w:fldCharType="begin" w:fldLock="1"/>
      </w:r>
      <w:r w:rsidR="00950B3C">
        <w:instrText>ADDIN CSL_CITATION {"citationItems":[{"id":"ITEM-1","itemData":{"DOI":"10.1016/0016-7037(95)00242-R","ISSN":"00167037","abstract":"Radium isotope distributions on the continental shelf adjacent to the Amazon River are a complex function of salinity. The river and seawater endmembers for each radium isotope are low. Data from intermediate salinities plot as a highly scattered region above the conservative mixing line connecting the river and ocean endmembers. Spatial and temporal variability in sediment mixing and water residence times cause the scatter in the radium isotope data. We have used the distributions of 226Ra, 228Ra, and 224Ra collected during four cruises representing different conditions on the shelf to construct inventories of radium due to nonconservative additions from sediments. Using estimates of water residence times, we calculate fluxes of these radium isotopes from the Amazon system. The amount of fresh river sediment entering the system each year is adequate to support the nonconservative flux of 226Ra from the shelf sediments; however, the ultimate release of 226Ra from the sediments requires weeks to months. To support the nonconservative flux of 228Ra from this system, sediments of the 1–2 m thick surface mixed layer must be resuspended every two years. The resulting flux supports 15% of the 228Ra entering the surface Atlantic Ocean. Release of 224Ra from suspended sediments, primarily fluid mud, is more than adequate to support the inventory of 224Ra on the Amazon shelf. Comparing the AmasSeds low discharge cruise (November 1991) to a low discharge sampling in December 1982 revealed no significant changes in the 226Ra and 228Ra distributions.","author":[{"dropping-particle":"","family":"Moore","given":"Willard S.","non-dropping-particle":"","parse-names":false,"suffix":""},{"dropping-particle":"","family":"Astwood","given":"Heather","non-dropping-particle":"","parse-names":false,"suffix":""},{"dropping-particle":"","family":"Lindstrom","given":"Candice","non-dropping-particle":"","parse-names":false,"suffix":""}],"container-title":"Geochimica et Cosmochimica Acta","id":"ITEM-1","issue":"20","issued":{"date-parts":[["1995","10"]]},"page":"4285-4298","title":"Radium isotopes in coastal waters on the Amazon shelf","type":"article-journal","volume":"59"},"uris":["http://www.mendeley.com/documents/?uuid=777b2b38-bf83-46dd-a909-9ab7390b2d88"]}],"mendeley":{"formattedCitation":"(Moore et al. 1995)","plainTextFormattedCitation":"(Moore et al. 1995)","previouslyFormattedCitation":"(Willard S. Moore, Astwood, &amp; Lindstrom, 1995)"},"properties":{"noteIndex":0},"schema":"https://github.com/citation-style-language/schema/raw/master/csl-citation.json"}</w:instrText>
      </w:r>
      <w:r>
        <w:fldChar w:fldCharType="separate"/>
      </w:r>
      <w:r w:rsidR="00950B3C" w:rsidRPr="00950B3C">
        <w:rPr>
          <w:noProof/>
        </w:rPr>
        <w:t>(Moore et al. 1995)</w:t>
      </w:r>
      <w:r>
        <w:fldChar w:fldCharType="end"/>
      </w:r>
      <w:r>
        <w:t>. After processing the MnO</w:t>
      </w:r>
      <w:r>
        <w:rPr>
          <w:vertAlign w:val="subscript"/>
        </w:rPr>
        <w:t>2</w:t>
      </w:r>
      <w:r>
        <w:t xml:space="preserve"> fiber was immediately sent to a laboratory in Germany (Oldenburg) for analysis</w:t>
      </w:r>
      <w:r w:rsidRPr="06037DB5">
        <w:t xml:space="preserve">. </w:t>
      </w:r>
    </w:p>
    <w:p w14:paraId="22EC9199" w14:textId="045A706D" w:rsidR="006745CD" w:rsidRDefault="006745CD" w:rsidP="006745CD">
      <w:r>
        <w:lastRenderedPageBreak/>
        <w:t>Once in the lab the fibers were rinsed with tap water and partially dried with compressed air until the water to fiber ratio was 1:1</w:t>
      </w:r>
      <w:r w:rsidRPr="48E34BE9">
        <w:t xml:space="preserve"> </w:t>
      </w:r>
      <w:r>
        <w:fldChar w:fldCharType="begin" w:fldLock="1"/>
      </w:r>
      <w:r w:rsidR="00950B3C">
        <w:instrText>ADDIN CSL_CITATION {"citationItems":[{"id":"ITEM-1","itemData":{"DOI":"10.1016/S0304-4203(98)00019-X","ISSN":"03044203","abstract":"224Ra (half-life, t 1/4 = 3.64 days) has been used widely as a tracer. Its activity in natural waters can be measured by the220Rn emanation method [Rama, Todd, J.F., Butts J.L., and Moore, W.S., 1987. A new method for the rapid measurements of224Ra in natural waters. Mar. Chem., 22, 43-54.]. The measurement efficiency of220Rn is affected by Mn-fiber surface conditions and water content. We studied the effects of precipitated NaCl and water content on the emanation characteristics of220Rn from the224Ra adsorbed on Mn-coated fiber. The best emanation efficiency can be achieved when the Mn-fiber is covered by a water film with a thickness comparable to the recoil range of220Rn in water. By controlling the water content of the Mn-fiber, the measurement efficiency may be increased 2-3 X compared to the very wet or very dry condition.","author":[{"dropping-particle":"","family":"Sun","given":"Yin","non-dropping-particle":"","parse-names":false,"suffix":""},{"dropping-particle":"","family":"Torgersen","given":"T.","non-dropping-particle":"","parse-names":false,"suffix":""}],"container-title":"Marine Chemistry","id":"ITEM-1","issue":"3-4","issued":{"date-parts":[["1998"]]},"page":"299-306","title":"The effects of water content and Mn-fiber surface conditions on 224Ra measurement by 220Rn emanation","type":"article-journal","volume":"62"},"uris":["http://www.mendeley.com/documents/?uuid=b29b5ae5-9d11-4179-86d3-ac5255e45012"]}],"mendeley":{"formattedCitation":"(Sun and Torgersen 1998)","plainTextFormattedCitation":"(Sun and Torgersen 1998)","previouslyFormattedCitation":"(Sun &amp; Torgersen, 1998)"},"properties":{"noteIndex":0},"schema":"https://github.com/citation-style-language/schema/raw/master/csl-citation.json"}</w:instrText>
      </w:r>
      <w:r>
        <w:fldChar w:fldCharType="separate"/>
      </w:r>
      <w:r w:rsidR="00950B3C" w:rsidRPr="00950B3C">
        <w:rPr>
          <w:noProof/>
        </w:rPr>
        <w:t>(Sun and Torgersen 1998)</w:t>
      </w:r>
      <w:r>
        <w:fldChar w:fldCharType="end"/>
      </w:r>
      <w:r w:rsidRPr="48E34BE9">
        <w:t xml:space="preserve">. </w:t>
      </w:r>
      <w:r>
        <w:t>The samples were then measured using a Radium Delayed Coincidence Counter (</w:t>
      </w:r>
      <w:proofErr w:type="spellStart"/>
      <w:r>
        <w:t>RaDeCC</w:t>
      </w:r>
      <w:proofErr w:type="spellEnd"/>
      <w:r>
        <w:t xml:space="preserve">) in order </w:t>
      </w:r>
      <w:r w:rsidRPr="00740D30">
        <w:rPr>
          <w:rFonts w:cs="Times New Roman"/>
        </w:rPr>
        <w:t xml:space="preserve">to determine </w:t>
      </w:r>
      <w:r w:rsidRPr="00740D30">
        <w:rPr>
          <w:rFonts w:cs="Times New Roman"/>
          <w:vertAlign w:val="superscript"/>
        </w:rPr>
        <w:t>224</w:t>
      </w:r>
      <w:r w:rsidRPr="00740D30">
        <w:rPr>
          <w:rFonts w:cs="Times New Roman"/>
        </w:rPr>
        <w:t>Ra (T</w:t>
      </w:r>
      <w:r w:rsidRPr="00740D30">
        <w:rPr>
          <w:rFonts w:cs="Times New Roman"/>
          <w:vertAlign w:val="subscript"/>
        </w:rPr>
        <w:t>1/2</w:t>
      </w:r>
      <w:r w:rsidRPr="00740D30">
        <w:rPr>
          <w:rFonts w:cs="Times New Roman"/>
        </w:rPr>
        <w:t xml:space="preserve">=3.66 days) </w:t>
      </w:r>
      <w:r w:rsidRPr="00740D30">
        <w:rPr>
          <w:rFonts w:cs="Times New Roman"/>
        </w:rPr>
        <w:fldChar w:fldCharType="begin" w:fldLock="1"/>
      </w:r>
      <w:r w:rsidR="00950B3C" w:rsidRPr="00740D30">
        <w:rPr>
          <w:rFonts w:cs="Times New Roman"/>
        </w:rPr>
        <w:instrText>ADDIN CSL_CITATION {"citationItems":[{"id":"ITEM-1","itemData":{"DOI":"10.1029/95JC03139","ISSN":"0148-0227","author":[{"dropping-particle":"","family":"Moore","given":"Willard S.","non-dropping-particle":"","parse-names":false,"suffix":""},{"dropping-particle":"","family":"Arnold","given":"Ralph","non-dropping-particle":"","parse-names":false,"suffix":""}],"container-title":"Journal of Geophysical Research","id":"ITEM-1","issue":"C1","issued":{"date-parts":[["1996"]]},"page":"1321","title":"Measurement of 223 Ra and 224 Ra in coastal waters using a delayed coincidence counter","type":"article-journal","volume":"101"},"uris":["http://www.mendeley.com/documents/?uuid=804dce62-2fde-4f88-a390-ef43fcfe1f27"]}],"mendeley":{"formattedCitation":"(Moore and Arnold 1996)","plainTextFormattedCitation":"(Moore and Arnold 1996)","previouslyFormattedCitation":"(Willard S. Moore &amp; Arnold, 1996)"},"properties":{"noteIndex":0},"schema":"https://github.com/citation-style-language/schema/raw/master/csl-citation.json"}</w:instrText>
      </w:r>
      <w:r w:rsidRPr="00740D30">
        <w:rPr>
          <w:rFonts w:cs="Times New Roman"/>
        </w:rPr>
        <w:fldChar w:fldCharType="separate"/>
      </w:r>
      <w:r w:rsidR="00950B3C" w:rsidRPr="00740D30">
        <w:rPr>
          <w:rFonts w:cs="Times New Roman"/>
          <w:noProof/>
        </w:rPr>
        <w:t>(Moore and Arnold 1996)</w:t>
      </w:r>
      <w:r w:rsidRPr="00740D30">
        <w:rPr>
          <w:rFonts w:cs="Times New Roman"/>
        </w:rPr>
        <w:fldChar w:fldCharType="end"/>
      </w:r>
      <w:r w:rsidRPr="00740D30">
        <w:rPr>
          <w:rFonts w:eastAsia="Calibri" w:cs="Times New Roman"/>
          <w:noProof/>
        </w:rPr>
        <w:t xml:space="preserve"> and </w:t>
      </w:r>
      <w:r w:rsidRPr="00740D30">
        <w:rPr>
          <w:rFonts w:eastAsia="Calibri" w:cs="Times New Roman"/>
          <w:noProof/>
          <w:vertAlign w:val="superscript"/>
        </w:rPr>
        <w:t>226</w:t>
      </w:r>
      <w:r w:rsidRPr="00740D30">
        <w:rPr>
          <w:rFonts w:eastAsia="Calibri" w:cs="Times New Roman"/>
          <w:noProof/>
        </w:rPr>
        <w:t>Ra (T</w:t>
      </w:r>
      <w:r w:rsidRPr="00740D30">
        <w:rPr>
          <w:rFonts w:eastAsia="Calibri" w:cs="Times New Roman"/>
          <w:noProof/>
          <w:vertAlign w:val="subscript"/>
        </w:rPr>
        <w:t>1/2</w:t>
      </w:r>
      <w:r w:rsidRPr="00740D30">
        <w:rPr>
          <w:rFonts w:eastAsia="Calibri" w:cs="Times New Roman"/>
          <w:noProof/>
        </w:rPr>
        <w:t xml:space="preserve">=1622 years) </w:t>
      </w:r>
      <w:r w:rsidRPr="00740D30">
        <w:rPr>
          <w:rFonts w:eastAsia="Calibri" w:cs="Times New Roman"/>
          <w:noProof/>
        </w:rPr>
        <w:fldChar w:fldCharType="begin" w:fldLock="1"/>
      </w:r>
      <w:r w:rsidR="00950B3C" w:rsidRPr="00740D30">
        <w:rPr>
          <w:rFonts w:eastAsia="Calibri" w:cs="Times New Roman"/>
          <w:noProof/>
        </w:rPr>
        <w:instrText>ADDIN CSL_CITATION {"citationItems":[{"id":"ITEM-1","itemData":{"DOI":"10.1016/j.jenvrad.2008.08.008","ISSN":"0265-931X","PMID":"18950907","abstract":"A delayed coincidence counter (RaDeCC), developed to determine ultra-low levels of (223)Ra (half life = 11.1 days) and (224)Ra (half life = 3.6 days) in seawater, was adapted to measure (226)Ra (half life = 1622 years). After pre-concentration of Ra from seawater onto MnO(2)-coated fiber we show in this study that the (226)Ra activity can be determined using the RaDeCC's ability to record alpha decay of its daughters as total counts. For sufficient ingrowth of (222)Rn, the Mn-fiber is hermetically sealed in a column for a few days. Then, the ingrown (222)Rn is circulated through the RaDeCC air-loop system followed by shutting down of the pump and closure of the scintillation cell for equilibration. Counting may be completed within a few hours for seawater samples. Sample measurements with this method agreed well with data obtained using gamma-ray spectrometry. This proves that a set of Ra isotopes ((223)Ra, (224)Ra, and (226)Ra), commonly used for geophysical studies such as mixing rates of different water masses and submarine groundwater discharge, can be efficiently and rapidly measured using the RaDeCC.","author":[{"dropping-particle":"","family":"Waska","given":"Hannelore","non-dropping-particle":"","parse-names":false,"suffix":""},{"dropping-particle":"","family":"Kim","given":"Seolwon","non-dropping-particle":"","parse-names":false,"suffix":""},{"dropping-particle":"","family":"Kim","given":"Guebuem","non-dropping-particle":"","parse-names":false,"suffix":""},{"dropping-particle":"","family":"Peterson","given":"Richard N","non-dropping-particle":"","parse-names":false,"suffix":""},{"dropping-particle":"","family":"Burnett","given":"William C","non-dropping-particle":"","parse-names":false,"suffix":""}],"container-title":"Journal of environmental radioactivity","id":"ITEM-1","issue":"12","issued":{"date-parts":[["2008","12"]]},"page":"1859-62","title":"An efficient and simple method for measuring (226)Ra using the scintillation cell in a delayed coincidence counting system (RaDeCC).","type":"article-journal","volume":"99"},"uris":["http://www.mendeley.com/documents/?uuid=77327267-2689-4f7d-974f-f137607b82d0"]}],"mendeley":{"formattedCitation":"(Waska et al. 2008)","plainTextFormattedCitation":"(Waska et al. 2008)","previouslyFormattedCitation":"(Waska, Kim, Kim, Peterson, &amp; Burnett, 2008)"},"properties":{"noteIndex":0},"schema":"https://github.com/citation-style-language/schema/raw/master/csl-citation.json"}</w:instrText>
      </w:r>
      <w:r w:rsidRPr="00740D30">
        <w:rPr>
          <w:rFonts w:eastAsia="Calibri" w:cs="Times New Roman"/>
          <w:noProof/>
        </w:rPr>
        <w:fldChar w:fldCharType="separate"/>
      </w:r>
      <w:r w:rsidR="00950B3C" w:rsidRPr="00740D30">
        <w:rPr>
          <w:rFonts w:eastAsia="Calibri" w:cs="Times New Roman"/>
          <w:noProof/>
        </w:rPr>
        <w:t>(Waska et al. 2008)</w:t>
      </w:r>
      <w:r w:rsidRPr="00740D30">
        <w:rPr>
          <w:rFonts w:eastAsia="Calibri" w:cs="Times New Roman"/>
          <w:noProof/>
        </w:rPr>
        <w:fldChar w:fldCharType="end"/>
      </w:r>
      <w:r w:rsidRPr="00740D30">
        <w:rPr>
          <w:rFonts w:eastAsia="Calibri" w:cs="Times New Roman"/>
          <w:noProof/>
        </w:rPr>
        <w:t>.</w:t>
      </w:r>
      <w:r w:rsidRPr="00F66F0B">
        <w:rPr>
          <w:rFonts w:ascii="Calibri" w:eastAsia="Calibri" w:hAnsi="Calibri" w:cs="Calibri"/>
          <w:noProof/>
        </w:rPr>
        <w:t xml:space="preserve"> </w:t>
      </w:r>
      <w:r w:rsidRPr="007517FA">
        <w:rPr>
          <w:rFonts w:eastAsia="Calibri" w:cs="Times New Roman"/>
          <w:noProof/>
        </w:rPr>
        <w:t xml:space="preserve">Four weeks after sampling, samples were re-counted to obtain </w:t>
      </w:r>
      <w:r w:rsidRPr="007517FA">
        <w:rPr>
          <w:rFonts w:eastAsia="Calibri" w:cs="Times New Roman"/>
          <w:noProof/>
          <w:vertAlign w:val="superscript"/>
        </w:rPr>
        <w:t>228</w:t>
      </w:r>
      <w:r w:rsidRPr="007517FA">
        <w:rPr>
          <w:rFonts w:eastAsia="Calibri" w:cs="Times New Roman"/>
          <w:noProof/>
        </w:rPr>
        <w:t xml:space="preserve">Th activity for excess </w:t>
      </w:r>
      <w:r w:rsidRPr="007517FA">
        <w:rPr>
          <w:rFonts w:eastAsia="Calibri" w:cs="Times New Roman"/>
          <w:noProof/>
          <w:vertAlign w:val="superscript"/>
        </w:rPr>
        <w:t>224</w:t>
      </w:r>
      <w:r w:rsidRPr="007517FA">
        <w:rPr>
          <w:rFonts w:eastAsia="Calibri" w:cs="Times New Roman"/>
          <w:noProof/>
        </w:rPr>
        <w:t xml:space="preserve">Ra determination (herein referred to as </w:t>
      </w:r>
      <w:r w:rsidRPr="007517FA">
        <w:rPr>
          <w:rFonts w:eastAsia="Calibri" w:cs="Times New Roman"/>
          <w:noProof/>
          <w:vertAlign w:val="superscript"/>
        </w:rPr>
        <w:t>224</w:t>
      </w:r>
      <w:r w:rsidRPr="007517FA">
        <w:rPr>
          <w:rFonts w:eastAsia="Calibri" w:cs="Times New Roman"/>
          <w:noProof/>
        </w:rPr>
        <w:t>Ra</w:t>
      </w:r>
      <w:r w:rsidRPr="007517FA">
        <w:rPr>
          <w:rFonts w:eastAsia="Calibri" w:cs="Times New Roman"/>
          <w:noProof/>
          <w:vertAlign w:val="subscript"/>
        </w:rPr>
        <w:t>ex</w:t>
      </w:r>
      <w:r w:rsidRPr="007517FA">
        <w:rPr>
          <w:rFonts w:eastAsia="Calibri" w:cs="Times New Roman"/>
          <w:noProof/>
        </w:rPr>
        <w:t xml:space="preserve">) </w:t>
      </w:r>
      <w:r w:rsidRPr="007517FA">
        <w:rPr>
          <w:rFonts w:eastAsia="Calibri" w:cs="Times New Roman"/>
          <w:noProof/>
        </w:rPr>
        <w:fldChar w:fldCharType="begin" w:fldLock="1"/>
      </w:r>
      <w:r w:rsidR="00950B3C">
        <w:rPr>
          <w:rFonts w:eastAsia="Calibri" w:cs="Times New Roman"/>
          <w:noProof/>
        </w:rPr>
        <w:instrText>ADDIN CSL_CITATION {"citationItems":[{"id":"ITEM-1","itemData":{"DOI":"10.1016/J.MARCHEM.2007.11.006","ISSN":"0304-4203","abstract":"The short-lived radium isotopes, 223Ra (T1/2=11.4 days) and 224Ra (T1/2=3.66 days), have been successfully used as tracers of several environmental processes, e.g., submarine groundwater discharge, coastal mixing processes, and water residence times. In this paper, the uncertainties associated with 223Ra and 224Ra measurements using a Radium Delayed Coincidence Counter are determined on a detailed error propagation basis with a confidence interval of 1σ. From the data analyses of several groups of coastal water samples, the calculated relative uncertainties averaged 12% for the 223Ra and 7% for the 224Ra. These uncertainties can decrease for radium-enriched groundwater samples although asymptotic limits have been found at 7% relative uncertainty for 223Ra and 4% for 224Ra. In this paper, the influence of sampling and measurement parameters on the final radium uncertainties is evaluated in order to provide guidance to optimize these factors and obtain more reliable results.","author":[{"dropping-particle":"","family":"Garcia-Solsona","given":"E.","non-dropping-particle":"","parse-names":false,"suffix":""},{"dropping-particle":"","family":"Garcia-Orellana","given":"J.","non-dropping-particle":"","parse-names":false,"suffix":""},{"dropping-particle":"","family":"Masqué","given":"P.","non-dropping-particle":"","parse-names":false,"suffix":""},{"dropping-particle":"","family":"Dulaiova","given":"H.","non-dropping-particle":"","parse-names":false,"suffix":""}],"container-title":"Marine Chemistry","id":"ITEM-1","issue":"3-4","issued":{"date-parts":[["2008","4","16"]]},"page":"198-219","publisher":"Elsevier","title":"Uncertainties associated with 223Ra and 224Ra measurements in water via a Delayed Coincidence Counter (RaDeCC)","type":"article-journal","volume":"109"},"uris":["http://www.mendeley.com/documents/?uuid=fe7ab6a8-5bf1-3105-ba22-d9c176021803"]}],"mendeley":{"formattedCitation":"(Garcia-Solsona et al. 2008)","plainTextFormattedCitation":"(Garcia-Solsona et al. 2008)","previouslyFormattedCitation":"(Garcia-Solsona, Garcia-Orellana, Masqué, &amp; Dulaiova, 2008)"},"properties":{"noteIndex":0},"schema":"https://github.com/citation-style-language/schema/raw/master/csl-citation.json"}</w:instrText>
      </w:r>
      <w:r w:rsidRPr="007517FA">
        <w:rPr>
          <w:rFonts w:eastAsia="Calibri" w:cs="Times New Roman"/>
          <w:noProof/>
        </w:rPr>
        <w:fldChar w:fldCharType="separate"/>
      </w:r>
      <w:r w:rsidR="00950B3C" w:rsidRPr="00950B3C">
        <w:rPr>
          <w:rFonts w:eastAsia="Calibri" w:cs="Times New Roman"/>
          <w:noProof/>
        </w:rPr>
        <w:t>(Garcia-Solsona et al. 2008)</w:t>
      </w:r>
      <w:r w:rsidRPr="007517FA">
        <w:rPr>
          <w:rFonts w:eastAsia="Calibri" w:cs="Times New Roman"/>
          <w:noProof/>
        </w:rPr>
        <w:fldChar w:fldCharType="end"/>
      </w:r>
      <w:r w:rsidRPr="007517FA">
        <w:rPr>
          <w:rFonts w:cs="Times New Roman"/>
        </w:rPr>
        <w:t>.</w:t>
      </w:r>
      <w:r w:rsidRPr="48E34BE9">
        <w:t xml:space="preserve"> </w:t>
      </w:r>
      <w:proofErr w:type="spellStart"/>
      <w:r>
        <w:t>DSi</w:t>
      </w:r>
      <w:proofErr w:type="spellEnd"/>
      <w:r>
        <w:t xml:space="preserve"> samples were filtered with cellulose acetate filters (pore size 0.45 µm) in the field, poisoned with HgCl</w:t>
      </w:r>
      <w:r w:rsidRPr="00281B5C">
        <w:rPr>
          <w:vertAlign w:val="subscript"/>
        </w:rPr>
        <w:t>2</w:t>
      </w:r>
      <w:r>
        <w:t xml:space="preserve"> and stored on ice until analysis using standard photometrical methods </w:t>
      </w:r>
      <w:r>
        <w:fldChar w:fldCharType="begin" w:fldLock="1"/>
      </w:r>
      <w:r w:rsidR="00950B3C">
        <w:instrText>ADDIN CSL_CITATION {"citationItems":[{"id":"ITEM-1","itemData":{"author":[{"dropping-particle":"","family":"Grasshoff","given":"K","non-dropping-particle":"","parse-names":false,"suffix":""},{"dropping-particle":"","family":"Kremling","given":"K","non-dropping-particle":"","parse-names":false,"suffix":""},{"dropping-particle":"","family":"Ehrhardt","given":"M","non-dropping-particle":"","parse-names":false,"suffix":""}],"id":"ITEM-1","issued":{"date-parts":[["2009"]]},"number-of-pages":"159 pp","publisher":"John Wiley &amp; Sons","title":"Methods of seawater analysis","type":"book"},"uris":["http://www.mendeley.com/documents/?uuid=a216ca18-551a-4671-bc66-971015f592ec"]}],"mendeley":{"formattedCitation":"(Grasshoff et al. 2009)","plainTextFormattedCitation":"(Grasshoff et al. 2009)","previouslyFormattedCitation":"(Grasshoff, Kremling, &amp; Ehrhardt, 2009)"},"properties":{"noteIndex":0},"schema":"https://github.com/citation-style-language/schema/raw/master/csl-citation.json"}</w:instrText>
      </w:r>
      <w:r>
        <w:fldChar w:fldCharType="separate"/>
      </w:r>
      <w:r w:rsidR="00950B3C" w:rsidRPr="00950B3C">
        <w:rPr>
          <w:noProof/>
        </w:rPr>
        <w:t>(Grasshoff et al. 2009)</w:t>
      </w:r>
      <w:r>
        <w:fldChar w:fldCharType="end"/>
      </w:r>
      <w:r>
        <w:t>. Salinity was measured in the field using a handheld salinity meter (WTW</w:t>
      </w:r>
      <w:r>
        <w:rPr>
          <w:vertAlign w:val="superscript"/>
        </w:rPr>
        <w:t>TM</w:t>
      </w:r>
      <w:r w:rsidRPr="48E34BE9">
        <w:t xml:space="preserve"> </w:t>
      </w:r>
      <w:proofErr w:type="spellStart"/>
      <w:r>
        <w:t>TetraCon</w:t>
      </w:r>
      <w:proofErr w:type="spellEnd"/>
      <w:r>
        <w:t xml:space="preserve"> 925-P).</w:t>
      </w:r>
    </w:p>
    <w:p w14:paraId="689A6941" w14:textId="77777777" w:rsidR="006745CD" w:rsidRDefault="006745CD" w:rsidP="00E520C4">
      <w:pPr>
        <w:pStyle w:val="Heading3"/>
        <w:numPr>
          <w:ilvl w:val="0"/>
          <w:numId w:val="0"/>
        </w:numPr>
        <w:ind w:left="567" w:hanging="567"/>
      </w:pPr>
      <w:r>
        <w:t>1.3 Calculations</w:t>
      </w:r>
    </w:p>
    <w:p w14:paraId="06C4D82E" w14:textId="24C43C48" w:rsidR="006745CD" w:rsidRDefault="006745CD" w:rsidP="006745CD">
      <w:pPr>
        <w:tabs>
          <w:tab w:val="left" w:pos="8789"/>
        </w:tabs>
      </w:pPr>
      <w:r>
        <w:t xml:space="preserve">The residence time of the coastal water in the embayment was calculated based on a tidal prism approach after </w:t>
      </w:r>
      <w:r>
        <w:fldChar w:fldCharType="begin" w:fldLock="1"/>
      </w:r>
      <w:r w:rsidR="00950B3C">
        <w:instrText>ADDIN CSL_CITATION {"citationItems":[{"id":"ITEM-1","itemData":{"DOI":"10.1061/(ASCE)0733-950X(1992)118:6(635)","ISSN":"0733-950X","author":[{"dropping-particle":"","family":"Sanford","given":"Lawrence P.","non-dropping-particle":"","parse-names":false,"suffix":""},{"dropping-particle":"","family":"Boicourt","given":"William C.","non-dropping-particle":"","parse-names":false,"suffix":""},{"dropping-particle":"","family":"Rives","given":"Stephen R.","non-dropping-particle":"","parse-names":false,"suffix":""}],"container-title":"Journal of Waterway, Port, Coastal, and Ocean Engineering","id":"ITEM-1","issue":"6","issued":{"date-parts":[["1992","11"]]},"page":"635-654","title":"Model for Estimating Tidal Flushing of Small Embayments","type":"article-journal","volume":"118"},"uris":["http://www.mendeley.com/documents/?uuid=1943e640-dc44-3748-b084-9c12402859ed"]}],"mendeley":{"formattedCitation":"(Sanford et al. 1992)","manualFormatting":"Sanford et al. (1992)","plainTextFormattedCitation":"(Sanford et al. 1992)","previouslyFormattedCitation":"(Sanford, Boicourt, &amp; Rives, 1992)"},"properties":{"noteIndex":0},"schema":"https://github.com/citation-style-language/schema/raw/master/csl-citation.json"}</w:instrText>
      </w:r>
      <w:r>
        <w:fldChar w:fldCharType="separate"/>
      </w:r>
      <w:r w:rsidRPr="0084295F">
        <w:rPr>
          <w:noProof/>
        </w:rPr>
        <w:t xml:space="preserve">Sanford et al. </w:t>
      </w:r>
      <w:r>
        <w:rPr>
          <w:noProof/>
        </w:rPr>
        <w:t>(</w:t>
      </w:r>
      <w:r w:rsidRPr="0084295F">
        <w:rPr>
          <w:noProof/>
        </w:rPr>
        <w:t>1992)</w:t>
      </w:r>
      <w:r>
        <w:fldChar w:fldCharType="end"/>
      </w:r>
      <w:r>
        <w:t>:</w:t>
      </w:r>
    </w:p>
    <w:p w14:paraId="48A60FF6" w14:textId="77777777" w:rsidR="006745CD" w:rsidRDefault="006745CD" w:rsidP="006745CD">
      <w:pPr>
        <w:tabs>
          <w:tab w:val="left" w:pos="8789"/>
        </w:tabs>
        <w:jc w:val="right"/>
      </w:pPr>
      <m:oMath>
        <m:r>
          <w:rPr>
            <w:rFonts w:ascii="Cambria Math" w:hAnsi="Cambria Math"/>
          </w:rPr>
          <m:t>Tf=</m:t>
        </m:r>
        <m:f>
          <m:fPr>
            <m:ctrlPr>
              <w:rPr>
                <w:rFonts w:ascii="Cambria Math" w:hAnsi="Cambria Math"/>
                <w:i/>
                <w:iCs/>
              </w:rPr>
            </m:ctrlPr>
          </m:fPr>
          <m:num>
            <m:r>
              <w:rPr>
                <w:rFonts w:ascii="Cambria Math" w:hAnsi="Cambria Math"/>
              </w:rPr>
              <m:t>V*T</m:t>
            </m:r>
          </m:num>
          <m:den>
            <m:r>
              <w:rPr>
                <w:rFonts w:ascii="Cambria Math" w:hAnsi="Cambria Math"/>
              </w:rPr>
              <m:t>(1-b)*P</m:t>
            </m:r>
          </m:den>
        </m:f>
      </m:oMath>
      <w:r w:rsidRPr="006864C6">
        <w:rPr>
          <w:i/>
          <w:iCs/>
        </w:rPr>
        <w:t xml:space="preserve"> </w:t>
      </w:r>
      <w:r>
        <w:rPr>
          <w:i/>
          <w:iCs/>
        </w:rPr>
        <w:t xml:space="preserve">                                                                      </w:t>
      </w:r>
      <w:r w:rsidRPr="006864C6">
        <w:rPr>
          <w:i/>
          <w:iCs/>
        </w:rPr>
        <w:t>(eq</w:t>
      </w:r>
      <w:r w:rsidRPr="2F41CFD7">
        <w:t xml:space="preserve">. </w:t>
      </w:r>
      <w:r>
        <w:t>3</w:t>
      </w:r>
      <w:r w:rsidRPr="2F41CFD7">
        <w:t>)</w:t>
      </w:r>
    </w:p>
    <w:p w14:paraId="25BF3380" w14:textId="5DF074BF" w:rsidR="006745CD" w:rsidRDefault="006745CD" w:rsidP="006745CD">
      <w:pPr>
        <w:tabs>
          <w:tab w:val="left" w:pos="8789"/>
        </w:tabs>
      </w:pPr>
      <w:proofErr w:type="gramStart"/>
      <w:r>
        <w:t>where</w:t>
      </w:r>
      <w:proofErr w:type="gramEnd"/>
      <w:r>
        <w:t xml:space="preserve"> </w:t>
      </w:r>
      <w:proofErr w:type="spellStart"/>
      <w:r>
        <w:t>T</w:t>
      </w:r>
      <w:r w:rsidRPr="00740D30">
        <w:rPr>
          <w:i/>
        </w:rPr>
        <w:t>f</w:t>
      </w:r>
      <w:proofErr w:type="spellEnd"/>
      <w:r>
        <w:t xml:space="preserve"> is the residence time (in days), V the volume of the embayment (in m³), T is the tidal period (in days), b is the return flow factor (no unit) and P is the tidal prism (m³). V is calculated as the average water depth multiplied by the surface area of the embayment, and P is the tidal range multiplied by the surface area. The return </w:t>
      </w:r>
      <w:r w:rsidR="00674C2D">
        <w:t xml:space="preserve">flow </w:t>
      </w:r>
      <w:r>
        <w:t xml:space="preserve">factor b can be calculated with equation 4 </w:t>
      </w:r>
      <w:r>
        <w:fldChar w:fldCharType="begin" w:fldLock="1"/>
      </w:r>
      <w:r w:rsidR="00950B3C">
        <w:instrText>ADDIN CSL_CITATION {"citationItems":[{"id":"ITEM-1","itemData":{"DOI":"10.1029/2005JC003041","ISSN":"0148-0227","author":[{"dropping-particle":"","family":"Moore","given":"Willard S.","non-dropping-particle":"","parse-names":false,"suffix":""},{"dropping-particle":"","family":"Blanton","given":"Jackson O.","non-dropping-particle":"","parse-names":false,"suffix":""},{"dropping-particle":"","family":"Joye","given":"Samantha B.","non-dropping-particle":"","parse-names":false,"suffix":""}],"container-title":"Journal of Geophysical Research","id":"ITEM-1","issue":"C9","issued":{"date-parts":[["2006","9","1"]]},"page":"C09006","publisher":"Wiley-Blackwell","title":"Estimates of flushing times, submarine groundwater discharge, and nutrient fluxes to Okatee Estuary, South Carolina","type":"article-journal","volume":"111"},"uris":["http://www.mendeley.com/documents/?uuid=b897ed9e-81e7-3cd9-89b3-9b18455b3c92"]}],"mendeley":{"formattedCitation":"(Moore et al. 2006)","plainTextFormattedCitation":"(Moore et al. 2006)","previouslyFormattedCitation":"(Willard S. Moore, Blanton, &amp; Joye, 2006)"},"properties":{"noteIndex":0},"schema":"https://github.com/citation-style-language/schema/raw/master/csl-citation.json"}</w:instrText>
      </w:r>
      <w:r>
        <w:fldChar w:fldCharType="separate"/>
      </w:r>
      <w:r w:rsidR="00950B3C" w:rsidRPr="00950B3C">
        <w:rPr>
          <w:noProof/>
        </w:rPr>
        <w:t>(Moore et al. 2006)</w:t>
      </w:r>
      <w:r>
        <w:fldChar w:fldCharType="end"/>
      </w:r>
      <w:r>
        <w:t>:</w:t>
      </w:r>
    </w:p>
    <w:p w14:paraId="332774E4" w14:textId="4B5C4AFB" w:rsidR="006745CD" w:rsidRDefault="006745CD" w:rsidP="006745CD">
      <w:pPr>
        <w:tabs>
          <w:tab w:val="left" w:pos="8789"/>
        </w:tabs>
        <w:jc w:val="right"/>
      </w:pPr>
      <m:oMath>
        <m:r>
          <w:rPr>
            <w:rFonts w:ascii="Cambria Math" w:hAnsi="Cambria Math"/>
          </w:rPr>
          <m:t>b=</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sw</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sw</m:t>
                </m:r>
              </m:sub>
            </m:sSub>
            <m:r>
              <w:rPr>
                <w:rFonts w:ascii="Cambria Math" w:hAnsi="Cambria Math"/>
              </w:rPr>
              <m:t>)</m:t>
            </m:r>
          </m:den>
        </m:f>
      </m:oMath>
      <w:r>
        <w:t xml:space="preserve">                                                                          (eq. 4)</w:t>
      </w:r>
    </w:p>
    <w:p w14:paraId="0BBC1BEF" w14:textId="26EC7ABD" w:rsidR="006745CD" w:rsidRDefault="006745CD" w:rsidP="006745CD">
      <w:pPr>
        <w:tabs>
          <w:tab w:val="left" w:pos="8789"/>
        </w:tabs>
      </w:pPr>
      <w:proofErr w:type="gramStart"/>
      <w:r>
        <w:t>with</w:t>
      </w:r>
      <w:proofErr w:type="gramEnd"/>
      <w:r>
        <w:t xml:space="preserve"> </w:t>
      </w:r>
      <w:proofErr w:type="spellStart"/>
      <w:r w:rsidRPr="00CE57E8">
        <w:t>c</w:t>
      </w:r>
      <w:r w:rsidR="00740D30">
        <w:rPr>
          <w:vertAlign w:val="subscript"/>
        </w:rPr>
        <w:t>f</w:t>
      </w:r>
      <w:proofErr w:type="spellEnd"/>
      <w:r>
        <w:t xml:space="preserve"> as the concentration of a tracer during flood tide, </w:t>
      </w:r>
      <w:proofErr w:type="spellStart"/>
      <w:r>
        <w:t>c</w:t>
      </w:r>
      <w:r w:rsidRPr="00CE57E8">
        <w:rPr>
          <w:vertAlign w:val="subscript"/>
        </w:rPr>
        <w:t>SW</w:t>
      </w:r>
      <w:proofErr w:type="spellEnd"/>
      <w:r>
        <w:t xml:space="preserve"> as the concentration of a tracer in seawater, and </w:t>
      </w:r>
      <w:proofErr w:type="spellStart"/>
      <w:r w:rsidRPr="00CE57E8">
        <w:t>c</w:t>
      </w:r>
      <w:r w:rsidR="00740D30">
        <w:rPr>
          <w:vertAlign w:val="subscript"/>
        </w:rPr>
        <w:t>e</w:t>
      </w:r>
      <w:proofErr w:type="spellEnd"/>
      <w:r>
        <w:t xml:space="preserve"> as the concentration of a tracer during ebb tide. We used time series data of </w:t>
      </w:r>
      <w:proofErr w:type="spellStart"/>
      <w:r>
        <w:t>DSi</w:t>
      </w:r>
      <w:proofErr w:type="spellEnd"/>
      <w:r>
        <w:t xml:space="preserve"> to calculate the return flow factor. </w:t>
      </w:r>
    </w:p>
    <w:p w14:paraId="4A884FC7" w14:textId="77777777" w:rsidR="006745CD" w:rsidRDefault="006745CD" w:rsidP="006745CD">
      <w:pPr>
        <w:tabs>
          <w:tab w:val="left" w:pos="8789"/>
        </w:tabs>
      </w:pPr>
      <w:r>
        <w:t>SGD fluxes were calculated based on a simple mass balance approach with</w:t>
      </w:r>
    </w:p>
    <w:p w14:paraId="6A6968B8" w14:textId="77777777" w:rsidR="006745CD" w:rsidRPr="00CE57E8" w:rsidRDefault="006745CD" w:rsidP="006745CD">
      <w:pPr>
        <w:tabs>
          <w:tab w:val="left" w:pos="8789"/>
        </w:tabs>
        <w:jc w:val="right"/>
      </w:pPr>
      <w:r>
        <w:t xml:space="preserve"> </w:t>
      </w:r>
      <m:oMath>
        <m:r>
          <w:rPr>
            <w:rFonts w:ascii="Cambria Math" w:hAnsi="Cambria Math"/>
          </w:rPr>
          <m:t>SGD=</m:t>
        </m:r>
        <m:f>
          <m:fPr>
            <m:ctrlPr>
              <w:rPr>
                <w:rFonts w:ascii="Cambria Math" w:hAnsi="Cambria Math"/>
                <w:i/>
              </w:rPr>
            </m:ctrlPr>
          </m:fPr>
          <m:num>
            <m:r>
              <w:rPr>
                <w:rFonts w:ascii="Cambria Math" w:hAnsi="Cambria Math"/>
              </w:rPr>
              <m:t>V</m:t>
            </m:r>
          </m:num>
          <m:den>
            <m:r>
              <w:rPr>
                <w:rFonts w:ascii="Cambria Math" w:hAnsi="Cambria Math"/>
              </w:rPr>
              <m:t>Tf</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coast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sw</m:t>
                </m:r>
              </m:sub>
            </m:sSub>
          </m:num>
          <m:den>
            <m:sSub>
              <m:sSubPr>
                <m:ctrlPr>
                  <w:rPr>
                    <w:rFonts w:ascii="Cambria Math" w:hAnsi="Cambria Math"/>
                    <w:i/>
                  </w:rPr>
                </m:ctrlPr>
              </m:sSubPr>
              <m:e>
                <m:r>
                  <w:rPr>
                    <w:rFonts w:ascii="Cambria Math" w:hAnsi="Cambria Math"/>
                  </w:rPr>
                  <m:t>c</m:t>
                </m:r>
              </m:e>
              <m:sub>
                <m:r>
                  <w:rPr>
                    <w:rFonts w:ascii="Cambria Math" w:hAnsi="Cambria Math"/>
                  </w:rPr>
                  <m:t>endmember</m:t>
                </m:r>
              </m:sub>
            </m:sSub>
          </m:den>
        </m:f>
      </m:oMath>
      <w:r>
        <w:t xml:space="preserve">                                                        (eq. 5)</w:t>
      </w:r>
    </w:p>
    <w:p w14:paraId="68E35C78" w14:textId="6E0D8943" w:rsidR="00E520C4" w:rsidRDefault="006745CD" w:rsidP="006745CD">
      <w:pPr>
        <w:tabs>
          <w:tab w:val="left" w:pos="8789"/>
        </w:tabs>
      </w:pPr>
      <w:r>
        <w:t xml:space="preserve">Where </w:t>
      </w:r>
      <w:proofErr w:type="spellStart"/>
      <w:r>
        <w:t>c</w:t>
      </w:r>
      <w:r w:rsidRPr="00CE57E8">
        <w:rPr>
          <w:vertAlign w:val="subscript"/>
        </w:rPr>
        <w:t>coast</w:t>
      </w:r>
      <w:proofErr w:type="spellEnd"/>
      <w:r>
        <w:t xml:space="preserve"> is the average concentration of a tracer in the coastal water and </w:t>
      </w:r>
      <w:proofErr w:type="spellStart"/>
      <w:r>
        <w:t>c</w:t>
      </w:r>
      <w:r w:rsidRPr="00CE57E8">
        <w:rPr>
          <w:vertAlign w:val="subscript"/>
        </w:rPr>
        <w:t>endmember</w:t>
      </w:r>
      <w:proofErr w:type="spellEnd"/>
      <w:r>
        <w:rPr>
          <w:vertAlign w:val="subscript"/>
        </w:rPr>
        <w:t xml:space="preserve"> </w:t>
      </w:r>
      <w:r>
        <w:t xml:space="preserve">is the endmember concentration of a tracer in groundwater. This calculation assumes that </w:t>
      </w:r>
      <w:proofErr w:type="spellStart"/>
      <w:r>
        <w:t>DSi</w:t>
      </w:r>
      <w:proofErr w:type="spellEnd"/>
      <w:r>
        <w:t xml:space="preserve"> behaves conservatively</w:t>
      </w:r>
      <w:r w:rsidR="00740D30">
        <w:t>.</w:t>
      </w:r>
      <w:r>
        <w:t xml:space="preserve"> Dividing eq</w:t>
      </w:r>
      <w:r w:rsidR="00740D30">
        <w:t>.</w:t>
      </w:r>
      <w:r>
        <w:t xml:space="preserve"> 5 by the area under study leads to a SGD velocity (typically in cm day</w:t>
      </w:r>
      <w:r w:rsidRPr="00F66F0B">
        <w:rPr>
          <w:vertAlign w:val="superscript"/>
        </w:rPr>
        <w:t>-1</w:t>
      </w:r>
      <w:r>
        <w:t>), which is commonly used in SGD studies.</w:t>
      </w:r>
      <w:r w:rsidR="00E520C4">
        <w:br w:type="page"/>
      </w:r>
    </w:p>
    <w:p w14:paraId="265FB624" w14:textId="2C1E6DBC" w:rsidR="00E520C4" w:rsidRDefault="00E520C4" w:rsidP="00E520C4">
      <w:pPr>
        <w:pStyle w:val="Heading2"/>
        <w:keepNext/>
        <w:keepLines/>
        <w:numPr>
          <w:ilvl w:val="0"/>
          <w:numId w:val="21"/>
        </w:numPr>
        <w:spacing w:before="200" w:after="0"/>
      </w:pPr>
      <w:r>
        <w:lastRenderedPageBreak/>
        <w:t xml:space="preserve">Study Site </w:t>
      </w:r>
      <w:proofErr w:type="spellStart"/>
      <w:r>
        <w:t>Spiekeroog</w:t>
      </w:r>
      <w:proofErr w:type="spellEnd"/>
      <w:r>
        <w:t xml:space="preserve"> (North Sea)</w:t>
      </w:r>
    </w:p>
    <w:p w14:paraId="40DB51FA" w14:textId="77777777" w:rsidR="00E520C4" w:rsidRDefault="00E520C4" w:rsidP="00E520C4">
      <w:pPr>
        <w:pStyle w:val="Heading3"/>
        <w:numPr>
          <w:ilvl w:val="0"/>
          <w:numId w:val="0"/>
        </w:numPr>
        <w:ind w:left="567" w:hanging="567"/>
      </w:pPr>
      <w:r>
        <w:t>2.1 Site description</w:t>
      </w:r>
    </w:p>
    <w:p w14:paraId="38E4C7ED" w14:textId="70353C91" w:rsidR="00E520C4" w:rsidRPr="00DD19C0" w:rsidRDefault="00E520C4" w:rsidP="00E520C4">
      <w:r w:rsidRPr="00DD19C0">
        <w:t xml:space="preserve">The </w:t>
      </w:r>
      <w:proofErr w:type="spellStart"/>
      <w:r w:rsidRPr="00DD19C0">
        <w:t>Wadden</w:t>
      </w:r>
      <w:proofErr w:type="spellEnd"/>
      <w:r w:rsidRPr="00DD19C0">
        <w:t xml:space="preserve"> Sea is the largest tidal flat system in the temperate world stretching for almost 500 km along the Dutch, German and Danish North Sea coast. Due to its outstanding natural value, the </w:t>
      </w:r>
      <w:proofErr w:type="spellStart"/>
      <w:r w:rsidRPr="00DD19C0">
        <w:t>Wadden</w:t>
      </w:r>
      <w:proofErr w:type="spellEnd"/>
      <w:r w:rsidRPr="00DD19C0">
        <w:t xml:space="preserve"> Sea has been inscribed to the World Heritage List in 2009 and often serves as a worldwide reference for comparisons with other tidal flat systems. The area has a temperate climate with a mean annual temperature of 10°C and an annual precipitation of around 760 mm </w:t>
      </w:r>
      <w:r w:rsidRPr="00DD19C0">
        <w:fldChar w:fldCharType="begin" w:fldLock="1"/>
      </w:r>
      <w:r w:rsidR="00950B3C">
        <w:instrText>ADDIN CSL_CITATION {"citationItems":[{"id":"ITEM-1","itemData":{"container-title":"Deutscher Wetterdienst, Zentraler Vertrieb Klima und Umwelt, Offenbach, Germany","id":"ITEM-1","issued":{"date-parts":[["0"]]},"page":"https://www.dwd.de/DE/leistungen/klimadatendeutsch","title":"DWD German weather service, station Helgoland","type":"article-journal"},"uris":["http://www.mendeley.com/documents/?uuid=b182be87-3301-4a54-a9de-7098a80f3690","http://www.mendeley.com/documents/?uuid=885a1431-9265-48a2-a42b-30809e928762"]}],"mendeley":{"formattedCitation":"([CSL STYLE ERROR: reference with no printed form.])","manualFormatting":"(DWD German weather service)","plainTextFormattedCitation":"([CSL STYLE ERROR: reference with no printed form.])","previouslyFormattedCitation":"(“DWD German weather service, station Helgoland,” n.d.)"},"properties":{"noteIndex":0},"schema":"https://github.com/citation-style-language/schema/raw/master/csl-citation.json"}</w:instrText>
      </w:r>
      <w:r w:rsidRPr="00DD19C0">
        <w:fldChar w:fldCharType="separate"/>
      </w:r>
      <w:r w:rsidRPr="00DD19C0">
        <w:rPr>
          <w:noProof/>
        </w:rPr>
        <w:t>(DWD German weather service)</w:t>
      </w:r>
      <w:r w:rsidRPr="00DD19C0">
        <w:fldChar w:fldCharType="end"/>
      </w:r>
      <w:r w:rsidRPr="00DD19C0">
        <w:t xml:space="preserve">. In the southern part, the tidal flat area is bordered by the coastline and a chain of barrier islands which is located some kilometers offshore. The semi-enclosed area belonging to one </w:t>
      </w:r>
      <w:proofErr w:type="gramStart"/>
      <w:r w:rsidRPr="00DD19C0">
        <w:t>barrier island</w:t>
      </w:r>
      <w:proofErr w:type="gramEnd"/>
      <w:r w:rsidRPr="00DD19C0">
        <w:t xml:space="preserve"> is called tidal basin. Tidal inlets between the barrier islands enable water exchange between the tidal basins and the North Sea. The tidal basins are composed of </w:t>
      </w:r>
      <w:r w:rsidRPr="00DD19C0">
        <w:rPr>
          <w:lang w:val="en-GB"/>
        </w:rPr>
        <w:t>sand</w:t>
      </w:r>
      <w:r>
        <w:rPr>
          <w:lang w:val="en-GB"/>
        </w:rPr>
        <w:t xml:space="preserve">, mixed, </w:t>
      </w:r>
      <w:r w:rsidRPr="00DD19C0">
        <w:rPr>
          <w:lang w:val="en-GB"/>
        </w:rPr>
        <w:t xml:space="preserve">and mud flats, which are subdivided according to their proportions of sand and clay </w:t>
      </w:r>
      <w:r w:rsidRPr="00DD19C0">
        <w:rPr>
          <w:lang w:val="en-GB"/>
        </w:rPr>
        <w:fldChar w:fldCharType="begin" w:fldLock="1"/>
      </w:r>
      <w:r w:rsidR="00950B3C">
        <w:rPr>
          <w:lang w:val="en-GB"/>
        </w:rPr>
        <w:instrText>ADDIN CSL_CITATION {"citationItems":[{"id":"ITEM-1","itemData":{"DOI":"10.1016/S0278-4343(00)00015-7","ISBN":"0278-4343","ISSN":"02784343","abstract":"A revised textural classification of gravel-free muddy sediments based on the adaptation, modification and expansion of previous schemes using ternary plots is presented. The new approach increases the range of application and the environmental sensitivity of textural sediment classification. In the case of simple two-component sand/mud mixtures, six sediment types based on mud (silt + clay) or sand content are distinguished: sand (&lt; 5% mud), slightly muddy sand (5-25% mud), muddy sand (25-50% mud), sandy mud (50-75% mud), slightly sandy mud (75-95% mud), and mud (&gt; 95% mud). The class names accurately describe a sediment within defined textural limits, and the scheme can thus be used to divide a depositional environment into textural sub-environments or facies. By diagonally subdividing the two-component system, a more complex three-component classification scheme based on sand/silt/clay ratios has been generated. In this scheme, 25 sediment classes are distinguished, each defined by a generic name and a letter-number code. It not only allows a more detailed textural subdivision of sedimentary environments than the two-component system, but also incorporates a genetic element by distinguishing between different hydrodynamic regimes. Thus, sandier and more silty sediments, reflecting deposition under higher energy conditions, are progressively segregated from muddier and more clayey sediments which reflect deposition under lower energy conditions. This is illustrated with examples from a variety of intertidal and open shelf environments. In addition, the letter-number codes can be used to label sediment facies maps, annotate stratigraphic sections and structure data banks. The two classification schemes are complementary, offering two levels of resolution and fulfilling the basic requirements of practicality, ease of use and global applicability. (C) 2000 Elsevier Science Ltd.","author":[{"dropping-particle":"","family":"Flemming","given":"B. W.","non-dropping-particle":"","parse-names":false,"suffix":""}],"container-title":"Continental Shelf Research","id":"ITEM-1","issued":{"date-parts":[["2000"]]},"title":"A revised textural classification of gravel-free muddy sediments on the basis of ternary diagrams","type":"article-journal"},"uris":["http://www.mendeley.com/documents/?uuid=48365c8c-bd4b-3813-9a85-6861de4cf2a9","http://www.mendeley.com/documents/?uuid=888a2cc2-2a7d-45e1-ac9c-7ffc97431077"]}],"mendeley":{"formattedCitation":"(Flemming 2000)","plainTextFormattedCitation":"(Flemming 2000)","previouslyFormattedCitation":"(B. W. Flemming, 2000)"},"properties":{"noteIndex":0},"schema":"https://github.com/citation-style-language/schema/raw/master/csl-citation.json"}</w:instrText>
      </w:r>
      <w:r w:rsidRPr="00DD19C0">
        <w:rPr>
          <w:lang w:val="en-GB"/>
        </w:rPr>
        <w:fldChar w:fldCharType="separate"/>
      </w:r>
      <w:r w:rsidR="00950B3C" w:rsidRPr="00950B3C">
        <w:rPr>
          <w:noProof/>
          <w:lang w:val="en-GB"/>
        </w:rPr>
        <w:t>(Flemming 2000)</w:t>
      </w:r>
      <w:r w:rsidRPr="00DD19C0">
        <w:rPr>
          <w:lang w:val="en-GB"/>
        </w:rPr>
        <w:fldChar w:fldCharType="end"/>
      </w:r>
      <w:r w:rsidRPr="00DD19C0">
        <w:rPr>
          <w:lang w:val="en-GB"/>
        </w:rPr>
        <w:t xml:space="preserve">. </w:t>
      </w:r>
    </w:p>
    <w:p w14:paraId="3BD69C59" w14:textId="7A6BFCA9" w:rsidR="00E520C4" w:rsidRPr="00DD19C0" w:rsidRDefault="00E520C4" w:rsidP="00E520C4">
      <w:r w:rsidRPr="00DD19C0">
        <w:t xml:space="preserve">The study was carried out in the tidal basin of </w:t>
      </w:r>
      <w:proofErr w:type="spellStart"/>
      <w:r w:rsidRPr="00DD19C0">
        <w:t>Spiekeroog</w:t>
      </w:r>
      <w:proofErr w:type="spellEnd"/>
      <w:r w:rsidRPr="00DD19C0">
        <w:t xml:space="preserve"> Island, NW Germany, which is affected by semi diurnal tides and a</w:t>
      </w:r>
      <w:r>
        <w:t>n average</w:t>
      </w:r>
      <w:r w:rsidRPr="00DD19C0">
        <w:t xml:space="preserve"> tidal range of 2.6 m </w:t>
      </w:r>
      <w:r w:rsidRPr="00DD19C0">
        <w:fldChar w:fldCharType="begin" w:fldLock="1"/>
      </w:r>
      <w:r w:rsidR="00950B3C">
        <w:instrText>ADDIN CSL_CITATION {"citationItems":[{"id":"ITEM-1","itemData":{"author":[{"dropping-particle":"","family":"Flemming","given":"Burghard W.","non-dropping-particle":"","parse-names":false,"suffix":""},{"dropping-particle":"","family":"Davies Jr.","given":"Richard A.","non-dropping-particle":"","parse-names":false,"suffix":""}],"container-title":"Senckenbergiana Maritima","id":"ITEM-1","issued":{"date-parts":[["1994"]]},"page":"117-155","title":"Holocene evolution, morphodynamics and sedimentology of the Spiekeroog barrier isalnd system (southtern North Sea)","type":"article-journal","volume":"24"},"uris":["http://www.mendeley.com/documents/?uuid=d511af40-1ce8-4d59-946e-53a145979fb0","http://www.mendeley.com/documents/?uuid=d19e678e-bc9a-4f47-8bd9-ee3fac25fe87"]}],"mendeley":{"formattedCitation":"(Flemming and Davies Jr. 1994)","plainTextFormattedCitation":"(Flemming and Davies Jr. 1994)","previouslyFormattedCitation":"(Burghard W. Flemming &amp; Davies Jr., 1994)"},"properties":{"noteIndex":0},"schema":"https://github.com/citation-style-language/schema/raw/master/csl-citation.json"}</w:instrText>
      </w:r>
      <w:r w:rsidRPr="00DD19C0">
        <w:fldChar w:fldCharType="separate"/>
      </w:r>
      <w:r w:rsidR="00950B3C" w:rsidRPr="00950B3C">
        <w:rPr>
          <w:noProof/>
        </w:rPr>
        <w:t>(Flemming and Davies Jr. 1994)</w:t>
      </w:r>
      <w:r w:rsidRPr="00DD19C0">
        <w:fldChar w:fldCharType="end"/>
      </w:r>
      <w:r w:rsidRPr="00DD19C0">
        <w:t xml:space="preserve">. The intertidal area covers about 80% of the tidal basin </w:t>
      </w:r>
      <w:r w:rsidRPr="00DD19C0">
        <w:fldChar w:fldCharType="begin" w:fldLock="1"/>
      </w:r>
      <w:r w:rsidR="00950B3C">
        <w:instrText>ADDIN CSL_CITATION {"citationItems":[{"id":"ITEM-1","itemData":{"abstract":"In this paper we use a combination of nu-merical modeling and data analysis to gain a better understanding of the major characteristics of the circu-lation in the East Frisian Wadden Sea. In particular, we concentrate on the asymmetry of the tidal wave and its modulation in the coastal area, which results in a com-plex pattern of responses to the sea-level forcing from the North Sea. The numerical simulations are based on the 3-D primitive equation General Estuarine Transport Model (GETM) with a horizontal resolution of 200 m and terrain-following vertical coordinates. The model is forced at its open boundaries with sea-level data from an operational model for the German Bight (German Hydrographic Office). The validation data for our model simulations include time series of tidal gauge data and surface currents measured at a pile in the back-barrier basin of the Island Langeoog, as well as several ADCP transects in the Accumer Ee tidal inlet. Circulation and turbulence characteristics are inves-tigated for typical situations driven by spring and neap tides, and the analysis is focused on dominating tem-poral and spatial patterns. By investigating the response of five back-barrier basins with rather different mor-phologies to external forcing, an attempt is made to elucidate the dominating physical balances controlling the circulation in the individual sub-basins. It is dem-onstrated that the friction at the seabed tends to slow down the tidal signal in the shallow water. This leads to the establishment of flood dominance in the shallow sea north of the barrier islands. South of the islands, where the water volume of the channels at low tide is smaller than the tidal prism, the asymmetry of the tidal signal is shifted towards ebb dominance, a feature which is par-ticularly pronounced at spring tide. At the northern open boundary, the tidal wave propagating from west to east generates a sea-level dif-ference of $ 1 m along the boundary, and thereby trig-gers vigorous alongshore currents. The frictional control in the model is located in the inlets, as well as along the northern boundary. The correlation between velocity and turbulent kinetic energy tends to the establishment of a net southward transport, giving theoretical support to the observed accumulation of sediments on the in-tertidal flats. Weak turbulence along the northern shores of the barrier islands and the small magnitude of the residual currents there promote accumulation of sus-pended matte…","author":[{"dropping-particle":"V","family":"Stanev","given":"Emil","non-dropping-particle":"","parse-names":false,"suffix":""},{"dropping-particle":"","family":"Wolff","given":"Jörg-Olaf","non-dropping-particle":"","parse-names":false,"suffix":""},{"dropping-particle":"","family":"Burchard","given":"Hans","non-dropping-particle":"","parse-names":false,"suffix":""},{"dropping-particle":"","family":"Bolding","given":"Karsten","non-dropping-particle":"","parse-names":false,"suffix":""},{"dropping-particle":"","family":"Flöser","given":"Götz","non-dropping-particle":"","parse-names":false,"suffix":""}],"container-title":"Ocean Dynamics","id":"ITEM-1","issued":{"date-parts":[["2003"]]},"page":"27-51","title":"On the circulation in the East Frisian Wadden Sea: numerical modeling and data analysis","type":"article-journal","volume":"53"},"uris":["http://www.mendeley.com/documents/?uuid=44956d86-c9f6-3501-a174-954c53b01b0d","http://www.mendeley.com/documents/?uuid=a04cae8b-8354-481f-b267-fddc15511b06"]}],"mendeley":{"formattedCitation":"(Stanev et al. 2003)","plainTextFormattedCitation":"(Stanev et al. 2003)","previouslyFormattedCitation":"(Stanev, Wolff, Burchard, Bolding, &amp; Flöser, 2003)"},"properties":{"noteIndex":0},"schema":"https://github.com/citation-style-language/schema/raw/master/csl-citation.json"}</w:instrText>
      </w:r>
      <w:r w:rsidRPr="00DD19C0">
        <w:fldChar w:fldCharType="separate"/>
      </w:r>
      <w:r w:rsidR="00950B3C" w:rsidRPr="00950B3C">
        <w:rPr>
          <w:noProof/>
        </w:rPr>
        <w:t>(Stanev et al. 2003)</w:t>
      </w:r>
      <w:r w:rsidRPr="00DD19C0">
        <w:fldChar w:fldCharType="end"/>
      </w:r>
      <w:r w:rsidRPr="00DD19C0">
        <w:t xml:space="preserve">, i.e. large parts of the tidal flat area are exposed for approximately 6 hours during low tide. Tidal flat margins slope towards tidal channels initiating submarine groundwater flow from tidal flat sediments to channel waters around low tide </w:t>
      </w:r>
      <w:r w:rsidRPr="00DD19C0">
        <w:fldChar w:fldCharType="begin" w:fldLock="1"/>
      </w:r>
      <w:r w:rsidR="00950B3C">
        <w:instrText>ADDIN CSL_CITATION {"citationItems":[{"id":"ITEM-1","itemData":{"DOI":"10.1029/2009JC005544","ISBN":"0148-0227","ISSN":"21699291","abstract":"We applied a hydrogeological numerical simulation to investigate spatial and temporal variations in groundwater flow and discharge at a well‐studied tidal flat margin in the German Wadden Sea. The simulation was forced by high‐resolution sea level boundary conditions. Accuracy of the simulation was checked by comparing simulated with measured pressure heads obtained from direct burial pressure sensor measurements. Overall discharge calculated from the simulation for a time period of almost 12 month averages 0.97 m3 per meter of margin length per tide but may vary significantly, most pronounced with the spring‐neap tide cycle. The simulation predicts that the maximum hydraulic gradient at ebb tide controls the magnitude of discharge, whereas duration of ebb tide is less important. Additionally, simulated and measured pressure gradients can be used to investigate the influence of varying lithology on the groundwater flow regime. The presence of a low permeable Holocene silt layer, ubiquitous in the study area, creates a layered unconfined/semiconfined aquifer system. Both parts of the aquifer are hydraulically connected to the deeply incising tidal creek but show a different response to the tidal forcing. Groundwater flow in the upper (unconfined) margin sediments can be described as a circulation of seawater, where inflow and outflow are coupled to changes in saturation. Sediments below the confining layer release groundwater from storage during falling and ebb tide and recharge during rising and high tide. We can show that tidally driven water exchange between semiconfined aquifers and coastal waters may have a major impact on total groundwater discharge.","author":[{"dropping-particle":"","family":"Riedel","given":"Thomas","non-dropping-particle":"","parse-names":false,"suffix":""},{"dropping-particle":"","family":"Lettmann","given":"Karsten","non-dropping-particle":"","parse-names":false,"suffix":""},{"dropping-particle":"","family":"Beck","given":"Melanie","non-dropping-particle":"","parse-names":false,"suffix":""},{"dropping-particle":"","family":"Brumsack","given":"Hans-Jürgen","non-dropping-particle":"","parse-names":false,"suffix":""}],"container-title":"Journal of Geophysical Research","id":"ITEM-1","issued":{"date-parts":[["2010"]]},"page":"C04013","title":"Tidal variations in groundwater storage and associated discharge from an intertidal coastal aquifer","type":"article-journal","volume":"115"},"uris":["http://www.mendeley.com/documents/?uuid=61406e6a-3959-3e52-adc3-0d5f65525de3","http://www.mendeley.com/documents/?uuid=3c077758-b358-4621-be65-a09737101b37"]}],"mendeley":{"formattedCitation":"(Riedel et al. 2010)","plainTextFormattedCitation":"(Riedel et al. 2010)","previouslyFormattedCitation":"(Riedel, Lettmann, Beck, &amp; Brumsack, 2010)"},"properties":{"noteIndex":0},"schema":"https://github.com/citation-style-language/schema/raw/master/csl-citation.json"}</w:instrText>
      </w:r>
      <w:r w:rsidRPr="00DD19C0">
        <w:fldChar w:fldCharType="separate"/>
      </w:r>
      <w:r w:rsidR="00950B3C" w:rsidRPr="00950B3C">
        <w:rPr>
          <w:noProof/>
        </w:rPr>
        <w:t>(Riedel et al. 2010)</w:t>
      </w:r>
      <w:r w:rsidRPr="00DD19C0">
        <w:fldChar w:fldCharType="end"/>
      </w:r>
      <w:r w:rsidRPr="00DD19C0">
        <w:t xml:space="preserve">. Therefore, a sizeable fraction of up to 1% of the water in the tidal basin at low tide is groundwater derived from the adjacent tidal flats </w:t>
      </w:r>
      <w:r w:rsidRPr="00DD19C0">
        <w:fldChar w:fldCharType="begin" w:fldLock="1"/>
      </w:r>
      <w:r w:rsidR="00950B3C">
        <w:instrText>ADDIN CSL_CITATION {"citationItems":[{"id":"ITEM-1","itemData":{"DOI":"10.1016/J.GCA.2011.08.037","ISSN":"0016-7037","abstract":"A decade of studies of metal and nutrient inputs to the back-barrier area of Spiekeroog Island, NW German Wadden Sea, have concluded that pore water discharge provides a significant source of the enrichments of many components measured in the tidal channels during low tide. In this paper we add studies of radium isotopes to help quantify fluxes into and out of this system. Activities of radium isotopes in surface water from tidal channels in the back-barrier area exhibit pronounced changes in concert with the tide, with highest activities occurring near low tide. Other dissolved components: silica, total alkalinity (TA), manganese, and dissolved organic carbon (DOC) exhibit similar changes, with patterns matching the Ra isotopes. Uranium follows a reverse pattern with highest concentrations at high tide. Here we use radium isotope measurements in water column and pore water samples to estimate the fluxes of pore waters that enter the tidal channels during low tide. Using a flushing time of 4 days and the average activities of 224Ra, 223Ra, and 228Ra measured in the back-barrier surface and pore waters, we construct a balance of these isotopes, which is sustained by a deep pore water flux of (2–4)×108L per tidal cycle. This flux transports Ra and the other enriched components to the tidal channels and causes the observed low tide enrichments. An independent estimate of pore water recharge is based on the depletion of U in the tidal channels. The U-based recharge is about two times greater than the Ra-based discharge; however, other sinks of U could reduce the recharge estimate. The pore waters have wide ranges of enrichment in silica, alkalinity, manganese, DOC, and depletion of U with depth. We estimate concentrations of these components in pore water from the depth expected to contribute the majority of the pore water flux, 3.5m, to determine fluxes of these components to the tidal channels. Samples from this depth have minimum concentrations of silica, alkalinity, manganese, and DOC. We also estimate the exports of these components (and import of U) due to mixing based on average measured concentrations in the tidal creeks and the 4-day flushing time. A comparison of these estimates reveals that the exports (negative in the case of U) equal or exceed the pore water fluxes. By using values slightly higher than the minimum concentrations at 3.5m to calculate inputs, the two estimates could be forced to match. We conclude that pore water drainage is the …","author":[{"dropping-particle":"","family":"Moore","given":"W.S.","non-dropping-particle":"","parse-names":false,"suffix":""},{"dropping-particle":"","family":"Beck","given":"M.","non-dropping-particle":"","parse-names":false,"suffix":""},{"dropping-particle":"","family":"Riedel","given":"T.","non-dropping-particle":"","parse-names":false,"suffix":""},{"dropping-particle":"","family":"Rutgers van der Loeff","given":"M.","non-dropping-particle":"","parse-names":false,"suffix":""},{"dropping-particle":"","family":"Dellwig","given":"O.","non-dropping-particle":"","parse-names":false,"suffix":""},{"dropping-particle":"","family":"Shaw","given":"T.J.","non-dropping-particle":"","parse-names":false,"suffix":""},{"dropping-particle":"","family":"Schnetger","given":"B.","non-dropping-particle":"","parse-names":false,"suffix":""},{"dropping-particle":"","family":"Brumsack","given":"H.-J.","non-dropping-particle":"","parse-names":false,"suffix":""}],"container-title":"Geochimica et Cosmochimica Acta","id":"ITEM-1","issue":"21","issued":{"date-parts":[["2011","11","1"]]},"page":"6535-6555","publisher":"Pergamon","title":"Radium-based pore water fluxes of silica, alkalinity, manganese, DOC, and uranium: A decade of studies in the German Wadden Sea","type":"article-journal","volume":"75"},"uris":["http://www.mendeley.com/documents/?uuid=7ca047c5-68a1-3a64-9257-3a9b5c08c75e"]}],"mendeley":{"formattedCitation":"(Moore et al. 2011)","plainTextFormattedCitation":"(Moore et al. 2011)","previouslyFormattedCitation":"(W.S. Moore et al., 2011)"},"properties":{"noteIndex":0},"schema":"https://github.com/citation-style-language/schema/raw/master/csl-citation.json"}</w:instrText>
      </w:r>
      <w:r w:rsidRPr="00DD19C0">
        <w:fldChar w:fldCharType="separate"/>
      </w:r>
      <w:r w:rsidR="00950B3C" w:rsidRPr="00950B3C">
        <w:rPr>
          <w:noProof/>
        </w:rPr>
        <w:t>(Moore et al. 2011)</w:t>
      </w:r>
      <w:r w:rsidRPr="00DD19C0">
        <w:fldChar w:fldCharType="end"/>
      </w:r>
      <w:r w:rsidRPr="00DD19C0">
        <w:t>.</w:t>
      </w:r>
    </w:p>
    <w:p w14:paraId="3338E696" w14:textId="77777777" w:rsidR="00E520C4" w:rsidRDefault="00E520C4" w:rsidP="00E520C4">
      <w:pPr>
        <w:pStyle w:val="Heading3"/>
      </w:pPr>
      <w:r>
        <w:t>2.2 Sample collection and analyses</w:t>
      </w:r>
    </w:p>
    <w:p w14:paraId="28F2E3AF" w14:textId="7189AC9B" w:rsidR="00E520C4" w:rsidRDefault="00E520C4" w:rsidP="00E520C4">
      <w:r>
        <w:t xml:space="preserve">A permanently installed time series station is monitoring </w:t>
      </w:r>
      <w:proofErr w:type="spellStart"/>
      <w:r>
        <w:t>DSi</w:t>
      </w:r>
      <w:proofErr w:type="spellEnd"/>
      <w:r>
        <w:t xml:space="preserve"> in the tidal inlet of </w:t>
      </w:r>
      <w:proofErr w:type="spellStart"/>
      <w:r>
        <w:t>Spiekeroog</w:t>
      </w:r>
      <w:proofErr w:type="spellEnd"/>
      <w:r>
        <w:t xml:space="preserve"> Island since 2006 </w:t>
      </w:r>
      <w:r>
        <w:fldChar w:fldCharType="begin" w:fldLock="1"/>
      </w:r>
      <w:r w:rsidR="00950B3C">
        <w:instrText>ADDIN CSL_CITATION {"citationItems":[{"id":"ITEM-1","itemData":{"DOI":"10.1016/j.marchem.2007.04.003","ISBN":"0304-4203","ISSN":"03044203","abstract":"In autumn 2002 a time-series station was installed in the tidal inlet between the Islands of Langeoog and Spiekeroog (Southern North Sea, NW Germany) to continuously measure physical, chemical, and meteorological parameters, even during extreme weather conditions (gale-force storms, drifting ice). Inside the pole of the station sensor tubes are installed in direction of the prevailing tidal currents. The tubes are equipped with hydrographic sensors (pressure, temperature, conductivity) and allow retrieval of water for nutrient analysis by automated instruments located inside the pole. Dissolved methane and the nutrients ammonia, nitrite, nitrate, phosphate, and silicate are measured at the station. Nutrient patterns obtained during spring and summer 2006 reflect the development of nutrient concentrations during the annual spring phytoplankton bloom. Methane measurements showed a tidal dependence with maxima at low tide, which emphasizes the tidal flat sediments as the dominating source for methane in the open coastal water column. © 2007 Elsevier B.V. All rights reserved.","author":[{"dropping-particle":"","family":"Grunwald","given":"Maik","non-dropping-particle":"","parse-names":false,"suffix":""},{"dropping-particle":"","family":"Dellwig","given":"Olaf","non-dropping-particle":"","parse-names":false,"suffix":""},{"dropping-particle":"","family":"Liebezeit","given":"Gerd","non-dropping-particle":"","parse-names":false,"suffix":""},{"dropping-particle":"","family":"Schnetger","given":"Bernhard","non-dropping-particle":"","parse-names":false,"suffix":""},{"dropping-particle":"","family":"Reuter","given":"Rainer","non-dropping-particle":"","parse-names":false,"suffix":""},{"dropping-particle":"","family":"Brumsack","given":"Hans-Jürgen","non-dropping-particle":"","parse-names":false,"suffix":""}],"container-title":"Marine Chemistry","id":"ITEM-1","issued":{"date-parts":[["2007"]]},"page":"411-421","title":"A novel time-series station in the Wadden Sea (NW Germany): First results on continuous nutrient and methane measurements","type":"article-journal","volume":"107"},"uris":["http://www.mendeley.com/documents/?uuid=6c2116ae-b7dc-33f7-8a15-acfc36d167c9","http://www.mendeley.com/documents/?uuid=437c18a5-c064-42ad-8b24-416fd5031dd5"]}],"mendeley":{"formattedCitation":"(Grunwald et al. 2007)","plainTextFormattedCitation":"(Grunwald et al. 2007)","previouslyFormattedCitation":"(Grunwald et al., 2007)"},"properties":{"noteIndex":0},"schema":"https://github.com/citation-style-language/schema/raw/master/csl-citation.json"}</w:instrText>
      </w:r>
      <w:r>
        <w:fldChar w:fldCharType="separate"/>
      </w:r>
      <w:r w:rsidR="00950B3C" w:rsidRPr="00950B3C">
        <w:rPr>
          <w:noProof/>
        </w:rPr>
        <w:t>(Grunwald et al. 2007)</w:t>
      </w:r>
      <w:r>
        <w:fldChar w:fldCharType="end"/>
      </w:r>
      <w:r>
        <w:t xml:space="preserve">. Continuous </w:t>
      </w:r>
      <w:proofErr w:type="spellStart"/>
      <w:r>
        <w:t>DSi</w:t>
      </w:r>
      <w:proofErr w:type="spellEnd"/>
      <w:r>
        <w:t xml:space="preserve"> measurements have been performed in surface waters using </w:t>
      </w:r>
      <w:proofErr w:type="spellStart"/>
      <w:r>
        <w:t>Micromac</w:t>
      </w:r>
      <w:proofErr w:type="spellEnd"/>
      <w:r>
        <w:t xml:space="preserve"> 1000 (2006-2012) or </w:t>
      </w:r>
      <w:proofErr w:type="spellStart"/>
      <w:r>
        <w:t>Micromac</w:t>
      </w:r>
      <w:proofErr w:type="spellEnd"/>
      <w:r>
        <w:t xml:space="preserve"> C (2012-2017) analyzers (</w:t>
      </w:r>
      <w:proofErr w:type="spellStart"/>
      <w:r>
        <w:t>Systea</w:t>
      </w:r>
      <w:proofErr w:type="spellEnd"/>
      <w:r>
        <w:t>, Italy). The hourly measuring interval enables to resolve seasonal as well as tidal dynamics. Accuracy of the analyses is controlled by measurements in the laboratory using samples taken at the time series station every two weeks.</w:t>
      </w:r>
    </w:p>
    <w:p w14:paraId="0915663A" w14:textId="3300E2C0" w:rsidR="00E520C4" w:rsidRDefault="00E520C4" w:rsidP="00E520C4">
      <w:r>
        <w:t xml:space="preserve">Discrete Ra and </w:t>
      </w:r>
      <w:proofErr w:type="spellStart"/>
      <w:r>
        <w:t>DSi</w:t>
      </w:r>
      <w:proofErr w:type="spellEnd"/>
      <w:r>
        <w:t xml:space="preserve"> samples were taken close to the time series station using RV </w:t>
      </w:r>
      <w:proofErr w:type="spellStart"/>
      <w:r>
        <w:t>Senckenberg</w:t>
      </w:r>
      <w:proofErr w:type="spellEnd"/>
      <w:r>
        <w:t xml:space="preserve"> in September 2015, November 2017, and May 2018 to resolve tidal dynamics. </w:t>
      </w:r>
      <w:proofErr w:type="spellStart"/>
      <w:r>
        <w:t>DSi</w:t>
      </w:r>
      <w:proofErr w:type="spellEnd"/>
      <w:r>
        <w:t xml:space="preserve"> samples were filtered through 0.45 µm surfactant-free cellulose acetate syringe filters, filled into ultrapure water and sample rinsed high-density polyethylene vials, and poisoned with HgCl</w:t>
      </w:r>
      <w:r w:rsidRPr="00F66F0B">
        <w:rPr>
          <w:vertAlign w:val="subscript"/>
        </w:rPr>
        <w:t>2</w:t>
      </w:r>
      <w:r>
        <w:t xml:space="preserve"> to obtain a final concentration of 0.01% (v/v). Afterwards the samples were stored cool and dark. </w:t>
      </w:r>
      <w:proofErr w:type="spellStart"/>
      <w:r>
        <w:t>DSi</w:t>
      </w:r>
      <w:proofErr w:type="spellEnd"/>
      <w:r>
        <w:t xml:space="preserve"> was analyzed </w:t>
      </w:r>
      <w:proofErr w:type="spellStart"/>
      <w:r>
        <w:t>photometrically</w:t>
      </w:r>
      <w:proofErr w:type="spellEnd"/>
      <w:r>
        <w:t xml:space="preserve"> after </w:t>
      </w:r>
      <w:proofErr w:type="spellStart"/>
      <w:r>
        <w:t>Grasshoff</w:t>
      </w:r>
      <w:proofErr w:type="spellEnd"/>
      <w:r>
        <w:t xml:space="preserve"> et al. </w:t>
      </w:r>
      <w:r>
        <w:fldChar w:fldCharType="begin" w:fldLock="1"/>
      </w:r>
      <w:r w:rsidR="00950B3C">
        <w:instrText>ADDIN CSL_CITATION {"citationItems":[{"id":"ITEM-1","itemData":{"author":[{"dropping-particle":"","family":"Grasshoff","given":"K","non-dropping-particle":"","parse-names":false,"suffix":""},{"dropping-particle":"","family":"Kremling","given":"K","non-dropping-particle":"","parse-names":false,"suffix":""},{"dropping-particle":"","family":"Ehrhardt","given":"M","non-dropping-particle":"","parse-names":false,"suffix":""}],"id":"ITEM-1","issued":{"date-parts":[["2009"]]},"number-of-pages":"159 pp","publisher":"John Wiley &amp; Sons","title":"Methods of seawater analysis","type":"book"},"uris":["http://www.mendeley.com/documents/?uuid=a216ca18-551a-4671-bc66-971015f592ec"]}],"mendeley":{"formattedCitation":"(Grasshoff et al. 2009)","manualFormatting":"(1999)","plainTextFormattedCitation":"(Grasshoff et al. 2009)","previouslyFormattedCitation":"(Grasshoff et al., 2009)"},"properties":{"noteIndex":0},"schema":"https://github.com/citation-style-language/schema/raw/master/csl-citation.json"}</w:instrText>
      </w:r>
      <w:r>
        <w:fldChar w:fldCharType="separate"/>
      </w:r>
      <w:r>
        <w:rPr>
          <w:noProof/>
        </w:rPr>
        <w:t>(1999)</w:t>
      </w:r>
      <w:r>
        <w:fldChar w:fldCharType="end"/>
      </w:r>
      <w:r>
        <w:t>.</w:t>
      </w:r>
    </w:p>
    <w:p w14:paraId="14FF74A6" w14:textId="1907336B" w:rsidR="00E520C4" w:rsidRDefault="00E520C4" w:rsidP="00E520C4">
      <w:r>
        <w:t>For each Ra sample a volume of 40 L was collected. Subsequently, all samples were filtered (~1 L</w:t>
      </w:r>
      <w:r w:rsidRPr="6E09C5D4">
        <w:t xml:space="preserve"> </w:t>
      </w:r>
      <w:r>
        <w:t>min</w:t>
      </w:r>
      <w:r w:rsidRPr="004F39CD">
        <w:rPr>
          <w:vertAlign w:val="superscript"/>
        </w:rPr>
        <w:t>-1</w:t>
      </w:r>
      <w:r>
        <w:t xml:space="preserve">) through columns filled with synthetic filter floss to retain particles as well as 14 g manganese dioxide coated acrylic fiber to quantitatively adsorb dissolved Ra </w:t>
      </w:r>
      <w:r>
        <w:fldChar w:fldCharType="begin" w:fldLock="1"/>
      </w:r>
      <w:r w:rsidR="00950B3C">
        <w:instrText>ADDIN CSL_CITATION {"citationItems":[{"id":"ITEM-1","itemData":{"author":[{"dropping-particle":"","family":"Moore","given":"Willard S","non-dropping-particle":"","parse-names":false,"suffix":""}],"container-title":"Deep Sea Research","id":"ITEM-1","issued":{"date-parts":[["1976"]]},"page":"647-651","title":"Sampling 228Ra in the deep ocean","type":"article-journal","volume":"23"},"uris":["http://www.mendeley.com/documents/?uuid=e0421651-0778-4e78-9043-3f7ab017d6ca","http://www.mendeley.com/documents/?uuid=ccff8374-abeb-4906-aed9-0bce83da62f3"]}],"mendeley":{"formattedCitation":"(Moore 1976)","plainTextFormattedCitation":"(Moore 1976)","previouslyFormattedCitation":"(Willard S Moore, 1976)"},"properties":{"noteIndex":0},"schema":"https://github.com/citation-style-language/schema/raw/master/csl-citation.json"}</w:instrText>
      </w:r>
      <w:r>
        <w:fldChar w:fldCharType="separate"/>
      </w:r>
      <w:r w:rsidR="00950B3C" w:rsidRPr="00950B3C">
        <w:rPr>
          <w:noProof/>
        </w:rPr>
        <w:t>(Moore 1976)</w:t>
      </w:r>
      <w:r>
        <w:fldChar w:fldCharType="end"/>
      </w:r>
      <w:r>
        <w:t>. Prior to analysis with Radium Delayed Coincidence Counters (</w:t>
      </w:r>
      <w:proofErr w:type="spellStart"/>
      <w:r>
        <w:t>RaDeCC</w:t>
      </w:r>
      <w:proofErr w:type="spellEnd"/>
      <w:r w:rsidRPr="6E09C5D4">
        <w:t xml:space="preserve">) </w:t>
      </w:r>
      <w:r>
        <w:fldChar w:fldCharType="begin" w:fldLock="1"/>
      </w:r>
      <w:r w:rsidR="00950B3C">
        <w:instrText>ADDIN CSL_CITATION {"citationItems":[{"id":"ITEM-1","itemData":{"DOI":"10.1029/95JC03139","ISSN":"0148-0227","author":[{"dropping-particle":"","family":"Moore","given":"Willard S.","non-dropping-particle":"","parse-names":false,"suffix":""},{"dropping-particle":"","family":"Arnold","given":"Ralph","non-dropping-particle":"","parse-names":false,"suffix":""}],"container-title":"Journal of Geophysical Research","id":"ITEM-1","issue":"C1","issued":{"date-parts":[["1996"]]},"page":"1321","title":"Measurement of 223 Ra and 224 Ra in coastal waters using a delayed coincidence counter","type":"article-journal","volume":"101"},"uris":["http://www.mendeley.com/documents/?uuid=804dce62-2fde-4f88-a390-ef43fcfe1f27"]}],"mendeley":{"formattedCitation":"(Moore and Arnold 1996)","plainTextFormattedCitation":"(Moore and Arnold 1996)","previouslyFormattedCitation":"(Willard S. Moore &amp; Arnold, 1996)"},"properties":{"noteIndex":0},"schema":"https://github.com/citation-style-language/schema/raw/master/csl-citation.json"}</w:instrText>
      </w:r>
      <w:r>
        <w:fldChar w:fldCharType="separate"/>
      </w:r>
      <w:r w:rsidR="00950B3C" w:rsidRPr="00950B3C">
        <w:rPr>
          <w:noProof/>
        </w:rPr>
        <w:t>(Moore and Arnold 1996)</w:t>
      </w:r>
      <w:r>
        <w:fldChar w:fldCharType="end"/>
      </w:r>
      <w:r>
        <w:t xml:space="preserve">, the fibers were rinsed with tap water to remove sea salt and particles </w:t>
      </w:r>
      <w:r>
        <w:fldChar w:fldCharType="begin" w:fldLock="1"/>
      </w:r>
      <w:r w:rsidR="00950B3C">
        <w:instrText>ADDIN CSL_CITATION {"citationItems":[{"id":"ITEM-1","itemData":{"DOI":"10.1016/S0304-4203(98)00019-X","ISSN":"03044203","abstract":"224Ra (half-life, t 1/4 = 3.64 days) has been used widely as a tracer. Its activity in natural waters can be measured by the220Rn emanation method [Rama, Todd, J.F., Butts J.L., and Moore, W.S., 1987. A new method for the rapid measurements of224Ra in natural waters. Mar. Chem., 22, 43-54.]. The measurement efficiency of220Rn is affected by Mn-fiber surface conditions and water content. We studied the effects of precipitated NaCl and water content on the emanation characteristics of220Rn from the224Ra adsorbed on Mn-coated fiber. The best emanation efficiency can be achieved when the Mn-fiber is covered by a water film with a thickness comparable to the recoil range of220Rn in water. By controlling the water content of the Mn-fiber, the measurement efficiency may be increased 2-3 X compared to the very wet or very dry condition.","author":[{"dropping-particle":"","family":"Sun","given":"Yin","non-dropping-particle":"","parse-names":false,"suffix":""},{"dropping-particle":"","family":"Torgersen","given":"T.","non-dropping-particle":"","parse-names":false,"suffix":""}],"container-title":"Marine Chemistry","id":"ITEM-1","issue":"3-4","issued":{"date-parts":[["1998"]]},"page":"299-306","title":"The effects of water content and Mn-fiber surface conditions on 224Ra measurement by 220Rn emanation","type":"article-journal","volume":"62"},"uris":["http://www.mendeley.com/documents/?uuid=a568b164-019c-47cd-9054-d972404bfa05","http://www.mendeley.com/documents/?uuid=b29b5ae5-9d11-4179-86d3-ac5255e45012"]}],"mendeley":{"formattedCitation":"(Sun and Torgersen 1998)","plainTextFormattedCitation":"(Sun and Torgersen 1998)","previouslyFormattedCitation":"(Sun &amp; Torgersen, 1998)"},"properties":{"noteIndex":0},"schema":"https://github.com/citation-style-language/schema/raw/master/csl-citation.json"}</w:instrText>
      </w:r>
      <w:r>
        <w:fldChar w:fldCharType="separate"/>
      </w:r>
      <w:r w:rsidR="00950B3C" w:rsidRPr="00950B3C">
        <w:rPr>
          <w:noProof/>
        </w:rPr>
        <w:t>(Sun and Torgersen 1998)</w:t>
      </w:r>
      <w:r>
        <w:fldChar w:fldCharType="end"/>
      </w:r>
      <w:r>
        <w:t xml:space="preserve"> and then dried to a water-to-dry-weight fiber ratio of one. </w:t>
      </w:r>
      <w:r>
        <w:rPr>
          <w:vertAlign w:val="superscript"/>
        </w:rPr>
        <w:t>224</w:t>
      </w:r>
      <w:r>
        <w:t>Ra measurements were performed using the procedure by Garcia-</w:t>
      </w:r>
      <w:proofErr w:type="spellStart"/>
      <w:r>
        <w:t>Solsona</w:t>
      </w:r>
      <w:proofErr w:type="spellEnd"/>
      <w:r>
        <w:t xml:space="preserve"> et al. </w:t>
      </w:r>
      <w:r>
        <w:fldChar w:fldCharType="begin" w:fldLock="1"/>
      </w:r>
      <w:r w:rsidR="00950B3C">
        <w:instrText>ADDIN CSL_CITATION {"citationItems":[{"id":"ITEM-1","itemData":{"DOI":"10.1016/J.MARCHEM.2007.11.006","ISSN":"0304-4203","abstract":"The short-lived radium isotopes, 223Ra (T1/2=11.4 days) and 224Ra (T1/2=3.66 days), have been successfully used as tracers of several environmental processes, e.g., submarine groundwater discharge, coastal mixing processes, and water residence times. In this paper, the uncertainties associated with 223Ra and 224Ra measurements using a Radium Delayed Coincidence Counter are determined on a detailed error propagation basis with a confidence interval of 1σ. From the data analyses of several groups of coastal water samples, the calculated relative uncertainties averaged 12% for the 223Ra and 7% for the 224Ra. These uncertainties can decrease for radium-enriched groundwater samples although asymptotic limits have been found at 7% relative uncertainty for 223Ra and 4% for 224Ra. In this paper, the influence of sampling and measurement parameters on the final radium uncertainties is evaluated in order to provide guidance to optimize these factors and obtain more reliable results.","author":[{"dropping-particle":"","family":"Garcia-Solsona","given":"E.","non-dropping-particle":"","parse-names":false,"suffix":""},{"dropping-particle":"","family":"Garcia-Orellana","given":"J.","non-dropping-particle":"","parse-names":false,"suffix":""},{"dropping-particle":"","family":"Masqué","given":"P.","non-dropping-particle":"","parse-names":false,"suffix":""},{"dropping-particle":"","family":"Dulaiova","given":"H.","non-dropping-particle":"","parse-names":false,"suffix":""}],"container-title":"Marine Chemistry","id":"ITEM-1","issue":"3-4","issued":{"date-parts":[["2008","4","16"]]},"page":"198-219","publisher":"Elsevier","title":"Uncertainties associated with 223Ra and 224Ra measurements in water via a Delayed Coincidence Counter (RaDeCC)","type":"article-journal","volume":"109"},"uris":["http://www.mendeley.com/documents/?uuid=fe7ab6a8-5bf1-3105-ba22-d9c176021803"]}],"mendeley":{"formattedCitation":"(Garcia-Solsona et al. 2008)","manualFormatting":"(2008)","plainTextFormattedCitation":"(Garcia-Solsona et al. 2008)","previouslyFormattedCitation":"(Garcia-Solsona et al., 2008)"},"properties":{"noteIndex":0},"schema":"https://github.com/citation-style-language/schema/raw/master/csl-citation.json"}</w:instrText>
      </w:r>
      <w:r>
        <w:fldChar w:fldCharType="separate"/>
      </w:r>
      <w:r>
        <w:rPr>
          <w:noProof/>
        </w:rPr>
        <w:t>(2008)</w:t>
      </w:r>
      <w:r>
        <w:fldChar w:fldCharType="end"/>
      </w:r>
      <w:r>
        <w:t xml:space="preserve"> and references therein. The </w:t>
      </w:r>
      <w:r>
        <w:rPr>
          <w:vertAlign w:val="superscript"/>
        </w:rPr>
        <w:t>224</w:t>
      </w:r>
      <w:r>
        <w:t xml:space="preserve">Ra system efficiency was monitored on a regular basis with two standard samples prepared from an aged </w:t>
      </w:r>
      <w:r>
        <w:rPr>
          <w:vertAlign w:val="superscript"/>
        </w:rPr>
        <w:t>232</w:t>
      </w:r>
      <w:r>
        <w:t xml:space="preserve">Th solution. The trueness was better than 5 % and the precision better than 8 % based on repeated standard measurements. The standard reference activities were initially cross-checked with other standards (kindly provided by M. Rutgers v. d. </w:t>
      </w:r>
      <w:proofErr w:type="spellStart"/>
      <w:r>
        <w:t>Loeff</w:t>
      </w:r>
      <w:proofErr w:type="spellEnd"/>
      <w:r>
        <w:t xml:space="preserve">, Alfred Wegener Institute, Bremerhaven and Jan </w:t>
      </w:r>
      <w:proofErr w:type="spellStart"/>
      <w:r>
        <w:t>Scholten</w:t>
      </w:r>
      <w:proofErr w:type="spellEnd"/>
      <w:r>
        <w:t xml:space="preserve">, University of Kiel) by repeated measurements on the same </w:t>
      </w:r>
      <w:proofErr w:type="spellStart"/>
      <w:r>
        <w:t>RaDeCC</w:t>
      </w:r>
      <w:proofErr w:type="spellEnd"/>
      <w:r>
        <w:t xml:space="preserve"> systems. After one month, the fibers were counted </w:t>
      </w:r>
      <w:r>
        <w:lastRenderedPageBreak/>
        <w:t xml:space="preserve">again to measure </w:t>
      </w:r>
      <w:r>
        <w:rPr>
          <w:vertAlign w:val="superscript"/>
        </w:rPr>
        <w:t>228</w:t>
      </w:r>
      <w:r>
        <w:t xml:space="preserve">Th adsorbed onto particles, the radiogenic precursor of </w:t>
      </w:r>
      <w:r>
        <w:rPr>
          <w:vertAlign w:val="superscript"/>
        </w:rPr>
        <w:t>224</w:t>
      </w:r>
      <w:r>
        <w:t xml:space="preserve">Ra. The </w:t>
      </w:r>
      <w:r>
        <w:rPr>
          <w:vertAlign w:val="superscript"/>
        </w:rPr>
        <w:t>228</w:t>
      </w:r>
      <w:r>
        <w:t xml:space="preserve">Th activity was subtracted from the </w:t>
      </w:r>
      <w:r>
        <w:rPr>
          <w:vertAlign w:val="superscript"/>
        </w:rPr>
        <w:t>224</w:t>
      </w:r>
      <w:r>
        <w:t xml:space="preserve">Ra activity to obtain the unsupported excess </w:t>
      </w:r>
      <w:r w:rsidRPr="00CB2D6F">
        <w:rPr>
          <w:rFonts w:eastAsia="Calibri" w:cs="Times New Roman"/>
          <w:noProof/>
          <w:vertAlign w:val="superscript"/>
        </w:rPr>
        <w:t>224</w:t>
      </w:r>
      <w:r w:rsidRPr="00CB2D6F">
        <w:rPr>
          <w:rFonts w:eastAsia="Calibri" w:cs="Times New Roman"/>
          <w:noProof/>
        </w:rPr>
        <w:t>Ra</w:t>
      </w:r>
      <w:r w:rsidRPr="00CB2D6F">
        <w:rPr>
          <w:rFonts w:eastAsia="Calibri" w:cs="Times New Roman"/>
          <w:noProof/>
          <w:vertAlign w:val="subscript"/>
        </w:rPr>
        <w:t xml:space="preserve">ex </w:t>
      </w:r>
      <w:r>
        <w:t>activity.</w:t>
      </w:r>
    </w:p>
    <w:p w14:paraId="60187C26" w14:textId="77777777" w:rsidR="00E520C4" w:rsidRPr="00CE57E8" w:rsidRDefault="00E520C4" w:rsidP="006745CD">
      <w:pPr>
        <w:tabs>
          <w:tab w:val="left" w:pos="8789"/>
        </w:tabs>
      </w:pPr>
    </w:p>
    <w:p w14:paraId="5C2D32BD" w14:textId="77777777" w:rsidR="006745CD" w:rsidRDefault="006745CD" w:rsidP="00994A3D">
      <w:pPr>
        <w:jc w:val="both"/>
        <w:rPr>
          <w:rFonts w:cs="Times New Roman"/>
          <w:szCs w:val="24"/>
        </w:rPr>
      </w:pPr>
    </w:p>
    <w:p w14:paraId="4D059444" w14:textId="77777777" w:rsidR="00994A3D" w:rsidRPr="00994A3D" w:rsidRDefault="00654E8F" w:rsidP="0001436A">
      <w:pPr>
        <w:pStyle w:val="Heading1"/>
      </w:pPr>
      <w:r w:rsidRPr="00994A3D">
        <w:t>Supplementary Figures and Tables</w:t>
      </w:r>
    </w:p>
    <w:p w14:paraId="52FFE718" w14:textId="5F993CED" w:rsidR="006745CD" w:rsidRPr="00E520C4" w:rsidRDefault="006745CD" w:rsidP="006745CD">
      <w:pPr>
        <w:pStyle w:val="Subtitle"/>
        <w:rPr>
          <w:b w:val="0"/>
          <w:i/>
        </w:rPr>
      </w:pPr>
      <w:r w:rsidRPr="00E520C4">
        <w:rPr>
          <w:rStyle w:val="SubtleEmphasis"/>
          <w:i w:val="0"/>
          <w:color w:val="auto"/>
        </w:rPr>
        <w:t xml:space="preserve">Supplementary Table </w:t>
      </w:r>
      <w:r w:rsidR="00E520C4">
        <w:rPr>
          <w:rStyle w:val="SubtleEmphasis"/>
          <w:i w:val="0"/>
          <w:color w:val="auto"/>
        </w:rPr>
        <w:t>A</w:t>
      </w:r>
      <w:r w:rsidRPr="00E520C4">
        <w:rPr>
          <w:rStyle w:val="SubtleEmphasis"/>
          <w:i w:val="0"/>
          <w:color w:val="auto"/>
        </w:rPr>
        <w:t>:</w:t>
      </w:r>
      <w:r w:rsidRPr="00E520C4">
        <w:rPr>
          <w:rStyle w:val="SubtleEmphasis"/>
          <w:color w:val="auto"/>
        </w:rPr>
        <w:t xml:space="preserve"> </w:t>
      </w:r>
      <w:r w:rsidR="008C0F39" w:rsidRPr="00E520C4">
        <w:rPr>
          <w:rStyle w:val="SubtleEmphasis"/>
          <w:b w:val="0"/>
          <w:i w:val="0"/>
          <w:color w:val="auto"/>
        </w:rPr>
        <w:t xml:space="preserve">Salinity, </w:t>
      </w:r>
      <w:proofErr w:type="spellStart"/>
      <w:r w:rsidR="008C0F39" w:rsidRPr="00E520C4">
        <w:rPr>
          <w:rStyle w:val="SubtleEmphasis"/>
          <w:b w:val="0"/>
          <w:i w:val="0"/>
          <w:color w:val="auto"/>
        </w:rPr>
        <w:t>DSi</w:t>
      </w:r>
      <w:proofErr w:type="spellEnd"/>
      <w:r w:rsidR="008C0F39" w:rsidRPr="00E520C4">
        <w:rPr>
          <w:rStyle w:val="SubtleEmphasis"/>
          <w:b w:val="0"/>
          <w:i w:val="0"/>
          <w:color w:val="auto"/>
        </w:rPr>
        <w:t>,</w:t>
      </w:r>
      <w:r w:rsidRPr="00E520C4">
        <w:rPr>
          <w:rStyle w:val="SubtleEmphasis"/>
          <w:b w:val="0"/>
          <w:i w:val="0"/>
          <w:color w:val="auto"/>
        </w:rPr>
        <w:t xml:space="preserve"> </w:t>
      </w:r>
      <w:r w:rsidRPr="00E520C4">
        <w:rPr>
          <w:rStyle w:val="SubtleEmphasis"/>
          <w:b w:val="0"/>
          <w:i w:val="0"/>
          <w:color w:val="auto"/>
          <w:vertAlign w:val="superscript"/>
        </w:rPr>
        <w:t>224</w:t>
      </w:r>
      <w:r w:rsidRPr="00E520C4">
        <w:rPr>
          <w:rStyle w:val="SubtleEmphasis"/>
          <w:b w:val="0"/>
          <w:i w:val="0"/>
          <w:color w:val="auto"/>
        </w:rPr>
        <w:t>Ra</w:t>
      </w:r>
      <w:r w:rsidRPr="00E520C4">
        <w:rPr>
          <w:rStyle w:val="SubtleEmphasis"/>
          <w:b w:val="0"/>
          <w:i w:val="0"/>
          <w:color w:val="auto"/>
          <w:vertAlign w:val="subscript"/>
        </w:rPr>
        <w:t>ex</w:t>
      </w:r>
      <w:r w:rsidR="008C0F39" w:rsidRPr="00E520C4">
        <w:rPr>
          <w:rStyle w:val="SubtleEmphasis"/>
          <w:b w:val="0"/>
          <w:i w:val="0"/>
          <w:color w:val="auto"/>
          <w:vertAlign w:val="subscript"/>
        </w:rPr>
        <w:t xml:space="preserve">, </w:t>
      </w:r>
      <w:r w:rsidR="008C0F39" w:rsidRPr="00E520C4">
        <w:rPr>
          <w:rStyle w:val="SubtleEmphasis"/>
          <w:b w:val="0"/>
          <w:i w:val="0"/>
          <w:color w:val="auto"/>
          <w:vertAlign w:val="superscript"/>
        </w:rPr>
        <w:t>223</w:t>
      </w:r>
      <w:r w:rsidR="008C0F39" w:rsidRPr="00E520C4">
        <w:rPr>
          <w:rStyle w:val="SubtleEmphasis"/>
          <w:b w:val="0"/>
          <w:i w:val="0"/>
          <w:color w:val="auto"/>
        </w:rPr>
        <w:t xml:space="preserve">Ra, </w:t>
      </w:r>
      <w:r w:rsidR="008C0F39" w:rsidRPr="00E520C4">
        <w:rPr>
          <w:rStyle w:val="SubtleEmphasis"/>
          <w:b w:val="0"/>
          <w:i w:val="0"/>
          <w:color w:val="auto"/>
          <w:vertAlign w:val="superscript"/>
        </w:rPr>
        <w:t>226</w:t>
      </w:r>
      <w:r w:rsidR="008C0F39" w:rsidRPr="00E520C4">
        <w:rPr>
          <w:rStyle w:val="SubtleEmphasis"/>
          <w:b w:val="0"/>
          <w:i w:val="0"/>
          <w:color w:val="auto"/>
        </w:rPr>
        <w:t xml:space="preserve">Ra and </w:t>
      </w:r>
      <w:r w:rsidR="008C0F39" w:rsidRPr="00E520C4">
        <w:rPr>
          <w:rStyle w:val="SubtleEmphasis"/>
          <w:b w:val="0"/>
          <w:i w:val="0"/>
          <w:color w:val="auto"/>
          <w:vertAlign w:val="superscript"/>
        </w:rPr>
        <w:t>228</w:t>
      </w:r>
      <w:r w:rsidR="008C0F39" w:rsidRPr="00E520C4">
        <w:rPr>
          <w:rStyle w:val="SubtleEmphasis"/>
          <w:b w:val="0"/>
          <w:i w:val="0"/>
          <w:color w:val="auto"/>
        </w:rPr>
        <w:t>Ra</w:t>
      </w:r>
      <w:r w:rsidRPr="00E520C4">
        <w:rPr>
          <w:rStyle w:val="SubtleEmphasis"/>
          <w:b w:val="0"/>
          <w:i w:val="0"/>
          <w:color w:val="auto"/>
        </w:rPr>
        <w:t xml:space="preserve"> samples of springs, coastal water and seawater at </w:t>
      </w:r>
      <w:proofErr w:type="spellStart"/>
      <w:r w:rsidRPr="00E520C4">
        <w:rPr>
          <w:rStyle w:val="SubtleEmphasis"/>
          <w:b w:val="0"/>
          <w:i w:val="0"/>
          <w:color w:val="auto"/>
        </w:rPr>
        <w:t>Pantai</w:t>
      </w:r>
      <w:proofErr w:type="spellEnd"/>
      <w:r w:rsidRPr="00E520C4">
        <w:rPr>
          <w:rStyle w:val="SubtleEmphasis"/>
          <w:b w:val="0"/>
          <w:i w:val="0"/>
          <w:color w:val="auto"/>
        </w:rPr>
        <w:t xml:space="preserve"> </w:t>
      </w:r>
      <w:proofErr w:type="spellStart"/>
      <w:r w:rsidRPr="00E520C4">
        <w:rPr>
          <w:rStyle w:val="SubtleEmphasis"/>
          <w:b w:val="0"/>
          <w:i w:val="0"/>
          <w:color w:val="auto"/>
        </w:rPr>
        <w:t>Ngrenehean</w:t>
      </w:r>
      <w:proofErr w:type="spellEnd"/>
      <w:r w:rsidRPr="00E520C4">
        <w:rPr>
          <w:rStyle w:val="SubtleEmphasis"/>
          <w:b w:val="0"/>
          <w:i w:val="0"/>
          <w:color w:val="auto"/>
        </w:rPr>
        <w:t xml:space="preserve"> (southern Java, Indonesia)</w:t>
      </w:r>
    </w:p>
    <w:tbl>
      <w:tblPr>
        <w:tblW w:w="10052" w:type="dxa"/>
        <w:tblLayout w:type="fixed"/>
        <w:tblCellMar>
          <w:left w:w="70" w:type="dxa"/>
          <w:right w:w="70" w:type="dxa"/>
        </w:tblCellMar>
        <w:tblLook w:val="04A0" w:firstRow="1" w:lastRow="0" w:firstColumn="1" w:lastColumn="0" w:noHBand="0" w:noVBand="1"/>
      </w:tblPr>
      <w:tblGrid>
        <w:gridCol w:w="387"/>
        <w:gridCol w:w="805"/>
        <w:gridCol w:w="758"/>
        <w:gridCol w:w="739"/>
        <w:gridCol w:w="850"/>
        <w:gridCol w:w="709"/>
        <w:gridCol w:w="836"/>
        <w:gridCol w:w="14"/>
        <w:gridCol w:w="980"/>
        <w:gridCol w:w="13"/>
        <w:gridCol w:w="283"/>
        <w:gridCol w:w="1418"/>
        <w:gridCol w:w="1266"/>
        <w:gridCol w:w="9"/>
        <w:gridCol w:w="985"/>
      </w:tblGrid>
      <w:tr w:rsidR="006745CD" w:rsidRPr="00E635F0" w14:paraId="4956CF19" w14:textId="77777777" w:rsidTr="006745CD">
        <w:trPr>
          <w:trHeight w:val="780"/>
        </w:trPr>
        <w:tc>
          <w:tcPr>
            <w:tcW w:w="387" w:type="dxa"/>
            <w:tcBorders>
              <w:top w:val="single" w:sz="4" w:space="0" w:color="auto"/>
              <w:left w:val="single" w:sz="4" w:space="0" w:color="auto"/>
              <w:bottom w:val="single" w:sz="4" w:space="0" w:color="auto"/>
              <w:right w:val="nil"/>
            </w:tcBorders>
            <w:shd w:val="clear" w:color="auto" w:fill="auto"/>
            <w:noWrap/>
            <w:vAlign w:val="bottom"/>
            <w:hideMark/>
          </w:tcPr>
          <w:p w14:paraId="3E515C36" w14:textId="77777777" w:rsidR="006745CD" w:rsidRPr="00E635F0" w:rsidRDefault="006745CD" w:rsidP="00845795">
            <w:pPr>
              <w:spacing w:after="0"/>
              <w:rPr>
                <w:rFonts w:ascii="Calibri" w:eastAsia="Times New Roman" w:hAnsi="Calibri" w:cs="Calibri"/>
                <w:b/>
                <w:bCs/>
                <w:color w:val="000000"/>
                <w:sz w:val="16"/>
                <w:szCs w:val="18"/>
                <w:lang w:val="en-GB" w:eastAsia="de-DE"/>
              </w:rPr>
            </w:pPr>
            <w:r w:rsidRPr="005225AE">
              <w:t xml:space="preserve"> </w:t>
            </w:r>
          </w:p>
        </w:tc>
        <w:tc>
          <w:tcPr>
            <w:tcW w:w="805" w:type="dxa"/>
            <w:tcBorders>
              <w:top w:val="single" w:sz="4" w:space="0" w:color="auto"/>
              <w:left w:val="nil"/>
              <w:bottom w:val="single" w:sz="4" w:space="0" w:color="auto"/>
              <w:right w:val="nil"/>
            </w:tcBorders>
            <w:shd w:val="clear" w:color="auto" w:fill="auto"/>
            <w:noWrap/>
            <w:vAlign w:val="bottom"/>
            <w:hideMark/>
          </w:tcPr>
          <w:p w14:paraId="524B4AF3" w14:textId="77777777"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lang w:val="de-DE" w:eastAsia="de-DE"/>
              </w:rPr>
              <w:t>Station</w:t>
            </w:r>
          </w:p>
        </w:tc>
        <w:tc>
          <w:tcPr>
            <w:tcW w:w="758" w:type="dxa"/>
            <w:tcBorders>
              <w:top w:val="single" w:sz="4" w:space="0" w:color="auto"/>
              <w:left w:val="nil"/>
              <w:bottom w:val="single" w:sz="4" w:space="0" w:color="auto"/>
              <w:right w:val="nil"/>
            </w:tcBorders>
            <w:shd w:val="clear" w:color="auto" w:fill="auto"/>
            <w:noWrap/>
            <w:vAlign w:val="bottom"/>
            <w:hideMark/>
          </w:tcPr>
          <w:p w14:paraId="2D87231F" w14:textId="77777777"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lang w:val="de-DE" w:eastAsia="de-DE"/>
              </w:rPr>
              <w:t>Date</w:t>
            </w:r>
          </w:p>
        </w:tc>
        <w:tc>
          <w:tcPr>
            <w:tcW w:w="739" w:type="dxa"/>
            <w:tcBorders>
              <w:top w:val="single" w:sz="4" w:space="0" w:color="auto"/>
              <w:left w:val="nil"/>
              <w:bottom w:val="single" w:sz="4" w:space="0" w:color="auto"/>
              <w:right w:val="nil"/>
            </w:tcBorders>
            <w:shd w:val="clear" w:color="auto" w:fill="auto"/>
            <w:noWrap/>
            <w:vAlign w:val="bottom"/>
            <w:hideMark/>
          </w:tcPr>
          <w:p w14:paraId="345B23BF" w14:textId="77777777" w:rsidR="006745CD" w:rsidRPr="00E635F0" w:rsidRDefault="006745CD" w:rsidP="00845795">
            <w:pPr>
              <w:spacing w:after="0"/>
              <w:rPr>
                <w:rFonts w:ascii="Calibri" w:eastAsia="Times New Roman" w:hAnsi="Calibri" w:cs="Calibri"/>
                <w:b/>
                <w:bCs/>
                <w:color w:val="000000"/>
                <w:sz w:val="16"/>
                <w:szCs w:val="18"/>
                <w:lang w:val="de-DE" w:eastAsia="de-DE"/>
              </w:rPr>
            </w:pPr>
            <w:proofErr w:type="spellStart"/>
            <w:r w:rsidRPr="00E635F0">
              <w:rPr>
                <w:rFonts w:ascii="Calibri" w:eastAsia="Times New Roman" w:hAnsi="Calibri" w:cs="Calibri"/>
                <w:b/>
                <w:bCs/>
                <w:color w:val="000000"/>
                <w:sz w:val="16"/>
                <w:szCs w:val="18"/>
                <w:lang w:val="de-DE" w:eastAsia="de-DE"/>
              </w:rPr>
              <w:t>Latitude</w:t>
            </w:r>
            <w:proofErr w:type="spellEnd"/>
          </w:p>
        </w:tc>
        <w:tc>
          <w:tcPr>
            <w:tcW w:w="850" w:type="dxa"/>
            <w:tcBorders>
              <w:top w:val="single" w:sz="4" w:space="0" w:color="auto"/>
              <w:left w:val="nil"/>
              <w:bottom w:val="single" w:sz="4" w:space="0" w:color="auto"/>
              <w:right w:val="nil"/>
            </w:tcBorders>
            <w:shd w:val="clear" w:color="auto" w:fill="auto"/>
            <w:noWrap/>
            <w:vAlign w:val="bottom"/>
            <w:hideMark/>
          </w:tcPr>
          <w:p w14:paraId="277714CE" w14:textId="77777777" w:rsidR="006745CD" w:rsidRPr="00E635F0" w:rsidRDefault="006745CD" w:rsidP="00845795">
            <w:pPr>
              <w:spacing w:after="0"/>
              <w:rPr>
                <w:rFonts w:ascii="Calibri" w:eastAsia="Times New Roman" w:hAnsi="Calibri" w:cs="Calibri"/>
                <w:b/>
                <w:bCs/>
                <w:color w:val="000000"/>
                <w:sz w:val="16"/>
                <w:szCs w:val="18"/>
                <w:lang w:val="de-DE" w:eastAsia="de-DE"/>
              </w:rPr>
            </w:pPr>
            <w:proofErr w:type="spellStart"/>
            <w:r w:rsidRPr="00E635F0">
              <w:rPr>
                <w:rFonts w:ascii="Calibri" w:eastAsia="Times New Roman" w:hAnsi="Calibri" w:cs="Calibri"/>
                <w:b/>
                <w:bCs/>
                <w:color w:val="000000"/>
                <w:sz w:val="16"/>
                <w:szCs w:val="18"/>
                <w:lang w:val="de-DE" w:eastAsia="de-DE"/>
              </w:rPr>
              <w:t>Longitude</w:t>
            </w:r>
            <w:proofErr w:type="spellEnd"/>
          </w:p>
        </w:tc>
        <w:tc>
          <w:tcPr>
            <w:tcW w:w="709" w:type="dxa"/>
            <w:tcBorders>
              <w:top w:val="single" w:sz="4" w:space="0" w:color="auto"/>
              <w:left w:val="nil"/>
              <w:bottom w:val="single" w:sz="4" w:space="0" w:color="auto"/>
              <w:right w:val="nil"/>
            </w:tcBorders>
            <w:shd w:val="clear" w:color="auto" w:fill="auto"/>
            <w:vAlign w:val="bottom"/>
            <w:hideMark/>
          </w:tcPr>
          <w:p w14:paraId="1E65E214" w14:textId="77777777" w:rsidR="006745CD" w:rsidRPr="00E635F0" w:rsidRDefault="006745CD" w:rsidP="00845795">
            <w:pPr>
              <w:spacing w:after="0"/>
              <w:rPr>
                <w:rFonts w:ascii="Calibri" w:eastAsia="Times New Roman" w:hAnsi="Calibri" w:cs="Calibri"/>
                <w:b/>
                <w:bCs/>
                <w:color w:val="000000"/>
                <w:sz w:val="16"/>
                <w:szCs w:val="18"/>
                <w:lang w:val="de-DE" w:eastAsia="de-DE"/>
              </w:rPr>
            </w:pPr>
            <w:proofErr w:type="spellStart"/>
            <w:r w:rsidRPr="00E635F0">
              <w:rPr>
                <w:rFonts w:ascii="Calibri" w:eastAsia="Times New Roman" w:hAnsi="Calibri" w:cs="Calibri"/>
                <w:b/>
                <w:bCs/>
                <w:color w:val="000000"/>
                <w:sz w:val="16"/>
                <w:szCs w:val="18"/>
                <w:lang w:val="de-DE" w:eastAsia="de-DE"/>
              </w:rPr>
              <w:t>Salinity</w:t>
            </w:r>
            <w:proofErr w:type="spellEnd"/>
            <w:r w:rsidRPr="00E635F0">
              <w:rPr>
                <w:rFonts w:ascii="Calibri" w:eastAsia="Times New Roman" w:hAnsi="Calibri" w:cs="Calibri"/>
                <w:b/>
                <w:bCs/>
                <w:color w:val="000000"/>
                <w:sz w:val="16"/>
                <w:szCs w:val="18"/>
                <w:lang w:val="de-DE" w:eastAsia="de-DE"/>
              </w:rPr>
              <w:t xml:space="preserve"> </w:t>
            </w:r>
          </w:p>
        </w:tc>
        <w:tc>
          <w:tcPr>
            <w:tcW w:w="850" w:type="dxa"/>
            <w:gridSpan w:val="2"/>
            <w:tcBorders>
              <w:top w:val="single" w:sz="4" w:space="0" w:color="auto"/>
              <w:left w:val="nil"/>
              <w:bottom w:val="single" w:sz="4" w:space="0" w:color="auto"/>
              <w:right w:val="nil"/>
            </w:tcBorders>
            <w:shd w:val="clear" w:color="auto" w:fill="auto"/>
            <w:vAlign w:val="bottom"/>
            <w:hideMark/>
          </w:tcPr>
          <w:p w14:paraId="459ED86E" w14:textId="5F467C56" w:rsidR="006745CD" w:rsidRPr="00E635F0" w:rsidRDefault="006745CD" w:rsidP="00CB2D6F">
            <w:pPr>
              <w:spacing w:after="0"/>
              <w:rPr>
                <w:rFonts w:ascii="Calibri" w:eastAsia="Times New Roman" w:hAnsi="Calibri" w:cs="Calibri"/>
                <w:b/>
                <w:bCs/>
                <w:color w:val="000000"/>
                <w:sz w:val="16"/>
                <w:szCs w:val="18"/>
                <w:lang w:val="de-DE" w:eastAsia="de-DE"/>
              </w:rPr>
            </w:pPr>
            <w:proofErr w:type="spellStart"/>
            <w:r w:rsidRPr="00E635F0">
              <w:rPr>
                <w:rFonts w:ascii="Calibri" w:eastAsia="Times New Roman" w:hAnsi="Calibri" w:cs="Calibri"/>
                <w:b/>
                <w:bCs/>
                <w:color w:val="000000"/>
                <w:sz w:val="16"/>
                <w:szCs w:val="18"/>
                <w:lang w:val="de-DE" w:eastAsia="de-DE"/>
              </w:rPr>
              <w:t>DSi</w:t>
            </w:r>
            <w:proofErr w:type="spellEnd"/>
            <w:r w:rsidRPr="00E635F0">
              <w:rPr>
                <w:rFonts w:ascii="Calibri" w:eastAsia="Times New Roman" w:hAnsi="Calibri" w:cs="Calibri"/>
                <w:b/>
                <w:bCs/>
                <w:color w:val="000000"/>
                <w:sz w:val="16"/>
                <w:szCs w:val="18"/>
                <w:lang w:val="de-DE" w:eastAsia="de-DE"/>
              </w:rPr>
              <w:t xml:space="preserve"> </w:t>
            </w:r>
            <w:r w:rsidRPr="00E635F0">
              <w:rPr>
                <w:rFonts w:ascii="Calibri" w:eastAsia="Times New Roman" w:hAnsi="Calibri" w:cs="Calibri"/>
                <w:b/>
                <w:bCs/>
                <w:color w:val="000000"/>
                <w:sz w:val="16"/>
                <w:szCs w:val="18"/>
                <w:lang w:val="de-DE" w:eastAsia="de-DE"/>
              </w:rPr>
              <w:br/>
              <w:t>(</w:t>
            </w:r>
            <w:r w:rsidR="00CB2D6F">
              <w:rPr>
                <w:rFonts w:ascii="Calibri" w:eastAsia="Times New Roman" w:hAnsi="Calibri" w:cs="Calibri"/>
                <w:b/>
                <w:bCs/>
                <w:color w:val="000000"/>
                <w:sz w:val="16"/>
                <w:szCs w:val="18"/>
                <w:lang w:val="de-DE" w:eastAsia="de-DE"/>
              </w:rPr>
              <w:t>µM</w:t>
            </w:r>
            <w:r w:rsidRPr="00E635F0">
              <w:rPr>
                <w:rFonts w:ascii="Calibri" w:eastAsia="Times New Roman" w:hAnsi="Calibri" w:cs="Calibri"/>
                <w:b/>
                <w:bCs/>
                <w:color w:val="000000"/>
                <w:sz w:val="16"/>
                <w:szCs w:val="18"/>
                <w:lang w:val="de-DE" w:eastAsia="de-DE"/>
              </w:rPr>
              <w:t>)</w:t>
            </w:r>
          </w:p>
        </w:tc>
        <w:tc>
          <w:tcPr>
            <w:tcW w:w="993" w:type="dxa"/>
            <w:gridSpan w:val="2"/>
            <w:tcBorders>
              <w:top w:val="single" w:sz="4" w:space="0" w:color="auto"/>
              <w:left w:val="nil"/>
              <w:bottom w:val="single" w:sz="4" w:space="0" w:color="auto"/>
              <w:right w:val="nil"/>
            </w:tcBorders>
            <w:shd w:val="clear" w:color="auto" w:fill="auto"/>
            <w:vAlign w:val="bottom"/>
            <w:hideMark/>
          </w:tcPr>
          <w:p w14:paraId="79E1D284" w14:textId="55E916E6"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vertAlign w:val="superscript"/>
                <w:lang w:val="de-DE" w:eastAsia="de-DE"/>
              </w:rPr>
              <w:t>224</w:t>
            </w:r>
            <w:r w:rsidRPr="00E635F0">
              <w:rPr>
                <w:rFonts w:ascii="Calibri" w:eastAsia="Times New Roman" w:hAnsi="Calibri" w:cs="Calibri"/>
                <w:b/>
                <w:bCs/>
                <w:color w:val="000000"/>
                <w:sz w:val="16"/>
                <w:szCs w:val="18"/>
                <w:lang w:val="de-DE" w:eastAsia="de-DE"/>
              </w:rPr>
              <w:t>Ra</w:t>
            </w:r>
            <w:r w:rsidRPr="00845795">
              <w:rPr>
                <w:rFonts w:ascii="Calibri" w:eastAsia="Times New Roman" w:hAnsi="Calibri" w:cs="Calibri"/>
                <w:b/>
                <w:bCs/>
                <w:color w:val="000000"/>
                <w:sz w:val="16"/>
                <w:szCs w:val="16"/>
                <w:vertAlign w:val="subscript"/>
                <w:lang w:val="de-DE" w:eastAsia="de-DE"/>
              </w:rPr>
              <w:t>ex</w:t>
            </w:r>
            <w:r w:rsidRPr="00E635F0">
              <w:rPr>
                <w:rFonts w:ascii="Calibri" w:eastAsia="Times New Roman" w:hAnsi="Calibri" w:cs="Calibri"/>
                <w:b/>
                <w:bCs/>
                <w:color w:val="000000"/>
                <w:sz w:val="16"/>
                <w:szCs w:val="16"/>
                <w:lang w:val="de-DE" w:eastAsia="de-DE"/>
              </w:rPr>
              <w:t xml:space="preserve"> </w:t>
            </w:r>
            <w:r w:rsidR="00CB2D6F">
              <w:rPr>
                <w:rFonts w:ascii="Calibri" w:eastAsia="Times New Roman" w:hAnsi="Calibri" w:cs="Calibri"/>
                <w:b/>
                <w:bCs/>
                <w:color w:val="000000"/>
                <w:sz w:val="16"/>
                <w:szCs w:val="18"/>
                <w:lang w:val="de-DE" w:eastAsia="de-DE"/>
              </w:rPr>
              <w:br/>
              <w:t>(</w:t>
            </w:r>
            <w:proofErr w:type="spellStart"/>
            <w:r w:rsidR="00CB2D6F">
              <w:rPr>
                <w:rFonts w:ascii="Calibri" w:eastAsia="Times New Roman" w:hAnsi="Calibri" w:cs="Calibri"/>
                <w:b/>
                <w:bCs/>
                <w:color w:val="000000"/>
                <w:sz w:val="16"/>
                <w:szCs w:val="18"/>
                <w:lang w:val="de-DE" w:eastAsia="de-DE"/>
              </w:rPr>
              <w:t>dpm</w:t>
            </w:r>
            <w:proofErr w:type="spellEnd"/>
            <w:r w:rsidR="00CB2D6F">
              <w:rPr>
                <w:rFonts w:ascii="Calibri" w:eastAsia="Times New Roman" w:hAnsi="Calibri" w:cs="Calibri"/>
                <w:b/>
                <w:bCs/>
                <w:color w:val="000000"/>
                <w:sz w:val="16"/>
                <w:szCs w:val="18"/>
                <w:lang w:val="de-DE" w:eastAsia="de-DE"/>
              </w:rPr>
              <w:t xml:space="preserve"> </w:t>
            </w:r>
            <w:r w:rsidRPr="00E635F0">
              <w:rPr>
                <w:rFonts w:ascii="Calibri" w:eastAsia="Times New Roman" w:hAnsi="Calibri" w:cs="Calibri"/>
                <w:b/>
                <w:bCs/>
                <w:color w:val="000000"/>
                <w:sz w:val="16"/>
                <w:szCs w:val="18"/>
                <w:lang w:val="de-DE" w:eastAsia="de-DE"/>
              </w:rPr>
              <w:t>100L</w:t>
            </w:r>
            <w:r w:rsidR="00CB2D6F" w:rsidRPr="00CB2D6F">
              <w:rPr>
                <w:rFonts w:ascii="Calibri" w:eastAsia="Times New Roman" w:hAnsi="Calibri" w:cs="Calibri"/>
                <w:b/>
                <w:bCs/>
                <w:color w:val="000000"/>
                <w:sz w:val="16"/>
                <w:szCs w:val="18"/>
                <w:vertAlign w:val="superscript"/>
                <w:lang w:val="de-DE" w:eastAsia="de-DE"/>
              </w:rPr>
              <w:t>-1</w:t>
            </w:r>
            <w:r w:rsidRPr="00E635F0">
              <w:rPr>
                <w:rFonts w:ascii="Calibri" w:eastAsia="Times New Roman" w:hAnsi="Calibri" w:cs="Calibri"/>
                <w:b/>
                <w:bCs/>
                <w:color w:val="000000"/>
                <w:sz w:val="16"/>
                <w:szCs w:val="18"/>
                <w:lang w:val="de-DE" w:eastAsia="de-DE"/>
              </w:rPr>
              <w:t>)</w:t>
            </w:r>
          </w:p>
        </w:tc>
        <w:tc>
          <w:tcPr>
            <w:tcW w:w="283" w:type="dxa"/>
            <w:tcBorders>
              <w:top w:val="single" w:sz="4" w:space="0" w:color="auto"/>
              <w:left w:val="nil"/>
              <w:bottom w:val="single" w:sz="4" w:space="0" w:color="auto"/>
              <w:right w:val="nil"/>
            </w:tcBorders>
          </w:tcPr>
          <w:p w14:paraId="67561AFF" w14:textId="77777777" w:rsidR="006745CD" w:rsidRPr="00E635F0" w:rsidRDefault="006745CD" w:rsidP="00845795">
            <w:pPr>
              <w:spacing w:after="0"/>
              <w:rPr>
                <w:rFonts w:ascii="Calibri" w:eastAsia="Times New Roman" w:hAnsi="Calibri" w:cs="Calibri"/>
                <w:b/>
                <w:bCs/>
                <w:color w:val="000000"/>
                <w:sz w:val="16"/>
                <w:szCs w:val="18"/>
                <w:vertAlign w:val="superscript"/>
                <w:lang w:val="de-DE" w:eastAsia="de-DE"/>
              </w:rPr>
            </w:pPr>
          </w:p>
        </w:tc>
        <w:tc>
          <w:tcPr>
            <w:tcW w:w="1418" w:type="dxa"/>
            <w:tcBorders>
              <w:top w:val="single" w:sz="4" w:space="0" w:color="auto"/>
              <w:left w:val="nil"/>
              <w:bottom w:val="single" w:sz="4" w:space="0" w:color="auto"/>
              <w:right w:val="nil"/>
            </w:tcBorders>
            <w:shd w:val="clear" w:color="auto" w:fill="auto"/>
            <w:vAlign w:val="bottom"/>
            <w:hideMark/>
          </w:tcPr>
          <w:p w14:paraId="6D568B04" w14:textId="707D54C7"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vertAlign w:val="superscript"/>
                <w:lang w:val="de-DE" w:eastAsia="de-DE"/>
              </w:rPr>
              <w:t>223</w:t>
            </w:r>
            <w:r w:rsidR="00CB2D6F">
              <w:rPr>
                <w:rFonts w:ascii="Calibri" w:eastAsia="Times New Roman" w:hAnsi="Calibri" w:cs="Calibri"/>
                <w:b/>
                <w:bCs/>
                <w:color w:val="000000"/>
                <w:sz w:val="16"/>
                <w:szCs w:val="18"/>
                <w:lang w:val="de-DE" w:eastAsia="de-DE"/>
              </w:rPr>
              <w:t xml:space="preserve">Ra </w:t>
            </w:r>
            <w:r w:rsidR="00CB2D6F">
              <w:rPr>
                <w:rFonts w:ascii="Calibri" w:eastAsia="Times New Roman" w:hAnsi="Calibri" w:cs="Calibri"/>
                <w:b/>
                <w:bCs/>
                <w:color w:val="000000"/>
                <w:sz w:val="16"/>
                <w:szCs w:val="18"/>
                <w:lang w:val="de-DE" w:eastAsia="de-DE"/>
              </w:rPr>
              <w:br/>
              <w:t>(</w:t>
            </w:r>
            <w:proofErr w:type="spellStart"/>
            <w:r w:rsidR="00CB2D6F">
              <w:rPr>
                <w:rFonts w:ascii="Calibri" w:eastAsia="Times New Roman" w:hAnsi="Calibri" w:cs="Calibri"/>
                <w:b/>
                <w:bCs/>
                <w:color w:val="000000"/>
                <w:sz w:val="16"/>
                <w:szCs w:val="18"/>
                <w:lang w:val="de-DE" w:eastAsia="de-DE"/>
              </w:rPr>
              <w:t>dpm</w:t>
            </w:r>
            <w:proofErr w:type="spellEnd"/>
            <w:r w:rsidR="00CB2D6F">
              <w:rPr>
                <w:rFonts w:ascii="Calibri" w:eastAsia="Times New Roman" w:hAnsi="Calibri" w:cs="Calibri"/>
                <w:b/>
                <w:bCs/>
                <w:color w:val="000000"/>
                <w:sz w:val="16"/>
                <w:szCs w:val="18"/>
                <w:lang w:val="de-DE" w:eastAsia="de-DE"/>
              </w:rPr>
              <w:t xml:space="preserve"> </w:t>
            </w:r>
            <w:r w:rsidRPr="00E635F0">
              <w:rPr>
                <w:rFonts w:ascii="Calibri" w:eastAsia="Times New Roman" w:hAnsi="Calibri" w:cs="Calibri"/>
                <w:b/>
                <w:bCs/>
                <w:color w:val="000000"/>
                <w:sz w:val="16"/>
                <w:szCs w:val="18"/>
                <w:lang w:val="de-DE" w:eastAsia="de-DE"/>
              </w:rPr>
              <w:t>100L</w:t>
            </w:r>
            <w:r w:rsidR="00CB2D6F" w:rsidRPr="00CB2D6F">
              <w:rPr>
                <w:rFonts w:ascii="Calibri" w:eastAsia="Times New Roman" w:hAnsi="Calibri" w:cs="Calibri"/>
                <w:b/>
                <w:bCs/>
                <w:color w:val="000000"/>
                <w:sz w:val="16"/>
                <w:szCs w:val="18"/>
                <w:vertAlign w:val="superscript"/>
                <w:lang w:val="de-DE" w:eastAsia="de-DE"/>
              </w:rPr>
              <w:t>-1</w:t>
            </w:r>
            <w:r w:rsidRPr="00E635F0">
              <w:rPr>
                <w:rFonts w:ascii="Calibri" w:eastAsia="Times New Roman" w:hAnsi="Calibri" w:cs="Calibri"/>
                <w:b/>
                <w:bCs/>
                <w:color w:val="000000"/>
                <w:sz w:val="16"/>
                <w:szCs w:val="18"/>
                <w:lang w:val="de-DE" w:eastAsia="de-DE"/>
              </w:rPr>
              <w:t>)</w:t>
            </w:r>
          </w:p>
        </w:tc>
        <w:tc>
          <w:tcPr>
            <w:tcW w:w="1275" w:type="dxa"/>
            <w:gridSpan w:val="2"/>
            <w:tcBorders>
              <w:top w:val="single" w:sz="4" w:space="0" w:color="auto"/>
              <w:left w:val="nil"/>
              <w:bottom w:val="single" w:sz="4" w:space="0" w:color="auto"/>
              <w:right w:val="nil"/>
            </w:tcBorders>
            <w:shd w:val="clear" w:color="auto" w:fill="auto"/>
            <w:vAlign w:val="bottom"/>
            <w:hideMark/>
          </w:tcPr>
          <w:p w14:paraId="2C200540" w14:textId="047D2775"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vertAlign w:val="superscript"/>
                <w:lang w:val="de-DE" w:eastAsia="de-DE"/>
              </w:rPr>
              <w:t>226</w:t>
            </w:r>
            <w:r w:rsidR="00CB2D6F">
              <w:rPr>
                <w:rFonts w:ascii="Calibri" w:eastAsia="Times New Roman" w:hAnsi="Calibri" w:cs="Calibri"/>
                <w:b/>
                <w:bCs/>
                <w:color w:val="000000"/>
                <w:sz w:val="16"/>
                <w:szCs w:val="18"/>
                <w:lang w:val="de-DE" w:eastAsia="de-DE"/>
              </w:rPr>
              <w:t xml:space="preserve">Ra </w:t>
            </w:r>
            <w:r w:rsidR="00CB2D6F">
              <w:rPr>
                <w:rFonts w:ascii="Calibri" w:eastAsia="Times New Roman" w:hAnsi="Calibri" w:cs="Calibri"/>
                <w:b/>
                <w:bCs/>
                <w:color w:val="000000"/>
                <w:sz w:val="16"/>
                <w:szCs w:val="18"/>
                <w:lang w:val="de-DE" w:eastAsia="de-DE"/>
              </w:rPr>
              <w:br/>
              <w:t>(</w:t>
            </w:r>
            <w:proofErr w:type="spellStart"/>
            <w:r w:rsidR="00CB2D6F">
              <w:rPr>
                <w:rFonts w:ascii="Calibri" w:eastAsia="Times New Roman" w:hAnsi="Calibri" w:cs="Calibri"/>
                <w:b/>
                <w:bCs/>
                <w:color w:val="000000"/>
                <w:sz w:val="16"/>
                <w:szCs w:val="18"/>
                <w:lang w:val="de-DE" w:eastAsia="de-DE"/>
              </w:rPr>
              <w:t>dpm</w:t>
            </w:r>
            <w:proofErr w:type="spellEnd"/>
            <w:r w:rsidR="00CB2D6F">
              <w:rPr>
                <w:rFonts w:ascii="Calibri" w:eastAsia="Times New Roman" w:hAnsi="Calibri" w:cs="Calibri"/>
                <w:b/>
                <w:bCs/>
                <w:color w:val="000000"/>
                <w:sz w:val="16"/>
                <w:szCs w:val="18"/>
                <w:lang w:val="de-DE" w:eastAsia="de-DE"/>
              </w:rPr>
              <w:t xml:space="preserve"> </w:t>
            </w:r>
            <w:r w:rsidRPr="00E635F0">
              <w:rPr>
                <w:rFonts w:ascii="Calibri" w:eastAsia="Times New Roman" w:hAnsi="Calibri" w:cs="Calibri"/>
                <w:b/>
                <w:bCs/>
                <w:color w:val="000000"/>
                <w:sz w:val="16"/>
                <w:szCs w:val="18"/>
                <w:lang w:val="de-DE" w:eastAsia="de-DE"/>
              </w:rPr>
              <w:t>100L</w:t>
            </w:r>
            <w:r w:rsidR="00CB2D6F" w:rsidRPr="00CB2D6F">
              <w:rPr>
                <w:rFonts w:ascii="Calibri" w:eastAsia="Times New Roman" w:hAnsi="Calibri" w:cs="Calibri"/>
                <w:b/>
                <w:bCs/>
                <w:color w:val="000000"/>
                <w:sz w:val="16"/>
                <w:szCs w:val="18"/>
                <w:vertAlign w:val="superscript"/>
                <w:lang w:val="de-DE" w:eastAsia="de-DE"/>
              </w:rPr>
              <w:t>-1</w:t>
            </w:r>
            <w:r w:rsidRPr="00E635F0">
              <w:rPr>
                <w:rFonts w:ascii="Calibri" w:eastAsia="Times New Roman" w:hAnsi="Calibri" w:cs="Calibri"/>
                <w:b/>
                <w:bCs/>
                <w:color w:val="000000"/>
                <w:sz w:val="16"/>
                <w:szCs w:val="18"/>
                <w:lang w:val="de-DE" w:eastAsia="de-DE"/>
              </w:rPr>
              <w:t>)</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63763832" w14:textId="0FE4AFED" w:rsidR="006745CD" w:rsidRPr="00E635F0" w:rsidRDefault="006745CD" w:rsidP="00845795">
            <w:pPr>
              <w:spacing w:after="0"/>
              <w:rPr>
                <w:rFonts w:ascii="Calibri" w:eastAsia="Times New Roman" w:hAnsi="Calibri" w:cs="Calibri"/>
                <w:b/>
                <w:bCs/>
                <w:color w:val="000000"/>
                <w:sz w:val="16"/>
                <w:szCs w:val="18"/>
                <w:lang w:val="de-DE" w:eastAsia="de-DE"/>
              </w:rPr>
            </w:pPr>
            <w:r w:rsidRPr="00E635F0">
              <w:rPr>
                <w:rFonts w:ascii="Calibri" w:eastAsia="Times New Roman" w:hAnsi="Calibri" w:cs="Calibri"/>
                <w:b/>
                <w:bCs/>
                <w:color w:val="000000"/>
                <w:sz w:val="16"/>
                <w:szCs w:val="18"/>
                <w:vertAlign w:val="superscript"/>
                <w:lang w:val="de-DE" w:eastAsia="de-DE"/>
              </w:rPr>
              <w:t>228</w:t>
            </w:r>
            <w:r w:rsidR="00CB2D6F">
              <w:rPr>
                <w:rFonts w:ascii="Calibri" w:eastAsia="Times New Roman" w:hAnsi="Calibri" w:cs="Calibri"/>
                <w:b/>
                <w:bCs/>
                <w:color w:val="000000"/>
                <w:sz w:val="16"/>
                <w:szCs w:val="18"/>
                <w:lang w:val="de-DE" w:eastAsia="de-DE"/>
              </w:rPr>
              <w:t xml:space="preserve">Ra </w:t>
            </w:r>
            <w:r w:rsidR="00CB2D6F">
              <w:rPr>
                <w:rFonts w:ascii="Calibri" w:eastAsia="Times New Roman" w:hAnsi="Calibri" w:cs="Calibri"/>
                <w:b/>
                <w:bCs/>
                <w:color w:val="000000"/>
                <w:sz w:val="16"/>
                <w:szCs w:val="18"/>
                <w:lang w:val="de-DE" w:eastAsia="de-DE"/>
              </w:rPr>
              <w:br/>
              <w:t>(</w:t>
            </w:r>
            <w:proofErr w:type="spellStart"/>
            <w:r w:rsidR="00CB2D6F">
              <w:rPr>
                <w:rFonts w:ascii="Calibri" w:eastAsia="Times New Roman" w:hAnsi="Calibri" w:cs="Calibri"/>
                <w:b/>
                <w:bCs/>
                <w:color w:val="000000"/>
                <w:sz w:val="16"/>
                <w:szCs w:val="18"/>
                <w:lang w:val="de-DE" w:eastAsia="de-DE"/>
              </w:rPr>
              <w:t>dpm</w:t>
            </w:r>
            <w:proofErr w:type="spellEnd"/>
            <w:r w:rsidR="00CB2D6F">
              <w:rPr>
                <w:rFonts w:ascii="Calibri" w:eastAsia="Times New Roman" w:hAnsi="Calibri" w:cs="Calibri"/>
                <w:b/>
                <w:bCs/>
                <w:color w:val="000000"/>
                <w:sz w:val="16"/>
                <w:szCs w:val="18"/>
                <w:lang w:val="de-DE" w:eastAsia="de-DE"/>
              </w:rPr>
              <w:t xml:space="preserve"> </w:t>
            </w:r>
            <w:r w:rsidRPr="00E635F0">
              <w:rPr>
                <w:rFonts w:ascii="Calibri" w:eastAsia="Times New Roman" w:hAnsi="Calibri" w:cs="Calibri"/>
                <w:b/>
                <w:bCs/>
                <w:color w:val="000000"/>
                <w:sz w:val="16"/>
                <w:szCs w:val="18"/>
                <w:lang w:val="de-DE" w:eastAsia="de-DE"/>
              </w:rPr>
              <w:t>100L</w:t>
            </w:r>
            <w:r w:rsidR="00CB2D6F" w:rsidRPr="00CB2D6F">
              <w:rPr>
                <w:rFonts w:ascii="Calibri" w:eastAsia="Times New Roman" w:hAnsi="Calibri" w:cs="Calibri"/>
                <w:b/>
                <w:bCs/>
                <w:color w:val="000000"/>
                <w:sz w:val="16"/>
                <w:szCs w:val="18"/>
                <w:vertAlign w:val="superscript"/>
                <w:lang w:val="de-DE" w:eastAsia="de-DE"/>
              </w:rPr>
              <w:t>-1</w:t>
            </w:r>
            <w:r w:rsidRPr="00E635F0">
              <w:rPr>
                <w:rFonts w:ascii="Calibri" w:eastAsia="Times New Roman" w:hAnsi="Calibri" w:cs="Calibri"/>
                <w:b/>
                <w:bCs/>
                <w:color w:val="000000"/>
                <w:sz w:val="16"/>
                <w:szCs w:val="18"/>
                <w:lang w:val="de-DE" w:eastAsia="de-DE"/>
              </w:rPr>
              <w:t>)</w:t>
            </w:r>
          </w:p>
        </w:tc>
      </w:tr>
      <w:tr w:rsidR="006745CD" w:rsidRPr="00E635F0" w14:paraId="2004CC2A" w14:textId="77777777" w:rsidTr="006745CD">
        <w:trPr>
          <w:trHeight w:val="300"/>
        </w:trPr>
        <w:tc>
          <w:tcPr>
            <w:tcW w:w="38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253D25E" w14:textId="77777777" w:rsidR="006745CD" w:rsidRPr="00E635F0" w:rsidRDefault="006745CD" w:rsidP="00845795">
            <w:pPr>
              <w:spacing w:after="0"/>
              <w:jc w:val="center"/>
              <w:rPr>
                <w:rFonts w:ascii="Calibri" w:eastAsia="Times New Roman" w:hAnsi="Calibri" w:cs="Calibri"/>
                <w:color w:val="000000"/>
                <w:sz w:val="18"/>
                <w:szCs w:val="18"/>
                <w:lang w:val="de-DE" w:eastAsia="de-DE"/>
              </w:rPr>
            </w:pPr>
            <w:proofErr w:type="spellStart"/>
            <w:r w:rsidRPr="00E635F0">
              <w:rPr>
                <w:rFonts w:ascii="Calibri" w:eastAsia="Times New Roman" w:hAnsi="Calibri" w:cs="Calibri"/>
                <w:color w:val="000000"/>
                <w:sz w:val="18"/>
                <w:szCs w:val="18"/>
                <w:lang w:val="de-DE" w:eastAsia="de-DE"/>
              </w:rPr>
              <w:t>Karstic</w:t>
            </w:r>
            <w:proofErr w:type="spellEnd"/>
            <w:r w:rsidRPr="00E635F0">
              <w:rPr>
                <w:rFonts w:ascii="Calibri" w:eastAsia="Times New Roman" w:hAnsi="Calibri" w:cs="Calibri"/>
                <w:color w:val="000000"/>
                <w:sz w:val="18"/>
                <w:szCs w:val="18"/>
                <w:lang w:val="de-DE" w:eastAsia="de-DE"/>
              </w:rPr>
              <w:t xml:space="preserve"> </w:t>
            </w:r>
            <w:proofErr w:type="spellStart"/>
            <w:r w:rsidRPr="00E635F0">
              <w:rPr>
                <w:rFonts w:ascii="Calibri" w:eastAsia="Times New Roman" w:hAnsi="Calibri" w:cs="Calibri"/>
                <w:color w:val="000000"/>
                <w:sz w:val="18"/>
                <w:szCs w:val="18"/>
                <w:lang w:val="de-DE" w:eastAsia="de-DE"/>
              </w:rPr>
              <w:t>springs</w:t>
            </w:r>
            <w:proofErr w:type="spellEnd"/>
          </w:p>
        </w:tc>
        <w:tc>
          <w:tcPr>
            <w:tcW w:w="805" w:type="dxa"/>
            <w:tcBorders>
              <w:top w:val="nil"/>
              <w:left w:val="nil"/>
              <w:bottom w:val="nil"/>
              <w:right w:val="nil"/>
            </w:tcBorders>
            <w:shd w:val="clear" w:color="auto" w:fill="auto"/>
            <w:noWrap/>
            <w:vAlign w:val="bottom"/>
            <w:hideMark/>
          </w:tcPr>
          <w:p w14:paraId="04BA234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1</w:t>
            </w:r>
          </w:p>
        </w:tc>
        <w:tc>
          <w:tcPr>
            <w:tcW w:w="758" w:type="dxa"/>
            <w:tcBorders>
              <w:top w:val="nil"/>
              <w:left w:val="nil"/>
              <w:bottom w:val="nil"/>
              <w:right w:val="nil"/>
            </w:tcBorders>
            <w:shd w:val="clear" w:color="auto" w:fill="auto"/>
            <w:noWrap/>
            <w:vAlign w:val="bottom"/>
            <w:hideMark/>
          </w:tcPr>
          <w:p w14:paraId="73E877C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384788A6" w14:textId="77777777" w:rsidR="006745CD" w:rsidRPr="00E635F0" w:rsidRDefault="006745CD" w:rsidP="00845795">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-8.1284</w:t>
            </w:r>
          </w:p>
        </w:tc>
        <w:tc>
          <w:tcPr>
            <w:tcW w:w="850" w:type="dxa"/>
            <w:tcBorders>
              <w:top w:val="nil"/>
              <w:left w:val="nil"/>
              <w:bottom w:val="nil"/>
              <w:right w:val="nil"/>
            </w:tcBorders>
            <w:shd w:val="clear" w:color="auto" w:fill="auto"/>
            <w:noWrap/>
            <w:vAlign w:val="bottom"/>
            <w:hideMark/>
          </w:tcPr>
          <w:p w14:paraId="2B521841" w14:textId="77777777" w:rsidR="006745CD" w:rsidRPr="00E635F0" w:rsidRDefault="006745CD" w:rsidP="00845795">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110.5482</w:t>
            </w:r>
          </w:p>
        </w:tc>
        <w:tc>
          <w:tcPr>
            <w:tcW w:w="709" w:type="dxa"/>
            <w:tcBorders>
              <w:top w:val="nil"/>
              <w:left w:val="nil"/>
              <w:bottom w:val="nil"/>
              <w:right w:val="nil"/>
            </w:tcBorders>
            <w:shd w:val="clear" w:color="auto" w:fill="auto"/>
            <w:noWrap/>
            <w:vAlign w:val="bottom"/>
            <w:hideMark/>
          </w:tcPr>
          <w:p w14:paraId="0779483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0.20</w:t>
            </w:r>
          </w:p>
        </w:tc>
        <w:tc>
          <w:tcPr>
            <w:tcW w:w="836" w:type="dxa"/>
            <w:tcBorders>
              <w:top w:val="nil"/>
              <w:left w:val="nil"/>
              <w:bottom w:val="nil"/>
              <w:right w:val="nil"/>
            </w:tcBorders>
            <w:shd w:val="clear" w:color="auto" w:fill="auto"/>
            <w:noWrap/>
            <w:vAlign w:val="bottom"/>
            <w:hideMark/>
          </w:tcPr>
          <w:p w14:paraId="52D3135B"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335.3</w:t>
            </w:r>
          </w:p>
        </w:tc>
        <w:tc>
          <w:tcPr>
            <w:tcW w:w="994" w:type="dxa"/>
            <w:gridSpan w:val="2"/>
            <w:tcBorders>
              <w:top w:val="nil"/>
              <w:left w:val="nil"/>
              <w:bottom w:val="nil"/>
              <w:right w:val="nil"/>
            </w:tcBorders>
            <w:shd w:val="clear" w:color="auto" w:fill="auto"/>
            <w:noWrap/>
            <w:vAlign w:val="bottom"/>
            <w:hideMark/>
          </w:tcPr>
          <w:p w14:paraId="069A739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10.3</w:t>
            </w:r>
          </w:p>
        </w:tc>
        <w:tc>
          <w:tcPr>
            <w:tcW w:w="296" w:type="dxa"/>
            <w:gridSpan w:val="2"/>
            <w:tcBorders>
              <w:top w:val="nil"/>
              <w:left w:val="nil"/>
              <w:bottom w:val="nil"/>
              <w:right w:val="nil"/>
            </w:tcBorders>
          </w:tcPr>
          <w:p w14:paraId="6E500532"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0EE43D9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0.5</w:t>
            </w:r>
          </w:p>
        </w:tc>
        <w:tc>
          <w:tcPr>
            <w:tcW w:w="1266" w:type="dxa"/>
            <w:tcBorders>
              <w:top w:val="nil"/>
              <w:left w:val="nil"/>
              <w:bottom w:val="nil"/>
              <w:right w:val="nil"/>
            </w:tcBorders>
            <w:shd w:val="clear" w:color="auto" w:fill="auto"/>
            <w:noWrap/>
            <w:vAlign w:val="bottom"/>
            <w:hideMark/>
          </w:tcPr>
          <w:p w14:paraId="651C599E"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39.8</w:t>
            </w:r>
          </w:p>
        </w:tc>
        <w:tc>
          <w:tcPr>
            <w:tcW w:w="994" w:type="dxa"/>
            <w:gridSpan w:val="2"/>
            <w:tcBorders>
              <w:top w:val="nil"/>
              <w:left w:val="nil"/>
              <w:bottom w:val="nil"/>
              <w:right w:val="single" w:sz="4" w:space="0" w:color="auto"/>
            </w:tcBorders>
            <w:shd w:val="clear" w:color="auto" w:fill="auto"/>
            <w:noWrap/>
            <w:vAlign w:val="bottom"/>
            <w:hideMark/>
          </w:tcPr>
          <w:p w14:paraId="0BA6FB5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71.2</w:t>
            </w:r>
          </w:p>
        </w:tc>
      </w:tr>
      <w:tr w:rsidR="006745CD" w:rsidRPr="00E635F0" w14:paraId="0C262568"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73192A64"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277C34F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2</w:t>
            </w:r>
          </w:p>
        </w:tc>
        <w:tc>
          <w:tcPr>
            <w:tcW w:w="758" w:type="dxa"/>
            <w:tcBorders>
              <w:top w:val="nil"/>
              <w:left w:val="nil"/>
              <w:bottom w:val="nil"/>
              <w:right w:val="nil"/>
            </w:tcBorders>
            <w:shd w:val="clear" w:color="auto" w:fill="auto"/>
            <w:noWrap/>
            <w:vAlign w:val="bottom"/>
            <w:hideMark/>
          </w:tcPr>
          <w:p w14:paraId="6307C9B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3CD1FB8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-8.1399</w:t>
            </w:r>
          </w:p>
        </w:tc>
        <w:tc>
          <w:tcPr>
            <w:tcW w:w="850" w:type="dxa"/>
            <w:tcBorders>
              <w:top w:val="nil"/>
              <w:left w:val="nil"/>
              <w:bottom w:val="nil"/>
              <w:right w:val="nil"/>
            </w:tcBorders>
            <w:shd w:val="clear" w:color="auto" w:fill="auto"/>
            <w:noWrap/>
            <w:vAlign w:val="bottom"/>
            <w:hideMark/>
          </w:tcPr>
          <w:p w14:paraId="5EAB043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110.5821</w:t>
            </w:r>
          </w:p>
        </w:tc>
        <w:tc>
          <w:tcPr>
            <w:tcW w:w="709" w:type="dxa"/>
            <w:tcBorders>
              <w:top w:val="nil"/>
              <w:left w:val="nil"/>
              <w:bottom w:val="nil"/>
              <w:right w:val="nil"/>
            </w:tcBorders>
            <w:shd w:val="clear" w:color="auto" w:fill="auto"/>
            <w:noWrap/>
            <w:vAlign w:val="bottom"/>
            <w:hideMark/>
          </w:tcPr>
          <w:p w14:paraId="61CCB4B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3.19</w:t>
            </w:r>
          </w:p>
        </w:tc>
        <w:tc>
          <w:tcPr>
            <w:tcW w:w="836" w:type="dxa"/>
            <w:tcBorders>
              <w:top w:val="nil"/>
              <w:left w:val="nil"/>
              <w:bottom w:val="nil"/>
              <w:right w:val="nil"/>
            </w:tcBorders>
            <w:shd w:val="clear" w:color="auto" w:fill="auto"/>
            <w:noWrap/>
            <w:vAlign w:val="bottom"/>
            <w:hideMark/>
          </w:tcPr>
          <w:p w14:paraId="053D1C42"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349.8</w:t>
            </w:r>
          </w:p>
        </w:tc>
        <w:tc>
          <w:tcPr>
            <w:tcW w:w="994" w:type="dxa"/>
            <w:gridSpan w:val="2"/>
            <w:tcBorders>
              <w:top w:val="nil"/>
              <w:left w:val="nil"/>
              <w:bottom w:val="nil"/>
              <w:right w:val="nil"/>
            </w:tcBorders>
            <w:shd w:val="clear" w:color="auto" w:fill="auto"/>
            <w:noWrap/>
            <w:vAlign w:val="bottom"/>
            <w:hideMark/>
          </w:tcPr>
          <w:p w14:paraId="1471D2A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38.7</w:t>
            </w:r>
          </w:p>
        </w:tc>
        <w:tc>
          <w:tcPr>
            <w:tcW w:w="296" w:type="dxa"/>
            <w:gridSpan w:val="2"/>
            <w:tcBorders>
              <w:top w:val="nil"/>
              <w:left w:val="nil"/>
              <w:bottom w:val="nil"/>
              <w:right w:val="nil"/>
            </w:tcBorders>
          </w:tcPr>
          <w:p w14:paraId="6DAB908F"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69D59EC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9.2</w:t>
            </w:r>
          </w:p>
        </w:tc>
        <w:tc>
          <w:tcPr>
            <w:tcW w:w="1266" w:type="dxa"/>
            <w:tcBorders>
              <w:top w:val="nil"/>
              <w:left w:val="nil"/>
              <w:bottom w:val="nil"/>
              <w:right w:val="nil"/>
            </w:tcBorders>
            <w:shd w:val="clear" w:color="auto" w:fill="auto"/>
            <w:noWrap/>
            <w:vAlign w:val="bottom"/>
            <w:hideMark/>
          </w:tcPr>
          <w:p w14:paraId="4338460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12.5</w:t>
            </w:r>
          </w:p>
        </w:tc>
        <w:tc>
          <w:tcPr>
            <w:tcW w:w="994" w:type="dxa"/>
            <w:gridSpan w:val="2"/>
            <w:tcBorders>
              <w:top w:val="nil"/>
              <w:left w:val="nil"/>
              <w:bottom w:val="nil"/>
              <w:right w:val="single" w:sz="4" w:space="0" w:color="auto"/>
            </w:tcBorders>
            <w:shd w:val="clear" w:color="auto" w:fill="auto"/>
            <w:noWrap/>
            <w:vAlign w:val="bottom"/>
            <w:hideMark/>
          </w:tcPr>
          <w:p w14:paraId="60E3544E"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4.3</w:t>
            </w:r>
          </w:p>
        </w:tc>
      </w:tr>
      <w:tr w:rsidR="006745CD" w:rsidRPr="00E635F0" w14:paraId="09C9D068"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2E75BDEE"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7604214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3</w:t>
            </w:r>
          </w:p>
        </w:tc>
        <w:tc>
          <w:tcPr>
            <w:tcW w:w="758" w:type="dxa"/>
            <w:tcBorders>
              <w:top w:val="nil"/>
              <w:left w:val="nil"/>
              <w:bottom w:val="nil"/>
              <w:right w:val="nil"/>
            </w:tcBorders>
            <w:shd w:val="clear" w:color="auto" w:fill="auto"/>
            <w:noWrap/>
            <w:vAlign w:val="bottom"/>
            <w:hideMark/>
          </w:tcPr>
          <w:p w14:paraId="177EC95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75FEC8F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-8.1196</w:t>
            </w:r>
          </w:p>
        </w:tc>
        <w:tc>
          <w:tcPr>
            <w:tcW w:w="850" w:type="dxa"/>
            <w:tcBorders>
              <w:top w:val="nil"/>
              <w:left w:val="nil"/>
              <w:bottom w:val="nil"/>
              <w:right w:val="nil"/>
            </w:tcBorders>
            <w:shd w:val="clear" w:color="auto" w:fill="auto"/>
            <w:noWrap/>
            <w:vAlign w:val="bottom"/>
            <w:hideMark/>
          </w:tcPr>
          <w:p w14:paraId="4A70E56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110.5053</w:t>
            </w:r>
          </w:p>
        </w:tc>
        <w:tc>
          <w:tcPr>
            <w:tcW w:w="709" w:type="dxa"/>
            <w:tcBorders>
              <w:top w:val="nil"/>
              <w:left w:val="nil"/>
              <w:bottom w:val="nil"/>
              <w:right w:val="nil"/>
            </w:tcBorders>
            <w:shd w:val="clear" w:color="auto" w:fill="auto"/>
            <w:noWrap/>
            <w:vAlign w:val="bottom"/>
            <w:hideMark/>
          </w:tcPr>
          <w:p w14:paraId="681D7E7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0.24</w:t>
            </w:r>
          </w:p>
        </w:tc>
        <w:tc>
          <w:tcPr>
            <w:tcW w:w="836" w:type="dxa"/>
            <w:tcBorders>
              <w:top w:val="nil"/>
              <w:left w:val="nil"/>
              <w:bottom w:val="nil"/>
              <w:right w:val="nil"/>
            </w:tcBorders>
            <w:shd w:val="clear" w:color="auto" w:fill="auto"/>
            <w:noWrap/>
            <w:vAlign w:val="bottom"/>
            <w:hideMark/>
          </w:tcPr>
          <w:p w14:paraId="4E890068"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423.3</w:t>
            </w:r>
          </w:p>
        </w:tc>
        <w:tc>
          <w:tcPr>
            <w:tcW w:w="994" w:type="dxa"/>
            <w:gridSpan w:val="2"/>
            <w:tcBorders>
              <w:top w:val="nil"/>
              <w:left w:val="nil"/>
              <w:bottom w:val="nil"/>
              <w:right w:val="nil"/>
            </w:tcBorders>
            <w:shd w:val="clear" w:color="auto" w:fill="auto"/>
            <w:noWrap/>
            <w:vAlign w:val="bottom"/>
            <w:hideMark/>
          </w:tcPr>
          <w:p w14:paraId="78E16E9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296" w:type="dxa"/>
            <w:gridSpan w:val="2"/>
            <w:tcBorders>
              <w:top w:val="nil"/>
              <w:left w:val="nil"/>
              <w:bottom w:val="nil"/>
              <w:right w:val="nil"/>
            </w:tcBorders>
          </w:tcPr>
          <w:p w14:paraId="7B5BBA3E" w14:textId="77777777" w:rsidR="006745CD" w:rsidRPr="00E635F0" w:rsidRDefault="006745CD" w:rsidP="00845795">
            <w:pPr>
              <w:spacing w:after="0"/>
              <w:rPr>
                <w:rFonts w:eastAsia="Times New Roman" w:cs="Times New Roman"/>
                <w:sz w:val="20"/>
                <w:szCs w:val="20"/>
                <w:lang w:val="de-DE" w:eastAsia="de-DE"/>
              </w:rPr>
            </w:pPr>
          </w:p>
        </w:tc>
        <w:tc>
          <w:tcPr>
            <w:tcW w:w="1418" w:type="dxa"/>
            <w:tcBorders>
              <w:top w:val="nil"/>
              <w:left w:val="nil"/>
              <w:bottom w:val="nil"/>
              <w:right w:val="nil"/>
            </w:tcBorders>
            <w:shd w:val="clear" w:color="auto" w:fill="auto"/>
            <w:noWrap/>
            <w:vAlign w:val="bottom"/>
            <w:hideMark/>
          </w:tcPr>
          <w:p w14:paraId="0904C940" w14:textId="77777777" w:rsidR="006745CD" w:rsidRPr="00E635F0" w:rsidRDefault="006745CD" w:rsidP="00845795">
            <w:pPr>
              <w:spacing w:after="0"/>
              <w:rPr>
                <w:rFonts w:eastAsia="Times New Roman" w:cs="Times New Roman"/>
                <w:sz w:val="20"/>
                <w:szCs w:val="20"/>
                <w:lang w:val="de-DE" w:eastAsia="de-DE"/>
              </w:rPr>
            </w:pPr>
          </w:p>
        </w:tc>
        <w:tc>
          <w:tcPr>
            <w:tcW w:w="1266" w:type="dxa"/>
            <w:tcBorders>
              <w:top w:val="nil"/>
              <w:left w:val="nil"/>
              <w:bottom w:val="nil"/>
              <w:right w:val="nil"/>
            </w:tcBorders>
            <w:shd w:val="clear" w:color="auto" w:fill="auto"/>
            <w:noWrap/>
            <w:vAlign w:val="bottom"/>
            <w:hideMark/>
          </w:tcPr>
          <w:p w14:paraId="17A93EF2" w14:textId="77777777" w:rsidR="006745CD" w:rsidRPr="00E635F0" w:rsidRDefault="006745CD" w:rsidP="00845795">
            <w:pPr>
              <w:spacing w:after="0"/>
              <w:rPr>
                <w:rFonts w:eastAsia="Times New Roman" w:cs="Times New Roman"/>
                <w:sz w:val="20"/>
                <w:szCs w:val="20"/>
                <w:lang w:val="de-DE" w:eastAsia="de-DE"/>
              </w:rPr>
            </w:pPr>
          </w:p>
        </w:tc>
        <w:tc>
          <w:tcPr>
            <w:tcW w:w="994" w:type="dxa"/>
            <w:gridSpan w:val="2"/>
            <w:tcBorders>
              <w:top w:val="nil"/>
              <w:left w:val="nil"/>
              <w:bottom w:val="nil"/>
              <w:right w:val="single" w:sz="4" w:space="0" w:color="auto"/>
            </w:tcBorders>
            <w:shd w:val="clear" w:color="auto" w:fill="auto"/>
            <w:noWrap/>
            <w:vAlign w:val="bottom"/>
            <w:hideMark/>
          </w:tcPr>
          <w:p w14:paraId="52E0813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r>
      <w:tr w:rsidR="006745CD" w:rsidRPr="00E635F0" w14:paraId="685EBFF6"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1E4CECD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0825C8E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4</w:t>
            </w:r>
          </w:p>
        </w:tc>
        <w:tc>
          <w:tcPr>
            <w:tcW w:w="758" w:type="dxa"/>
            <w:tcBorders>
              <w:top w:val="nil"/>
              <w:left w:val="nil"/>
              <w:bottom w:val="nil"/>
              <w:right w:val="nil"/>
            </w:tcBorders>
            <w:shd w:val="clear" w:color="auto" w:fill="auto"/>
            <w:noWrap/>
            <w:vAlign w:val="bottom"/>
            <w:hideMark/>
          </w:tcPr>
          <w:p w14:paraId="2C98D12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7D9CCECF" w14:textId="77777777" w:rsidR="006745CD" w:rsidRPr="00E635F0" w:rsidRDefault="006745CD" w:rsidP="00845795">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-8.1284</w:t>
            </w:r>
          </w:p>
        </w:tc>
        <w:tc>
          <w:tcPr>
            <w:tcW w:w="850" w:type="dxa"/>
            <w:tcBorders>
              <w:top w:val="nil"/>
              <w:left w:val="nil"/>
              <w:bottom w:val="nil"/>
              <w:right w:val="nil"/>
            </w:tcBorders>
            <w:shd w:val="clear" w:color="auto" w:fill="auto"/>
            <w:noWrap/>
            <w:vAlign w:val="bottom"/>
            <w:hideMark/>
          </w:tcPr>
          <w:p w14:paraId="03B6CEE4" w14:textId="77777777" w:rsidR="006745CD" w:rsidRPr="00E635F0" w:rsidRDefault="006745CD" w:rsidP="00845795">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110.5482</w:t>
            </w:r>
          </w:p>
        </w:tc>
        <w:tc>
          <w:tcPr>
            <w:tcW w:w="709" w:type="dxa"/>
            <w:tcBorders>
              <w:top w:val="nil"/>
              <w:left w:val="nil"/>
              <w:bottom w:val="nil"/>
              <w:right w:val="nil"/>
            </w:tcBorders>
            <w:shd w:val="clear" w:color="auto" w:fill="auto"/>
            <w:noWrap/>
            <w:vAlign w:val="bottom"/>
            <w:hideMark/>
          </w:tcPr>
          <w:p w14:paraId="172BC5B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0.25</w:t>
            </w:r>
          </w:p>
        </w:tc>
        <w:tc>
          <w:tcPr>
            <w:tcW w:w="836" w:type="dxa"/>
            <w:tcBorders>
              <w:top w:val="nil"/>
              <w:left w:val="nil"/>
              <w:bottom w:val="nil"/>
              <w:right w:val="nil"/>
            </w:tcBorders>
            <w:shd w:val="clear" w:color="auto" w:fill="auto"/>
            <w:noWrap/>
            <w:vAlign w:val="bottom"/>
            <w:hideMark/>
          </w:tcPr>
          <w:p w14:paraId="054BC802" w14:textId="77777777" w:rsidR="006745CD" w:rsidRPr="00E635F0" w:rsidRDefault="006745CD" w:rsidP="006745CD">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407.9</w:t>
            </w:r>
          </w:p>
        </w:tc>
        <w:tc>
          <w:tcPr>
            <w:tcW w:w="994" w:type="dxa"/>
            <w:gridSpan w:val="2"/>
            <w:tcBorders>
              <w:top w:val="nil"/>
              <w:left w:val="nil"/>
              <w:bottom w:val="nil"/>
              <w:right w:val="nil"/>
            </w:tcBorders>
            <w:shd w:val="clear" w:color="auto" w:fill="auto"/>
            <w:noWrap/>
            <w:vAlign w:val="bottom"/>
            <w:hideMark/>
          </w:tcPr>
          <w:p w14:paraId="4744AAC0" w14:textId="77777777" w:rsidR="006745CD" w:rsidRPr="00E635F0" w:rsidRDefault="006745CD" w:rsidP="00845795">
            <w:pPr>
              <w:spacing w:after="0"/>
              <w:rPr>
                <w:rFonts w:ascii="Calibri" w:eastAsia="Times New Roman" w:hAnsi="Calibri" w:cs="Calibri"/>
                <w:sz w:val="18"/>
                <w:szCs w:val="18"/>
                <w:lang w:val="de-DE" w:eastAsia="de-DE"/>
              </w:rPr>
            </w:pPr>
          </w:p>
        </w:tc>
        <w:tc>
          <w:tcPr>
            <w:tcW w:w="296" w:type="dxa"/>
            <w:gridSpan w:val="2"/>
            <w:tcBorders>
              <w:top w:val="nil"/>
              <w:left w:val="nil"/>
              <w:bottom w:val="nil"/>
              <w:right w:val="nil"/>
            </w:tcBorders>
          </w:tcPr>
          <w:p w14:paraId="3057602B" w14:textId="77777777" w:rsidR="006745CD" w:rsidRPr="00E635F0" w:rsidRDefault="006745CD" w:rsidP="00845795">
            <w:pPr>
              <w:spacing w:after="0"/>
              <w:rPr>
                <w:rFonts w:eastAsia="Times New Roman" w:cs="Times New Roman"/>
                <w:sz w:val="20"/>
                <w:szCs w:val="20"/>
                <w:lang w:val="de-DE" w:eastAsia="de-DE"/>
              </w:rPr>
            </w:pPr>
          </w:p>
        </w:tc>
        <w:tc>
          <w:tcPr>
            <w:tcW w:w="1418" w:type="dxa"/>
            <w:tcBorders>
              <w:top w:val="nil"/>
              <w:left w:val="nil"/>
              <w:bottom w:val="nil"/>
              <w:right w:val="nil"/>
            </w:tcBorders>
            <w:shd w:val="clear" w:color="auto" w:fill="auto"/>
            <w:noWrap/>
            <w:vAlign w:val="bottom"/>
            <w:hideMark/>
          </w:tcPr>
          <w:p w14:paraId="231111FD" w14:textId="77777777" w:rsidR="006745CD" w:rsidRPr="00E635F0" w:rsidRDefault="006745CD" w:rsidP="00845795">
            <w:pPr>
              <w:spacing w:after="0"/>
              <w:rPr>
                <w:rFonts w:eastAsia="Times New Roman" w:cs="Times New Roman"/>
                <w:sz w:val="20"/>
                <w:szCs w:val="20"/>
                <w:lang w:val="de-DE" w:eastAsia="de-DE"/>
              </w:rPr>
            </w:pPr>
          </w:p>
        </w:tc>
        <w:tc>
          <w:tcPr>
            <w:tcW w:w="1266" w:type="dxa"/>
            <w:tcBorders>
              <w:top w:val="nil"/>
              <w:left w:val="nil"/>
              <w:bottom w:val="nil"/>
              <w:right w:val="nil"/>
            </w:tcBorders>
            <w:shd w:val="clear" w:color="auto" w:fill="auto"/>
            <w:noWrap/>
            <w:vAlign w:val="bottom"/>
            <w:hideMark/>
          </w:tcPr>
          <w:p w14:paraId="60EBCB82" w14:textId="77777777" w:rsidR="006745CD" w:rsidRPr="00E635F0" w:rsidRDefault="006745CD" w:rsidP="00845795">
            <w:pPr>
              <w:spacing w:after="0"/>
              <w:rPr>
                <w:rFonts w:eastAsia="Times New Roman" w:cs="Times New Roman"/>
                <w:sz w:val="20"/>
                <w:szCs w:val="20"/>
                <w:lang w:val="de-DE" w:eastAsia="de-DE"/>
              </w:rPr>
            </w:pPr>
          </w:p>
        </w:tc>
        <w:tc>
          <w:tcPr>
            <w:tcW w:w="994" w:type="dxa"/>
            <w:gridSpan w:val="2"/>
            <w:tcBorders>
              <w:top w:val="nil"/>
              <w:left w:val="nil"/>
              <w:bottom w:val="nil"/>
              <w:right w:val="single" w:sz="4" w:space="0" w:color="auto"/>
            </w:tcBorders>
            <w:shd w:val="clear" w:color="auto" w:fill="auto"/>
            <w:noWrap/>
            <w:vAlign w:val="bottom"/>
            <w:hideMark/>
          </w:tcPr>
          <w:p w14:paraId="50EB27B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r>
      <w:tr w:rsidR="006745CD" w:rsidRPr="00E635F0" w14:paraId="212FDAF2"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15F73A94"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488EFD0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5</w:t>
            </w:r>
          </w:p>
        </w:tc>
        <w:tc>
          <w:tcPr>
            <w:tcW w:w="758" w:type="dxa"/>
            <w:tcBorders>
              <w:top w:val="nil"/>
              <w:left w:val="nil"/>
              <w:bottom w:val="nil"/>
              <w:right w:val="nil"/>
            </w:tcBorders>
            <w:shd w:val="clear" w:color="auto" w:fill="auto"/>
            <w:noWrap/>
            <w:vAlign w:val="bottom"/>
            <w:hideMark/>
          </w:tcPr>
          <w:p w14:paraId="308EF24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76F07E3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-8.1399</w:t>
            </w:r>
          </w:p>
        </w:tc>
        <w:tc>
          <w:tcPr>
            <w:tcW w:w="850" w:type="dxa"/>
            <w:tcBorders>
              <w:top w:val="nil"/>
              <w:left w:val="nil"/>
              <w:bottom w:val="nil"/>
              <w:right w:val="nil"/>
            </w:tcBorders>
            <w:shd w:val="clear" w:color="auto" w:fill="auto"/>
            <w:noWrap/>
            <w:vAlign w:val="bottom"/>
            <w:hideMark/>
          </w:tcPr>
          <w:p w14:paraId="0327766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110.5821</w:t>
            </w:r>
          </w:p>
        </w:tc>
        <w:tc>
          <w:tcPr>
            <w:tcW w:w="709" w:type="dxa"/>
            <w:tcBorders>
              <w:top w:val="nil"/>
              <w:left w:val="nil"/>
              <w:bottom w:val="nil"/>
              <w:right w:val="nil"/>
            </w:tcBorders>
            <w:shd w:val="clear" w:color="auto" w:fill="auto"/>
            <w:noWrap/>
            <w:vAlign w:val="bottom"/>
            <w:hideMark/>
          </w:tcPr>
          <w:p w14:paraId="1BF50BB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4.39</w:t>
            </w:r>
          </w:p>
        </w:tc>
        <w:tc>
          <w:tcPr>
            <w:tcW w:w="836" w:type="dxa"/>
            <w:tcBorders>
              <w:top w:val="nil"/>
              <w:left w:val="nil"/>
              <w:bottom w:val="nil"/>
              <w:right w:val="nil"/>
            </w:tcBorders>
            <w:shd w:val="clear" w:color="auto" w:fill="auto"/>
            <w:noWrap/>
            <w:vAlign w:val="bottom"/>
            <w:hideMark/>
          </w:tcPr>
          <w:p w14:paraId="22CFCA06" w14:textId="77777777" w:rsidR="006745CD" w:rsidRPr="00E635F0" w:rsidRDefault="006745CD" w:rsidP="006745CD">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326.6</w:t>
            </w:r>
          </w:p>
        </w:tc>
        <w:tc>
          <w:tcPr>
            <w:tcW w:w="994" w:type="dxa"/>
            <w:gridSpan w:val="2"/>
            <w:tcBorders>
              <w:top w:val="nil"/>
              <w:left w:val="nil"/>
              <w:bottom w:val="nil"/>
              <w:right w:val="nil"/>
            </w:tcBorders>
            <w:shd w:val="clear" w:color="auto" w:fill="auto"/>
            <w:noWrap/>
            <w:vAlign w:val="bottom"/>
            <w:hideMark/>
          </w:tcPr>
          <w:p w14:paraId="1885FE6E" w14:textId="77777777" w:rsidR="006745CD" w:rsidRPr="00E635F0" w:rsidRDefault="006745CD" w:rsidP="00845795">
            <w:pPr>
              <w:spacing w:after="0"/>
              <w:rPr>
                <w:rFonts w:ascii="Calibri" w:eastAsia="Times New Roman" w:hAnsi="Calibri" w:cs="Calibri"/>
                <w:sz w:val="18"/>
                <w:szCs w:val="18"/>
                <w:lang w:val="de-DE" w:eastAsia="de-DE"/>
              </w:rPr>
            </w:pPr>
          </w:p>
        </w:tc>
        <w:tc>
          <w:tcPr>
            <w:tcW w:w="296" w:type="dxa"/>
            <w:gridSpan w:val="2"/>
            <w:tcBorders>
              <w:top w:val="nil"/>
              <w:left w:val="nil"/>
              <w:bottom w:val="nil"/>
              <w:right w:val="nil"/>
            </w:tcBorders>
          </w:tcPr>
          <w:p w14:paraId="677E88EA" w14:textId="77777777" w:rsidR="006745CD" w:rsidRPr="00E635F0" w:rsidRDefault="006745CD" w:rsidP="00845795">
            <w:pPr>
              <w:spacing w:after="0"/>
              <w:rPr>
                <w:rFonts w:eastAsia="Times New Roman" w:cs="Times New Roman"/>
                <w:sz w:val="20"/>
                <w:szCs w:val="20"/>
                <w:lang w:val="de-DE" w:eastAsia="de-DE"/>
              </w:rPr>
            </w:pPr>
          </w:p>
        </w:tc>
        <w:tc>
          <w:tcPr>
            <w:tcW w:w="1418" w:type="dxa"/>
            <w:tcBorders>
              <w:top w:val="nil"/>
              <w:left w:val="nil"/>
              <w:bottom w:val="nil"/>
              <w:right w:val="nil"/>
            </w:tcBorders>
            <w:shd w:val="clear" w:color="auto" w:fill="auto"/>
            <w:noWrap/>
            <w:vAlign w:val="bottom"/>
            <w:hideMark/>
          </w:tcPr>
          <w:p w14:paraId="7C5779BB" w14:textId="77777777" w:rsidR="006745CD" w:rsidRPr="00E635F0" w:rsidRDefault="006745CD" w:rsidP="00845795">
            <w:pPr>
              <w:spacing w:after="0"/>
              <w:rPr>
                <w:rFonts w:eastAsia="Times New Roman" w:cs="Times New Roman"/>
                <w:sz w:val="20"/>
                <w:szCs w:val="20"/>
                <w:lang w:val="de-DE" w:eastAsia="de-DE"/>
              </w:rPr>
            </w:pPr>
          </w:p>
        </w:tc>
        <w:tc>
          <w:tcPr>
            <w:tcW w:w="1266" w:type="dxa"/>
            <w:tcBorders>
              <w:top w:val="nil"/>
              <w:left w:val="nil"/>
              <w:bottom w:val="nil"/>
              <w:right w:val="nil"/>
            </w:tcBorders>
            <w:shd w:val="clear" w:color="auto" w:fill="auto"/>
            <w:noWrap/>
            <w:vAlign w:val="bottom"/>
            <w:hideMark/>
          </w:tcPr>
          <w:p w14:paraId="42E5FD62" w14:textId="77777777" w:rsidR="006745CD" w:rsidRPr="00E635F0" w:rsidRDefault="006745CD" w:rsidP="00845795">
            <w:pPr>
              <w:spacing w:after="0"/>
              <w:rPr>
                <w:rFonts w:eastAsia="Times New Roman" w:cs="Times New Roman"/>
                <w:sz w:val="20"/>
                <w:szCs w:val="20"/>
                <w:lang w:val="de-DE" w:eastAsia="de-DE"/>
              </w:rPr>
            </w:pPr>
          </w:p>
        </w:tc>
        <w:tc>
          <w:tcPr>
            <w:tcW w:w="994" w:type="dxa"/>
            <w:gridSpan w:val="2"/>
            <w:tcBorders>
              <w:top w:val="nil"/>
              <w:left w:val="nil"/>
              <w:bottom w:val="nil"/>
              <w:right w:val="single" w:sz="4" w:space="0" w:color="auto"/>
            </w:tcBorders>
            <w:shd w:val="clear" w:color="auto" w:fill="auto"/>
            <w:noWrap/>
            <w:vAlign w:val="bottom"/>
            <w:hideMark/>
          </w:tcPr>
          <w:p w14:paraId="0C367B9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r>
      <w:tr w:rsidR="006745CD" w:rsidRPr="00E635F0" w14:paraId="13A32F92"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43EF4B42"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4E26F88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6</w:t>
            </w:r>
          </w:p>
        </w:tc>
        <w:tc>
          <w:tcPr>
            <w:tcW w:w="758" w:type="dxa"/>
            <w:tcBorders>
              <w:top w:val="nil"/>
              <w:left w:val="nil"/>
              <w:bottom w:val="nil"/>
              <w:right w:val="nil"/>
            </w:tcBorders>
            <w:shd w:val="clear" w:color="auto" w:fill="auto"/>
            <w:noWrap/>
            <w:vAlign w:val="bottom"/>
            <w:hideMark/>
          </w:tcPr>
          <w:p w14:paraId="4819D6F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2258C63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-8.1399</w:t>
            </w:r>
          </w:p>
        </w:tc>
        <w:tc>
          <w:tcPr>
            <w:tcW w:w="850" w:type="dxa"/>
            <w:tcBorders>
              <w:top w:val="nil"/>
              <w:left w:val="nil"/>
              <w:bottom w:val="nil"/>
              <w:right w:val="nil"/>
            </w:tcBorders>
            <w:shd w:val="clear" w:color="auto" w:fill="auto"/>
            <w:noWrap/>
            <w:vAlign w:val="bottom"/>
            <w:hideMark/>
          </w:tcPr>
          <w:p w14:paraId="42B8982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110.5821</w:t>
            </w:r>
          </w:p>
        </w:tc>
        <w:tc>
          <w:tcPr>
            <w:tcW w:w="709" w:type="dxa"/>
            <w:tcBorders>
              <w:top w:val="nil"/>
              <w:left w:val="nil"/>
              <w:bottom w:val="nil"/>
              <w:right w:val="nil"/>
            </w:tcBorders>
            <w:shd w:val="clear" w:color="auto" w:fill="auto"/>
            <w:noWrap/>
            <w:vAlign w:val="bottom"/>
            <w:hideMark/>
          </w:tcPr>
          <w:p w14:paraId="3EB0D84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9.64</w:t>
            </w:r>
          </w:p>
        </w:tc>
        <w:tc>
          <w:tcPr>
            <w:tcW w:w="836" w:type="dxa"/>
            <w:tcBorders>
              <w:top w:val="nil"/>
              <w:left w:val="nil"/>
              <w:bottom w:val="nil"/>
              <w:right w:val="nil"/>
            </w:tcBorders>
            <w:shd w:val="clear" w:color="auto" w:fill="auto"/>
            <w:noWrap/>
            <w:vAlign w:val="bottom"/>
            <w:hideMark/>
          </w:tcPr>
          <w:p w14:paraId="216698D4" w14:textId="77777777" w:rsidR="006745CD" w:rsidRPr="00E635F0" w:rsidRDefault="006745CD" w:rsidP="006745CD">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273.9</w:t>
            </w:r>
          </w:p>
        </w:tc>
        <w:tc>
          <w:tcPr>
            <w:tcW w:w="994" w:type="dxa"/>
            <w:gridSpan w:val="2"/>
            <w:tcBorders>
              <w:top w:val="nil"/>
              <w:left w:val="nil"/>
              <w:bottom w:val="nil"/>
              <w:right w:val="nil"/>
            </w:tcBorders>
            <w:shd w:val="clear" w:color="auto" w:fill="auto"/>
            <w:noWrap/>
            <w:vAlign w:val="bottom"/>
            <w:hideMark/>
          </w:tcPr>
          <w:p w14:paraId="7801BFD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27.2</w:t>
            </w:r>
          </w:p>
        </w:tc>
        <w:tc>
          <w:tcPr>
            <w:tcW w:w="296" w:type="dxa"/>
            <w:gridSpan w:val="2"/>
            <w:tcBorders>
              <w:top w:val="nil"/>
              <w:left w:val="nil"/>
              <w:bottom w:val="nil"/>
              <w:right w:val="nil"/>
            </w:tcBorders>
          </w:tcPr>
          <w:p w14:paraId="7629E8EE"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40D9F17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3.9</w:t>
            </w:r>
          </w:p>
        </w:tc>
        <w:tc>
          <w:tcPr>
            <w:tcW w:w="1266" w:type="dxa"/>
            <w:tcBorders>
              <w:top w:val="nil"/>
              <w:left w:val="nil"/>
              <w:bottom w:val="nil"/>
              <w:right w:val="nil"/>
            </w:tcBorders>
            <w:shd w:val="clear" w:color="auto" w:fill="auto"/>
            <w:noWrap/>
            <w:vAlign w:val="bottom"/>
            <w:hideMark/>
          </w:tcPr>
          <w:p w14:paraId="0411379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17.6</w:t>
            </w:r>
          </w:p>
        </w:tc>
        <w:tc>
          <w:tcPr>
            <w:tcW w:w="994" w:type="dxa"/>
            <w:gridSpan w:val="2"/>
            <w:tcBorders>
              <w:top w:val="nil"/>
              <w:left w:val="nil"/>
              <w:bottom w:val="nil"/>
              <w:right w:val="single" w:sz="4" w:space="0" w:color="auto"/>
            </w:tcBorders>
            <w:shd w:val="clear" w:color="auto" w:fill="auto"/>
            <w:noWrap/>
            <w:vAlign w:val="bottom"/>
            <w:hideMark/>
          </w:tcPr>
          <w:p w14:paraId="238DD7F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4.2</w:t>
            </w:r>
          </w:p>
        </w:tc>
      </w:tr>
      <w:tr w:rsidR="006745CD" w:rsidRPr="00E635F0" w14:paraId="10BD1200"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7664ABC8"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0F1F1D4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7</w:t>
            </w:r>
          </w:p>
        </w:tc>
        <w:tc>
          <w:tcPr>
            <w:tcW w:w="758" w:type="dxa"/>
            <w:tcBorders>
              <w:top w:val="nil"/>
              <w:left w:val="nil"/>
              <w:bottom w:val="nil"/>
              <w:right w:val="nil"/>
            </w:tcBorders>
            <w:shd w:val="clear" w:color="auto" w:fill="auto"/>
            <w:noWrap/>
            <w:vAlign w:val="bottom"/>
            <w:hideMark/>
          </w:tcPr>
          <w:p w14:paraId="37B21B5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right w:val="nil"/>
            </w:tcBorders>
            <w:shd w:val="clear" w:color="auto" w:fill="auto"/>
            <w:noWrap/>
            <w:vAlign w:val="bottom"/>
            <w:hideMark/>
          </w:tcPr>
          <w:p w14:paraId="46D05C9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-8.1196</w:t>
            </w:r>
          </w:p>
        </w:tc>
        <w:tc>
          <w:tcPr>
            <w:tcW w:w="850" w:type="dxa"/>
            <w:tcBorders>
              <w:top w:val="nil"/>
              <w:left w:val="nil"/>
              <w:right w:val="nil"/>
            </w:tcBorders>
            <w:shd w:val="clear" w:color="auto" w:fill="auto"/>
            <w:noWrap/>
            <w:vAlign w:val="bottom"/>
            <w:hideMark/>
          </w:tcPr>
          <w:p w14:paraId="427D8B6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110.5053</w:t>
            </w:r>
          </w:p>
        </w:tc>
        <w:tc>
          <w:tcPr>
            <w:tcW w:w="709" w:type="dxa"/>
            <w:tcBorders>
              <w:top w:val="nil"/>
              <w:left w:val="nil"/>
              <w:bottom w:val="nil"/>
              <w:right w:val="nil"/>
            </w:tcBorders>
            <w:shd w:val="clear" w:color="auto" w:fill="auto"/>
            <w:noWrap/>
            <w:vAlign w:val="bottom"/>
            <w:hideMark/>
          </w:tcPr>
          <w:p w14:paraId="6559301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0.34</w:t>
            </w:r>
          </w:p>
        </w:tc>
        <w:tc>
          <w:tcPr>
            <w:tcW w:w="836" w:type="dxa"/>
            <w:tcBorders>
              <w:top w:val="nil"/>
              <w:left w:val="nil"/>
              <w:bottom w:val="nil"/>
              <w:right w:val="nil"/>
            </w:tcBorders>
            <w:shd w:val="clear" w:color="auto" w:fill="auto"/>
            <w:noWrap/>
            <w:vAlign w:val="bottom"/>
            <w:hideMark/>
          </w:tcPr>
          <w:p w14:paraId="29964450" w14:textId="77777777" w:rsidR="006745CD" w:rsidRPr="00E635F0" w:rsidRDefault="006745CD" w:rsidP="006745CD">
            <w:pPr>
              <w:spacing w:after="0"/>
              <w:rPr>
                <w:rFonts w:ascii="Calibri" w:eastAsia="Times New Roman" w:hAnsi="Calibri" w:cs="Calibri"/>
                <w:sz w:val="18"/>
                <w:szCs w:val="18"/>
                <w:lang w:val="de-DE" w:eastAsia="de-DE"/>
              </w:rPr>
            </w:pPr>
            <w:r w:rsidRPr="00E635F0">
              <w:rPr>
                <w:rFonts w:ascii="Calibri" w:eastAsia="Times New Roman" w:hAnsi="Calibri" w:cs="Calibri"/>
                <w:sz w:val="18"/>
                <w:szCs w:val="18"/>
                <w:lang w:val="de-DE" w:eastAsia="de-DE"/>
              </w:rPr>
              <w:t>324.6</w:t>
            </w:r>
          </w:p>
        </w:tc>
        <w:tc>
          <w:tcPr>
            <w:tcW w:w="994" w:type="dxa"/>
            <w:gridSpan w:val="2"/>
            <w:tcBorders>
              <w:top w:val="nil"/>
              <w:left w:val="nil"/>
              <w:bottom w:val="nil"/>
              <w:right w:val="nil"/>
            </w:tcBorders>
            <w:shd w:val="clear" w:color="auto" w:fill="auto"/>
            <w:noWrap/>
            <w:vAlign w:val="bottom"/>
            <w:hideMark/>
          </w:tcPr>
          <w:p w14:paraId="04C76AC3" w14:textId="77777777" w:rsidR="006745CD" w:rsidRPr="00E635F0" w:rsidRDefault="006745CD" w:rsidP="00845795">
            <w:pPr>
              <w:spacing w:after="0"/>
              <w:rPr>
                <w:rFonts w:ascii="Calibri" w:eastAsia="Times New Roman" w:hAnsi="Calibri" w:cs="Calibri"/>
                <w:sz w:val="18"/>
                <w:szCs w:val="18"/>
                <w:lang w:val="de-DE" w:eastAsia="de-DE"/>
              </w:rPr>
            </w:pPr>
          </w:p>
        </w:tc>
        <w:tc>
          <w:tcPr>
            <w:tcW w:w="296" w:type="dxa"/>
            <w:gridSpan w:val="2"/>
            <w:tcBorders>
              <w:top w:val="nil"/>
              <w:left w:val="nil"/>
              <w:bottom w:val="nil"/>
              <w:right w:val="nil"/>
            </w:tcBorders>
          </w:tcPr>
          <w:p w14:paraId="71576911" w14:textId="77777777" w:rsidR="006745CD" w:rsidRPr="00E635F0" w:rsidRDefault="006745CD" w:rsidP="00845795">
            <w:pPr>
              <w:spacing w:after="0"/>
              <w:rPr>
                <w:rFonts w:eastAsia="Times New Roman" w:cs="Times New Roman"/>
                <w:sz w:val="20"/>
                <w:szCs w:val="20"/>
                <w:lang w:val="de-DE" w:eastAsia="de-DE"/>
              </w:rPr>
            </w:pPr>
          </w:p>
        </w:tc>
        <w:tc>
          <w:tcPr>
            <w:tcW w:w="1418" w:type="dxa"/>
            <w:tcBorders>
              <w:top w:val="nil"/>
              <w:left w:val="nil"/>
              <w:bottom w:val="nil"/>
              <w:right w:val="nil"/>
            </w:tcBorders>
            <w:shd w:val="clear" w:color="auto" w:fill="auto"/>
            <w:noWrap/>
            <w:vAlign w:val="bottom"/>
            <w:hideMark/>
          </w:tcPr>
          <w:p w14:paraId="4166B427" w14:textId="77777777" w:rsidR="006745CD" w:rsidRPr="00E635F0" w:rsidRDefault="006745CD" w:rsidP="00845795">
            <w:pPr>
              <w:spacing w:after="0"/>
              <w:rPr>
                <w:rFonts w:eastAsia="Times New Roman" w:cs="Times New Roman"/>
                <w:sz w:val="20"/>
                <w:szCs w:val="20"/>
                <w:lang w:val="de-DE" w:eastAsia="de-DE"/>
              </w:rPr>
            </w:pPr>
          </w:p>
        </w:tc>
        <w:tc>
          <w:tcPr>
            <w:tcW w:w="1266" w:type="dxa"/>
            <w:tcBorders>
              <w:top w:val="nil"/>
              <w:left w:val="nil"/>
              <w:bottom w:val="nil"/>
              <w:right w:val="nil"/>
            </w:tcBorders>
            <w:shd w:val="clear" w:color="auto" w:fill="auto"/>
            <w:noWrap/>
            <w:vAlign w:val="bottom"/>
            <w:hideMark/>
          </w:tcPr>
          <w:p w14:paraId="1C1A0321" w14:textId="77777777" w:rsidR="006745CD" w:rsidRPr="00E635F0" w:rsidRDefault="006745CD" w:rsidP="00845795">
            <w:pPr>
              <w:spacing w:after="0"/>
              <w:rPr>
                <w:rFonts w:eastAsia="Times New Roman" w:cs="Times New Roman"/>
                <w:sz w:val="20"/>
                <w:szCs w:val="20"/>
                <w:lang w:val="de-DE" w:eastAsia="de-DE"/>
              </w:rPr>
            </w:pPr>
          </w:p>
        </w:tc>
        <w:tc>
          <w:tcPr>
            <w:tcW w:w="994" w:type="dxa"/>
            <w:gridSpan w:val="2"/>
            <w:tcBorders>
              <w:top w:val="nil"/>
              <w:left w:val="nil"/>
              <w:bottom w:val="nil"/>
              <w:right w:val="single" w:sz="4" w:space="0" w:color="auto"/>
            </w:tcBorders>
            <w:shd w:val="clear" w:color="auto" w:fill="auto"/>
            <w:noWrap/>
            <w:vAlign w:val="bottom"/>
            <w:hideMark/>
          </w:tcPr>
          <w:p w14:paraId="2CF6BCF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r>
      <w:tr w:rsidR="006745CD" w:rsidRPr="00E635F0" w14:paraId="587DC281"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4068468B"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single" w:sz="4" w:space="0" w:color="auto"/>
              <w:right w:val="nil"/>
            </w:tcBorders>
            <w:shd w:val="clear" w:color="auto" w:fill="auto"/>
            <w:noWrap/>
            <w:vAlign w:val="bottom"/>
            <w:hideMark/>
          </w:tcPr>
          <w:p w14:paraId="7B67135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Spring 8</w:t>
            </w:r>
          </w:p>
        </w:tc>
        <w:tc>
          <w:tcPr>
            <w:tcW w:w="758" w:type="dxa"/>
            <w:tcBorders>
              <w:top w:val="nil"/>
              <w:left w:val="nil"/>
              <w:bottom w:val="single" w:sz="4" w:space="0" w:color="auto"/>
              <w:right w:val="nil"/>
            </w:tcBorders>
            <w:shd w:val="clear" w:color="auto" w:fill="auto"/>
            <w:noWrap/>
            <w:vAlign w:val="bottom"/>
            <w:hideMark/>
          </w:tcPr>
          <w:p w14:paraId="3C5DF06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single" w:sz="4" w:space="0" w:color="auto"/>
              <w:right w:val="nil"/>
            </w:tcBorders>
            <w:shd w:val="clear" w:color="auto" w:fill="auto"/>
            <w:noWrap/>
            <w:vAlign w:val="bottom"/>
            <w:hideMark/>
          </w:tcPr>
          <w:p w14:paraId="7ADDA7A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-8.1219</w:t>
            </w:r>
          </w:p>
        </w:tc>
        <w:tc>
          <w:tcPr>
            <w:tcW w:w="850" w:type="dxa"/>
            <w:tcBorders>
              <w:top w:val="nil"/>
              <w:left w:val="nil"/>
              <w:bottom w:val="single" w:sz="4" w:space="0" w:color="auto"/>
              <w:right w:val="nil"/>
            </w:tcBorders>
            <w:shd w:val="clear" w:color="auto" w:fill="auto"/>
            <w:noWrap/>
            <w:vAlign w:val="bottom"/>
            <w:hideMark/>
          </w:tcPr>
          <w:p w14:paraId="247620B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110.5143</w:t>
            </w:r>
          </w:p>
        </w:tc>
        <w:tc>
          <w:tcPr>
            <w:tcW w:w="709" w:type="dxa"/>
            <w:tcBorders>
              <w:top w:val="nil"/>
              <w:left w:val="nil"/>
              <w:bottom w:val="single" w:sz="4" w:space="0" w:color="auto"/>
              <w:right w:val="nil"/>
            </w:tcBorders>
            <w:shd w:val="clear" w:color="auto" w:fill="auto"/>
            <w:noWrap/>
            <w:vAlign w:val="bottom"/>
            <w:hideMark/>
          </w:tcPr>
          <w:p w14:paraId="62D0EA8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11.27</w:t>
            </w:r>
          </w:p>
        </w:tc>
        <w:tc>
          <w:tcPr>
            <w:tcW w:w="836" w:type="dxa"/>
            <w:tcBorders>
              <w:top w:val="nil"/>
              <w:left w:val="nil"/>
              <w:bottom w:val="single" w:sz="4" w:space="0" w:color="auto"/>
              <w:right w:val="nil"/>
            </w:tcBorders>
            <w:shd w:val="clear" w:color="auto" w:fill="auto"/>
            <w:noWrap/>
            <w:vAlign w:val="bottom"/>
            <w:hideMark/>
          </w:tcPr>
          <w:p w14:paraId="03C35C00"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202.1</w:t>
            </w:r>
          </w:p>
        </w:tc>
        <w:tc>
          <w:tcPr>
            <w:tcW w:w="994" w:type="dxa"/>
            <w:gridSpan w:val="2"/>
            <w:tcBorders>
              <w:top w:val="nil"/>
              <w:left w:val="nil"/>
              <w:bottom w:val="single" w:sz="4" w:space="0" w:color="auto"/>
              <w:right w:val="nil"/>
            </w:tcBorders>
            <w:shd w:val="clear" w:color="auto" w:fill="auto"/>
            <w:noWrap/>
            <w:vAlign w:val="bottom"/>
            <w:hideMark/>
          </w:tcPr>
          <w:p w14:paraId="78AD1CA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c>
          <w:tcPr>
            <w:tcW w:w="296" w:type="dxa"/>
            <w:gridSpan w:val="2"/>
            <w:tcBorders>
              <w:top w:val="nil"/>
              <w:left w:val="nil"/>
              <w:bottom w:val="single" w:sz="4" w:space="0" w:color="auto"/>
              <w:right w:val="nil"/>
            </w:tcBorders>
          </w:tcPr>
          <w:p w14:paraId="243021E9"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single" w:sz="4" w:space="0" w:color="auto"/>
              <w:right w:val="nil"/>
            </w:tcBorders>
            <w:shd w:val="clear" w:color="auto" w:fill="auto"/>
            <w:noWrap/>
            <w:vAlign w:val="bottom"/>
            <w:hideMark/>
          </w:tcPr>
          <w:p w14:paraId="65919DD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c>
          <w:tcPr>
            <w:tcW w:w="1266" w:type="dxa"/>
            <w:tcBorders>
              <w:top w:val="nil"/>
              <w:left w:val="nil"/>
              <w:bottom w:val="single" w:sz="4" w:space="0" w:color="auto"/>
              <w:right w:val="nil"/>
            </w:tcBorders>
            <w:shd w:val="clear" w:color="auto" w:fill="auto"/>
            <w:noWrap/>
            <w:vAlign w:val="bottom"/>
            <w:hideMark/>
          </w:tcPr>
          <w:p w14:paraId="1E60414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6DB51F4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 </w:t>
            </w:r>
          </w:p>
        </w:tc>
      </w:tr>
      <w:tr w:rsidR="006745CD" w:rsidRPr="00E635F0" w14:paraId="13F127E0" w14:textId="77777777" w:rsidTr="006745CD">
        <w:trPr>
          <w:trHeight w:val="300"/>
        </w:trPr>
        <w:tc>
          <w:tcPr>
            <w:tcW w:w="38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B9BB54A" w14:textId="77777777" w:rsidR="006745CD" w:rsidRPr="00E635F0" w:rsidRDefault="006745CD" w:rsidP="00845795">
            <w:pPr>
              <w:spacing w:after="0"/>
              <w:jc w:val="center"/>
              <w:rPr>
                <w:rFonts w:ascii="Calibri" w:eastAsia="Times New Roman" w:hAnsi="Calibri" w:cs="Calibri"/>
                <w:color w:val="000000"/>
                <w:sz w:val="18"/>
                <w:szCs w:val="18"/>
                <w:lang w:val="de-DE" w:eastAsia="de-DE"/>
              </w:rPr>
            </w:pPr>
            <w:proofErr w:type="spellStart"/>
            <w:r w:rsidRPr="00E635F0">
              <w:rPr>
                <w:rFonts w:ascii="Calibri" w:eastAsia="Times New Roman" w:hAnsi="Calibri" w:cs="Calibri"/>
                <w:color w:val="000000"/>
                <w:sz w:val="18"/>
                <w:szCs w:val="18"/>
                <w:lang w:val="de-DE" w:eastAsia="de-DE"/>
              </w:rPr>
              <w:t>Coastal</w:t>
            </w:r>
            <w:proofErr w:type="spellEnd"/>
            <w:r w:rsidRPr="00E635F0">
              <w:rPr>
                <w:rFonts w:ascii="Calibri" w:eastAsia="Times New Roman" w:hAnsi="Calibri" w:cs="Calibri"/>
                <w:color w:val="000000"/>
                <w:sz w:val="18"/>
                <w:szCs w:val="18"/>
                <w:lang w:val="de-DE" w:eastAsia="de-DE"/>
              </w:rPr>
              <w:t xml:space="preserve"> </w:t>
            </w:r>
            <w:proofErr w:type="spellStart"/>
            <w:r w:rsidRPr="00E635F0">
              <w:rPr>
                <w:rFonts w:ascii="Calibri" w:eastAsia="Times New Roman" w:hAnsi="Calibri" w:cs="Calibri"/>
                <w:color w:val="000000"/>
                <w:sz w:val="18"/>
                <w:szCs w:val="18"/>
                <w:lang w:val="de-DE" w:eastAsia="de-DE"/>
              </w:rPr>
              <w:t>water</w:t>
            </w:r>
            <w:proofErr w:type="spellEnd"/>
            <w:r w:rsidRPr="00E635F0">
              <w:rPr>
                <w:rFonts w:ascii="Calibri" w:eastAsia="Times New Roman" w:hAnsi="Calibri" w:cs="Calibri"/>
                <w:color w:val="000000"/>
                <w:sz w:val="18"/>
                <w:szCs w:val="18"/>
                <w:lang w:val="de-DE" w:eastAsia="de-DE"/>
              </w:rPr>
              <w:t xml:space="preserve"> &amp; </w:t>
            </w:r>
            <w:proofErr w:type="spellStart"/>
            <w:r w:rsidRPr="00E635F0">
              <w:rPr>
                <w:rFonts w:ascii="Calibri" w:eastAsia="Times New Roman" w:hAnsi="Calibri" w:cs="Calibri"/>
                <w:color w:val="000000"/>
                <w:sz w:val="18"/>
                <w:szCs w:val="18"/>
                <w:lang w:val="de-DE" w:eastAsia="de-DE"/>
              </w:rPr>
              <w:t>seawater</w:t>
            </w:r>
            <w:proofErr w:type="spellEnd"/>
          </w:p>
        </w:tc>
        <w:tc>
          <w:tcPr>
            <w:tcW w:w="805" w:type="dxa"/>
            <w:tcBorders>
              <w:top w:val="nil"/>
              <w:left w:val="nil"/>
              <w:bottom w:val="nil"/>
              <w:right w:val="nil"/>
            </w:tcBorders>
            <w:shd w:val="clear" w:color="auto" w:fill="auto"/>
            <w:noWrap/>
            <w:vAlign w:val="bottom"/>
            <w:hideMark/>
          </w:tcPr>
          <w:p w14:paraId="4F86BD5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w:t>
            </w:r>
          </w:p>
        </w:tc>
        <w:tc>
          <w:tcPr>
            <w:tcW w:w="758" w:type="dxa"/>
            <w:tcBorders>
              <w:top w:val="nil"/>
              <w:left w:val="nil"/>
              <w:bottom w:val="nil"/>
              <w:right w:val="nil"/>
            </w:tcBorders>
            <w:shd w:val="clear" w:color="auto" w:fill="auto"/>
            <w:noWrap/>
            <w:vAlign w:val="bottom"/>
            <w:hideMark/>
          </w:tcPr>
          <w:p w14:paraId="7F1A63F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single" w:sz="4" w:space="0" w:color="auto"/>
              <w:left w:val="nil"/>
              <w:bottom w:val="nil"/>
              <w:right w:val="nil"/>
            </w:tcBorders>
            <w:shd w:val="clear" w:color="auto" w:fill="auto"/>
            <w:noWrap/>
            <w:vAlign w:val="bottom"/>
            <w:hideMark/>
          </w:tcPr>
          <w:p w14:paraId="327A88E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-8.1249</w:t>
            </w:r>
          </w:p>
        </w:tc>
        <w:tc>
          <w:tcPr>
            <w:tcW w:w="850" w:type="dxa"/>
            <w:tcBorders>
              <w:top w:val="single" w:sz="4" w:space="0" w:color="auto"/>
              <w:left w:val="nil"/>
              <w:bottom w:val="nil"/>
              <w:right w:val="nil"/>
            </w:tcBorders>
            <w:shd w:val="clear" w:color="auto" w:fill="auto"/>
            <w:noWrap/>
            <w:vAlign w:val="bottom"/>
            <w:hideMark/>
          </w:tcPr>
          <w:p w14:paraId="21E39F9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110.5130</w:t>
            </w:r>
          </w:p>
        </w:tc>
        <w:tc>
          <w:tcPr>
            <w:tcW w:w="709" w:type="dxa"/>
            <w:tcBorders>
              <w:top w:val="nil"/>
              <w:left w:val="nil"/>
              <w:bottom w:val="nil"/>
              <w:right w:val="nil"/>
            </w:tcBorders>
            <w:shd w:val="clear" w:color="auto" w:fill="auto"/>
            <w:noWrap/>
            <w:vAlign w:val="bottom"/>
            <w:hideMark/>
          </w:tcPr>
          <w:p w14:paraId="346D9C1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29.77</w:t>
            </w:r>
          </w:p>
        </w:tc>
        <w:tc>
          <w:tcPr>
            <w:tcW w:w="836" w:type="dxa"/>
            <w:tcBorders>
              <w:top w:val="nil"/>
              <w:left w:val="nil"/>
              <w:bottom w:val="nil"/>
              <w:right w:val="nil"/>
            </w:tcBorders>
            <w:shd w:val="clear" w:color="auto" w:fill="auto"/>
            <w:noWrap/>
            <w:vAlign w:val="bottom"/>
            <w:hideMark/>
          </w:tcPr>
          <w:p w14:paraId="6C095E4A"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32.4</w:t>
            </w:r>
          </w:p>
        </w:tc>
        <w:tc>
          <w:tcPr>
            <w:tcW w:w="994" w:type="dxa"/>
            <w:gridSpan w:val="2"/>
            <w:tcBorders>
              <w:top w:val="nil"/>
              <w:left w:val="nil"/>
              <w:bottom w:val="nil"/>
              <w:right w:val="nil"/>
            </w:tcBorders>
            <w:shd w:val="clear" w:color="auto" w:fill="auto"/>
            <w:noWrap/>
            <w:vAlign w:val="bottom"/>
            <w:hideMark/>
          </w:tcPr>
          <w:p w14:paraId="3E73317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5.3</w:t>
            </w:r>
          </w:p>
        </w:tc>
        <w:tc>
          <w:tcPr>
            <w:tcW w:w="296" w:type="dxa"/>
            <w:gridSpan w:val="2"/>
            <w:tcBorders>
              <w:top w:val="nil"/>
              <w:left w:val="nil"/>
              <w:bottom w:val="nil"/>
              <w:right w:val="nil"/>
            </w:tcBorders>
          </w:tcPr>
          <w:p w14:paraId="643DBAB5"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2F30A41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w:t>
            </w:r>
          </w:p>
        </w:tc>
        <w:tc>
          <w:tcPr>
            <w:tcW w:w="1266" w:type="dxa"/>
            <w:tcBorders>
              <w:top w:val="nil"/>
              <w:left w:val="nil"/>
              <w:bottom w:val="nil"/>
              <w:right w:val="nil"/>
            </w:tcBorders>
            <w:shd w:val="clear" w:color="auto" w:fill="auto"/>
            <w:noWrap/>
            <w:vAlign w:val="bottom"/>
            <w:hideMark/>
          </w:tcPr>
          <w:p w14:paraId="78140D9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9.2</w:t>
            </w:r>
          </w:p>
        </w:tc>
        <w:tc>
          <w:tcPr>
            <w:tcW w:w="994" w:type="dxa"/>
            <w:gridSpan w:val="2"/>
            <w:tcBorders>
              <w:top w:val="nil"/>
              <w:left w:val="nil"/>
              <w:bottom w:val="nil"/>
              <w:right w:val="single" w:sz="4" w:space="0" w:color="auto"/>
            </w:tcBorders>
            <w:shd w:val="clear" w:color="auto" w:fill="auto"/>
            <w:noWrap/>
            <w:vAlign w:val="bottom"/>
            <w:hideMark/>
          </w:tcPr>
          <w:p w14:paraId="345AA17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11.2</w:t>
            </w:r>
          </w:p>
        </w:tc>
      </w:tr>
      <w:tr w:rsidR="006745CD" w:rsidRPr="00E635F0" w14:paraId="155B2944"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25938775"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27C0472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2</w:t>
            </w:r>
          </w:p>
        </w:tc>
        <w:tc>
          <w:tcPr>
            <w:tcW w:w="758" w:type="dxa"/>
            <w:tcBorders>
              <w:top w:val="nil"/>
              <w:left w:val="nil"/>
              <w:bottom w:val="nil"/>
              <w:right w:val="nil"/>
            </w:tcBorders>
            <w:shd w:val="clear" w:color="auto" w:fill="auto"/>
            <w:noWrap/>
            <w:vAlign w:val="bottom"/>
            <w:hideMark/>
          </w:tcPr>
          <w:p w14:paraId="16759C9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39056AB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-8.1232</w:t>
            </w:r>
          </w:p>
        </w:tc>
        <w:tc>
          <w:tcPr>
            <w:tcW w:w="850" w:type="dxa"/>
            <w:tcBorders>
              <w:top w:val="nil"/>
              <w:left w:val="nil"/>
              <w:bottom w:val="nil"/>
              <w:right w:val="nil"/>
            </w:tcBorders>
            <w:shd w:val="clear" w:color="auto" w:fill="auto"/>
            <w:noWrap/>
            <w:vAlign w:val="bottom"/>
            <w:hideMark/>
          </w:tcPr>
          <w:p w14:paraId="1FDC56E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110.5136</w:t>
            </w:r>
          </w:p>
        </w:tc>
        <w:tc>
          <w:tcPr>
            <w:tcW w:w="709" w:type="dxa"/>
            <w:tcBorders>
              <w:top w:val="nil"/>
              <w:left w:val="nil"/>
              <w:bottom w:val="nil"/>
              <w:right w:val="nil"/>
            </w:tcBorders>
            <w:shd w:val="clear" w:color="auto" w:fill="auto"/>
            <w:noWrap/>
            <w:vAlign w:val="bottom"/>
            <w:hideMark/>
          </w:tcPr>
          <w:p w14:paraId="62FEED5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28.51</w:t>
            </w:r>
          </w:p>
        </w:tc>
        <w:tc>
          <w:tcPr>
            <w:tcW w:w="836" w:type="dxa"/>
            <w:tcBorders>
              <w:top w:val="nil"/>
              <w:left w:val="nil"/>
              <w:bottom w:val="nil"/>
              <w:right w:val="nil"/>
            </w:tcBorders>
            <w:shd w:val="clear" w:color="auto" w:fill="auto"/>
            <w:noWrap/>
            <w:vAlign w:val="bottom"/>
            <w:hideMark/>
          </w:tcPr>
          <w:p w14:paraId="68E48530"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70.2</w:t>
            </w:r>
          </w:p>
        </w:tc>
        <w:tc>
          <w:tcPr>
            <w:tcW w:w="994" w:type="dxa"/>
            <w:gridSpan w:val="2"/>
            <w:tcBorders>
              <w:top w:val="nil"/>
              <w:left w:val="nil"/>
              <w:bottom w:val="nil"/>
              <w:right w:val="nil"/>
            </w:tcBorders>
            <w:shd w:val="clear" w:color="auto" w:fill="auto"/>
            <w:noWrap/>
            <w:vAlign w:val="bottom"/>
            <w:hideMark/>
          </w:tcPr>
          <w:p w14:paraId="21D6671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8.9</w:t>
            </w:r>
          </w:p>
        </w:tc>
        <w:tc>
          <w:tcPr>
            <w:tcW w:w="296" w:type="dxa"/>
            <w:gridSpan w:val="2"/>
            <w:tcBorders>
              <w:top w:val="nil"/>
              <w:left w:val="nil"/>
              <w:bottom w:val="nil"/>
              <w:right w:val="nil"/>
            </w:tcBorders>
          </w:tcPr>
          <w:p w14:paraId="393CCED8"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6CD7FBD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w:t>
            </w:r>
          </w:p>
        </w:tc>
        <w:tc>
          <w:tcPr>
            <w:tcW w:w="1266" w:type="dxa"/>
            <w:tcBorders>
              <w:top w:val="nil"/>
              <w:left w:val="nil"/>
              <w:bottom w:val="nil"/>
              <w:right w:val="nil"/>
            </w:tcBorders>
            <w:shd w:val="clear" w:color="auto" w:fill="auto"/>
            <w:noWrap/>
            <w:vAlign w:val="bottom"/>
            <w:hideMark/>
          </w:tcPr>
          <w:p w14:paraId="34E69E3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9.8</w:t>
            </w:r>
          </w:p>
        </w:tc>
        <w:tc>
          <w:tcPr>
            <w:tcW w:w="994" w:type="dxa"/>
            <w:gridSpan w:val="2"/>
            <w:tcBorders>
              <w:top w:val="nil"/>
              <w:left w:val="nil"/>
              <w:bottom w:val="nil"/>
              <w:right w:val="single" w:sz="4" w:space="0" w:color="auto"/>
            </w:tcBorders>
            <w:shd w:val="clear" w:color="auto" w:fill="auto"/>
            <w:noWrap/>
            <w:vAlign w:val="bottom"/>
            <w:hideMark/>
          </w:tcPr>
          <w:p w14:paraId="0E4F5AC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9.2</w:t>
            </w:r>
          </w:p>
        </w:tc>
      </w:tr>
      <w:tr w:rsidR="006745CD" w:rsidRPr="00E635F0" w14:paraId="180C8A13"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654AD16B"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0250ED2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3</w:t>
            </w:r>
          </w:p>
        </w:tc>
        <w:tc>
          <w:tcPr>
            <w:tcW w:w="758" w:type="dxa"/>
            <w:tcBorders>
              <w:top w:val="nil"/>
              <w:left w:val="nil"/>
              <w:bottom w:val="nil"/>
              <w:right w:val="nil"/>
            </w:tcBorders>
            <w:shd w:val="clear" w:color="auto" w:fill="auto"/>
            <w:noWrap/>
            <w:vAlign w:val="bottom"/>
            <w:hideMark/>
          </w:tcPr>
          <w:p w14:paraId="75A6F7F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21838FC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-8.1219</w:t>
            </w:r>
          </w:p>
        </w:tc>
        <w:tc>
          <w:tcPr>
            <w:tcW w:w="850" w:type="dxa"/>
            <w:tcBorders>
              <w:top w:val="nil"/>
              <w:left w:val="nil"/>
              <w:bottom w:val="nil"/>
              <w:right w:val="nil"/>
            </w:tcBorders>
            <w:shd w:val="clear" w:color="auto" w:fill="auto"/>
            <w:noWrap/>
            <w:vAlign w:val="bottom"/>
            <w:hideMark/>
          </w:tcPr>
          <w:p w14:paraId="4F30B0E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110.5139</w:t>
            </w:r>
          </w:p>
        </w:tc>
        <w:tc>
          <w:tcPr>
            <w:tcW w:w="709" w:type="dxa"/>
            <w:tcBorders>
              <w:top w:val="nil"/>
              <w:left w:val="nil"/>
              <w:bottom w:val="nil"/>
              <w:right w:val="nil"/>
            </w:tcBorders>
            <w:shd w:val="clear" w:color="auto" w:fill="auto"/>
            <w:noWrap/>
            <w:vAlign w:val="bottom"/>
            <w:hideMark/>
          </w:tcPr>
          <w:p w14:paraId="1A00147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23.69</w:t>
            </w:r>
          </w:p>
        </w:tc>
        <w:tc>
          <w:tcPr>
            <w:tcW w:w="836" w:type="dxa"/>
            <w:tcBorders>
              <w:top w:val="nil"/>
              <w:left w:val="nil"/>
              <w:bottom w:val="nil"/>
              <w:right w:val="nil"/>
            </w:tcBorders>
            <w:shd w:val="clear" w:color="auto" w:fill="auto"/>
            <w:noWrap/>
            <w:vAlign w:val="bottom"/>
            <w:hideMark/>
          </w:tcPr>
          <w:p w14:paraId="101E050E"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79.2</w:t>
            </w:r>
          </w:p>
        </w:tc>
        <w:tc>
          <w:tcPr>
            <w:tcW w:w="994" w:type="dxa"/>
            <w:gridSpan w:val="2"/>
            <w:tcBorders>
              <w:top w:val="nil"/>
              <w:left w:val="nil"/>
              <w:bottom w:val="nil"/>
              <w:right w:val="nil"/>
            </w:tcBorders>
            <w:shd w:val="clear" w:color="auto" w:fill="auto"/>
            <w:noWrap/>
            <w:vAlign w:val="bottom"/>
            <w:hideMark/>
          </w:tcPr>
          <w:p w14:paraId="6AB4AC2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10.2</w:t>
            </w:r>
          </w:p>
        </w:tc>
        <w:tc>
          <w:tcPr>
            <w:tcW w:w="296" w:type="dxa"/>
            <w:gridSpan w:val="2"/>
            <w:tcBorders>
              <w:top w:val="nil"/>
              <w:left w:val="nil"/>
              <w:bottom w:val="nil"/>
              <w:right w:val="nil"/>
            </w:tcBorders>
          </w:tcPr>
          <w:p w14:paraId="303DF5C4"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540A3B9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0.5</w:t>
            </w:r>
          </w:p>
        </w:tc>
        <w:tc>
          <w:tcPr>
            <w:tcW w:w="1266" w:type="dxa"/>
            <w:tcBorders>
              <w:top w:val="nil"/>
              <w:left w:val="nil"/>
              <w:bottom w:val="nil"/>
              <w:right w:val="nil"/>
            </w:tcBorders>
            <w:shd w:val="clear" w:color="auto" w:fill="auto"/>
            <w:noWrap/>
            <w:vAlign w:val="bottom"/>
            <w:hideMark/>
          </w:tcPr>
          <w:p w14:paraId="279DE6F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11.6</w:t>
            </w:r>
          </w:p>
        </w:tc>
        <w:tc>
          <w:tcPr>
            <w:tcW w:w="994" w:type="dxa"/>
            <w:gridSpan w:val="2"/>
            <w:tcBorders>
              <w:top w:val="nil"/>
              <w:left w:val="nil"/>
              <w:bottom w:val="nil"/>
              <w:right w:val="single" w:sz="4" w:space="0" w:color="auto"/>
            </w:tcBorders>
            <w:shd w:val="clear" w:color="auto" w:fill="auto"/>
            <w:noWrap/>
            <w:vAlign w:val="bottom"/>
            <w:hideMark/>
          </w:tcPr>
          <w:p w14:paraId="6FB1EE3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6.9</w:t>
            </w:r>
          </w:p>
        </w:tc>
      </w:tr>
      <w:tr w:rsidR="006745CD" w:rsidRPr="00E635F0" w14:paraId="086B45CB"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3419C98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5C54221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4</w:t>
            </w:r>
          </w:p>
        </w:tc>
        <w:tc>
          <w:tcPr>
            <w:tcW w:w="758" w:type="dxa"/>
            <w:tcBorders>
              <w:top w:val="nil"/>
              <w:left w:val="nil"/>
              <w:bottom w:val="nil"/>
              <w:right w:val="nil"/>
            </w:tcBorders>
            <w:shd w:val="clear" w:color="auto" w:fill="auto"/>
            <w:noWrap/>
            <w:vAlign w:val="bottom"/>
            <w:hideMark/>
          </w:tcPr>
          <w:p w14:paraId="22ACD07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5AC5D4E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-8.1216</w:t>
            </w:r>
          </w:p>
        </w:tc>
        <w:tc>
          <w:tcPr>
            <w:tcW w:w="850" w:type="dxa"/>
            <w:tcBorders>
              <w:top w:val="nil"/>
              <w:left w:val="nil"/>
              <w:bottom w:val="nil"/>
              <w:right w:val="nil"/>
            </w:tcBorders>
            <w:shd w:val="clear" w:color="auto" w:fill="auto"/>
            <w:noWrap/>
            <w:vAlign w:val="bottom"/>
            <w:hideMark/>
          </w:tcPr>
          <w:p w14:paraId="72853E7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110.5140</w:t>
            </w:r>
          </w:p>
        </w:tc>
        <w:tc>
          <w:tcPr>
            <w:tcW w:w="709" w:type="dxa"/>
            <w:tcBorders>
              <w:top w:val="nil"/>
              <w:left w:val="nil"/>
              <w:bottom w:val="nil"/>
              <w:right w:val="nil"/>
            </w:tcBorders>
            <w:shd w:val="clear" w:color="auto" w:fill="auto"/>
            <w:noWrap/>
            <w:vAlign w:val="bottom"/>
            <w:hideMark/>
          </w:tcPr>
          <w:p w14:paraId="7CBA3CE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24.56</w:t>
            </w:r>
          </w:p>
        </w:tc>
        <w:tc>
          <w:tcPr>
            <w:tcW w:w="836" w:type="dxa"/>
            <w:tcBorders>
              <w:top w:val="nil"/>
              <w:left w:val="nil"/>
              <w:bottom w:val="nil"/>
              <w:right w:val="nil"/>
            </w:tcBorders>
            <w:shd w:val="clear" w:color="auto" w:fill="auto"/>
            <w:noWrap/>
            <w:vAlign w:val="bottom"/>
            <w:hideMark/>
          </w:tcPr>
          <w:p w14:paraId="0FC097A3"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59.7</w:t>
            </w:r>
          </w:p>
        </w:tc>
        <w:tc>
          <w:tcPr>
            <w:tcW w:w="994" w:type="dxa"/>
            <w:gridSpan w:val="2"/>
            <w:tcBorders>
              <w:top w:val="nil"/>
              <w:left w:val="nil"/>
              <w:bottom w:val="nil"/>
              <w:right w:val="nil"/>
            </w:tcBorders>
            <w:shd w:val="clear" w:color="auto" w:fill="auto"/>
            <w:noWrap/>
            <w:vAlign w:val="bottom"/>
            <w:hideMark/>
          </w:tcPr>
          <w:p w14:paraId="6A85F09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11.5</w:t>
            </w:r>
          </w:p>
        </w:tc>
        <w:tc>
          <w:tcPr>
            <w:tcW w:w="296" w:type="dxa"/>
            <w:gridSpan w:val="2"/>
            <w:tcBorders>
              <w:top w:val="nil"/>
              <w:left w:val="nil"/>
              <w:bottom w:val="nil"/>
              <w:right w:val="nil"/>
            </w:tcBorders>
          </w:tcPr>
          <w:p w14:paraId="2F6C1A1D"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6132A00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0.6</w:t>
            </w:r>
          </w:p>
        </w:tc>
        <w:tc>
          <w:tcPr>
            <w:tcW w:w="1266" w:type="dxa"/>
            <w:tcBorders>
              <w:top w:val="nil"/>
              <w:left w:val="nil"/>
              <w:bottom w:val="nil"/>
              <w:right w:val="nil"/>
            </w:tcBorders>
            <w:shd w:val="clear" w:color="auto" w:fill="auto"/>
            <w:noWrap/>
            <w:vAlign w:val="bottom"/>
            <w:hideMark/>
          </w:tcPr>
          <w:p w14:paraId="6E32100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11.1</w:t>
            </w:r>
          </w:p>
        </w:tc>
        <w:tc>
          <w:tcPr>
            <w:tcW w:w="994" w:type="dxa"/>
            <w:gridSpan w:val="2"/>
            <w:tcBorders>
              <w:top w:val="nil"/>
              <w:left w:val="nil"/>
              <w:bottom w:val="nil"/>
              <w:right w:val="single" w:sz="4" w:space="0" w:color="auto"/>
            </w:tcBorders>
            <w:shd w:val="clear" w:color="auto" w:fill="auto"/>
            <w:noWrap/>
            <w:vAlign w:val="bottom"/>
            <w:hideMark/>
          </w:tcPr>
          <w:p w14:paraId="119E7E9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5.1</w:t>
            </w:r>
          </w:p>
        </w:tc>
      </w:tr>
      <w:tr w:rsidR="006745CD" w:rsidRPr="00E635F0" w14:paraId="599A22AF"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1661358B"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2A4FE33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5</w:t>
            </w:r>
          </w:p>
        </w:tc>
        <w:tc>
          <w:tcPr>
            <w:tcW w:w="758" w:type="dxa"/>
            <w:tcBorders>
              <w:top w:val="nil"/>
              <w:left w:val="nil"/>
              <w:bottom w:val="nil"/>
              <w:right w:val="nil"/>
            </w:tcBorders>
            <w:shd w:val="clear" w:color="auto" w:fill="auto"/>
            <w:noWrap/>
            <w:vAlign w:val="bottom"/>
            <w:hideMark/>
          </w:tcPr>
          <w:p w14:paraId="55CBDCD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08E4F31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-8.1217</w:t>
            </w:r>
          </w:p>
        </w:tc>
        <w:tc>
          <w:tcPr>
            <w:tcW w:w="850" w:type="dxa"/>
            <w:tcBorders>
              <w:top w:val="nil"/>
              <w:left w:val="nil"/>
              <w:bottom w:val="nil"/>
              <w:right w:val="nil"/>
            </w:tcBorders>
            <w:shd w:val="clear" w:color="auto" w:fill="auto"/>
            <w:noWrap/>
            <w:vAlign w:val="bottom"/>
            <w:hideMark/>
          </w:tcPr>
          <w:p w14:paraId="524F576E"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110.5143</w:t>
            </w:r>
          </w:p>
        </w:tc>
        <w:tc>
          <w:tcPr>
            <w:tcW w:w="709" w:type="dxa"/>
            <w:tcBorders>
              <w:top w:val="nil"/>
              <w:left w:val="nil"/>
              <w:bottom w:val="nil"/>
              <w:right w:val="nil"/>
            </w:tcBorders>
            <w:shd w:val="clear" w:color="auto" w:fill="auto"/>
            <w:noWrap/>
            <w:vAlign w:val="bottom"/>
            <w:hideMark/>
          </w:tcPr>
          <w:p w14:paraId="48DA042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24.41</w:t>
            </w:r>
          </w:p>
        </w:tc>
        <w:tc>
          <w:tcPr>
            <w:tcW w:w="836" w:type="dxa"/>
            <w:tcBorders>
              <w:top w:val="nil"/>
              <w:left w:val="nil"/>
              <w:bottom w:val="nil"/>
              <w:right w:val="nil"/>
            </w:tcBorders>
            <w:shd w:val="clear" w:color="auto" w:fill="auto"/>
            <w:noWrap/>
            <w:vAlign w:val="bottom"/>
            <w:hideMark/>
          </w:tcPr>
          <w:p w14:paraId="6EDD58C7"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68.3</w:t>
            </w:r>
          </w:p>
        </w:tc>
        <w:tc>
          <w:tcPr>
            <w:tcW w:w="994" w:type="dxa"/>
            <w:gridSpan w:val="2"/>
            <w:tcBorders>
              <w:top w:val="nil"/>
              <w:left w:val="nil"/>
              <w:bottom w:val="nil"/>
              <w:right w:val="nil"/>
            </w:tcBorders>
            <w:shd w:val="clear" w:color="auto" w:fill="auto"/>
            <w:noWrap/>
            <w:vAlign w:val="bottom"/>
            <w:hideMark/>
          </w:tcPr>
          <w:p w14:paraId="3CA3AE9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11.6</w:t>
            </w:r>
          </w:p>
        </w:tc>
        <w:tc>
          <w:tcPr>
            <w:tcW w:w="296" w:type="dxa"/>
            <w:gridSpan w:val="2"/>
            <w:tcBorders>
              <w:top w:val="nil"/>
              <w:left w:val="nil"/>
              <w:bottom w:val="nil"/>
              <w:right w:val="nil"/>
            </w:tcBorders>
          </w:tcPr>
          <w:p w14:paraId="6E6EEBFD"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30604E2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0.6</w:t>
            </w:r>
          </w:p>
        </w:tc>
        <w:tc>
          <w:tcPr>
            <w:tcW w:w="1266" w:type="dxa"/>
            <w:tcBorders>
              <w:top w:val="nil"/>
              <w:left w:val="nil"/>
              <w:bottom w:val="nil"/>
              <w:right w:val="nil"/>
            </w:tcBorders>
            <w:shd w:val="clear" w:color="auto" w:fill="auto"/>
            <w:noWrap/>
            <w:vAlign w:val="bottom"/>
            <w:hideMark/>
          </w:tcPr>
          <w:p w14:paraId="79A246B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11.3</w:t>
            </w:r>
          </w:p>
        </w:tc>
        <w:tc>
          <w:tcPr>
            <w:tcW w:w="994" w:type="dxa"/>
            <w:gridSpan w:val="2"/>
            <w:tcBorders>
              <w:top w:val="nil"/>
              <w:left w:val="nil"/>
              <w:bottom w:val="nil"/>
              <w:right w:val="single" w:sz="4" w:space="0" w:color="auto"/>
            </w:tcBorders>
            <w:shd w:val="clear" w:color="auto" w:fill="auto"/>
            <w:noWrap/>
            <w:vAlign w:val="bottom"/>
            <w:hideMark/>
          </w:tcPr>
          <w:p w14:paraId="617ED40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3.9</w:t>
            </w:r>
          </w:p>
        </w:tc>
      </w:tr>
      <w:tr w:rsidR="006745CD" w:rsidRPr="00E635F0" w14:paraId="4DE7DF09"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0931683F"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4778F61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6</w:t>
            </w:r>
          </w:p>
        </w:tc>
        <w:tc>
          <w:tcPr>
            <w:tcW w:w="758" w:type="dxa"/>
            <w:tcBorders>
              <w:top w:val="nil"/>
              <w:left w:val="nil"/>
              <w:bottom w:val="nil"/>
              <w:right w:val="nil"/>
            </w:tcBorders>
            <w:shd w:val="clear" w:color="auto" w:fill="auto"/>
            <w:noWrap/>
            <w:vAlign w:val="bottom"/>
            <w:hideMark/>
          </w:tcPr>
          <w:p w14:paraId="06862CA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646B90A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-8.1215</w:t>
            </w:r>
          </w:p>
        </w:tc>
        <w:tc>
          <w:tcPr>
            <w:tcW w:w="850" w:type="dxa"/>
            <w:tcBorders>
              <w:top w:val="nil"/>
              <w:left w:val="nil"/>
              <w:bottom w:val="nil"/>
              <w:right w:val="nil"/>
            </w:tcBorders>
            <w:shd w:val="clear" w:color="auto" w:fill="auto"/>
            <w:noWrap/>
            <w:vAlign w:val="bottom"/>
            <w:hideMark/>
          </w:tcPr>
          <w:p w14:paraId="0D9A3BC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110.5146</w:t>
            </w:r>
          </w:p>
        </w:tc>
        <w:tc>
          <w:tcPr>
            <w:tcW w:w="709" w:type="dxa"/>
            <w:tcBorders>
              <w:top w:val="nil"/>
              <w:left w:val="nil"/>
              <w:bottom w:val="nil"/>
              <w:right w:val="nil"/>
            </w:tcBorders>
            <w:shd w:val="clear" w:color="auto" w:fill="auto"/>
            <w:noWrap/>
            <w:vAlign w:val="bottom"/>
            <w:hideMark/>
          </w:tcPr>
          <w:p w14:paraId="70F40F9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21.97</w:t>
            </w:r>
          </w:p>
        </w:tc>
        <w:tc>
          <w:tcPr>
            <w:tcW w:w="836" w:type="dxa"/>
            <w:tcBorders>
              <w:top w:val="nil"/>
              <w:left w:val="nil"/>
              <w:bottom w:val="nil"/>
              <w:right w:val="nil"/>
            </w:tcBorders>
            <w:shd w:val="clear" w:color="auto" w:fill="auto"/>
            <w:noWrap/>
            <w:vAlign w:val="bottom"/>
            <w:hideMark/>
          </w:tcPr>
          <w:p w14:paraId="5E070CF0"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87.8</w:t>
            </w:r>
          </w:p>
        </w:tc>
        <w:tc>
          <w:tcPr>
            <w:tcW w:w="994" w:type="dxa"/>
            <w:gridSpan w:val="2"/>
            <w:tcBorders>
              <w:top w:val="nil"/>
              <w:left w:val="nil"/>
              <w:bottom w:val="nil"/>
              <w:right w:val="nil"/>
            </w:tcBorders>
            <w:shd w:val="clear" w:color="auto" w:fill="auto"/>
            <w:noWrap/>
            <w:vAlign w:val="bottom"/>
            <w:hideMark/>
          </w:tcPr>
          <w:p w14:paraId="4F88416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14.1</w:t>
            </w:r>
          </w:p>
        </w:tc>
        <w:tc>
          <w:tcPr>
            <w:tcW w:w="296" w:type="dxa"/>
            <w:gridSpan w:val="2"/>
            <w:tcBorders>
              <w:top w:val="nil"/>
              <w:left w:val="nil"/>
              <w:bottom w:val="nil"/>
              <w:right w:val="nil"/>
            </w:tcBorders>
          </w:tcPr>
          <w:p w14:paraId="3942140A"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370794A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0.5</w:t>
            </w:r>
          </w:p>
        </w:tc>
        <w:tc>
          <w:tcPr>
            <w:tcW w:w="1266" w:type="dxa"/>
            <w:tcBorders>
              <w:top w:val="nil"/>
              <w:left w:val="nil"/>
              <w:bottom w:val="nil"/>
              <w:right w:val="nil"/>
            </w:tcBorders>
            <w:shd w:val="clear" w:color="auto" w:fill="auto"/>
            <w:noWrap/>
            <w:vAlign w:val="bottom"/>
            <w:hideMark/>
          </w:tcPr>
          <w:p w14:paraId="38DDCBE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14.9</w:t>
            </w:r>
          </w:p>
        </w:tc>
        <w:tc>
          <w:tcPr>
            <w:tcW w:w="994" w:type="dxa"/>
            <w:gridSpan w:val="2"/>
            <w:tcBorders>
              <w:top w:val="nil"/>
              <w:left w:val="nil"/>
              <w:bottom w:val="nil"/>
              <w:right w:val="single" w:sz="4" w:space="0" w:color="auto"/>
            </w:tcBorders>
            <w:shd w:val="clear" w:color="auto" w:fill="auto"/>
            <w:noWrap/>
            <w:vAlign w:val="bottom"/>
            <w:hideMark/>
          </w:tcPr>
          <w:p w14:paraId="2FE3B6C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3.4</w:t>
            </w:r>
          </w:p>
        </w:tc>
      </w:tr>
      <w:tr w:rsidR="006745CD" w:rsidRPr="00E635F0" w14:paraId="554483DC"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536447F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4928C31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7</w:t>
            </w:r>
          </w:p>
        </w:tc>
        <w:tc>
          <w:tcPr>
            <w:tcW w:w="758" w:type="dxa"/>
            <w:tcBorders>
              <w:top w:val="nil"/>
              <w:left w:val="nil"/>
              <w:bottom w:val="nil"/>
              <w:right w:val="nil"/>
            </w:tcBorders>
            <w:shd w:val="clear" w:color="auto" w:fill="auto"/>
            <w:noWrap/>
            <w:vAlign w:val="bottom"/>
            <w:hideMark/>
          </w:tcPr>
          <w:p w14:paraId="3BD026D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3B6EBA6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-8.1242</w:t>
            </w:r>
          </w:p>
        </w:tc>
        <w:tc>
          <w:tcPr>
            <w:tcW w:w="850" w:type="dxa"/>
            <w:tcBorders>
              <w:top w:val="nil"/>
              <w:left w:val="nil"/>
              <w:bottom w:val="nil"/>
              <w:right w:val="nil"/>
            </w:tcBorders>
            <w:shd w:val="clear" w:color="auto" w:fill="auto"/>
            <w:noWrap/>
            <w:vAlign w:val="bottom"/>
            <w:hideMark/>
          </w:tcPr>
          <w:p w14:paraId="21F1F96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110.5138</w:t>
            </w:r>
          </w:p>
        </w:tc>
        <w:tc>
          <w:tcPr>
            <w:tcW w:w="709" w:type="dxa"/>
            <w:tcBorders>
              <w:top w:val="nil"/>
              <w:left w:val="nil"/>
              <w:bottom w:val="nil"/>
              <w:right w:val="nil"/>
            </w:tcBorders>
            <w:shd w:val="clear" w:color="auto" w:fill="auto"/>
            <w:noWrap/>
            <w:vAlign w:val="bottom"/>
            <w:hideMark/>
          </w:tcPr>
          <w:p w14:paraId="5AF8D0A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28.13</w:t>
            </w:r>
          </w:p>
        </w:tc>
        <w:tc>
          <w:tcPr>
            <w:tcW w:w="836" w:type="dxa"/>
            <w:tcBorders>
              <w:top w:val="nil"/>
              <w:left w:val="nil"/>
              <w:bottom w:val="nil"/>
              <w:right w:val="nil"/>
            </w:tcBorders>
            <w:shd w:val="clear" w:color="auto" w:fill="auto"/>
            <w:noWrap/>
            <w:vAlign w:val="bottom"/>
            <w:hideMark/>
          </w:tcPr>
          <w:p w14:paraId="1669B5BE"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27.5</w:t>
            </w:r>
          </w:p>
        </w:tc>
        <w:tc>
          <w:tcPr>
            <w:tcW w:w="994" w:type="dxa"/>
            <w:gridSpan w:val="2"/>
            <w:tcBorders>
              <w:top w:val="nil"/>
              <w:left w:val="nil"/>
              <w:bottom w:val="nil"/>
              <w:right w:val="nil"/>
            </w:tcBorders>
            <w:shd w:val="clear" w:color="auto" w:fill="auto"/>
            <w:noWrap/>
            <w:vAlign w:val="bottom"/>
            <w:hideMark/>
          </w:tcPr>
          <w:p w14:paraId="706E056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9.0</w:t>
            </w:r>
          </w:p>
        </w:tc>
        <w:tc>
          <w:tcPr>
            <w:tcW w:w="296" w:type="dxa"/>
            <w:gridSpan w:val="2"/>
            <w:tcBorders>
              <w:top w:val="nil"/>
              <w:left w:val="nil"/>
              <w:bottom w:val="nil"/>
              <w:right w:val="nil"/>
            </w:tcBorders>
          </w:tcPr>
          <w:p w14:paraId="47D20FEB"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60B9799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0.4</w:t>
            </w:r>
          </w:p>
        </w:tc>
        <w:tc>
          <w:tcPr>
            <w:tcW w:w="1266" w:type="dxa"/>
            <w:tcBorders>
              <w:top w:val="nil"/>
              <w:left w:val="nil"/>
              <w:bottom w:val="nil"/>
              <w:right w:val="nil"/>
            </w:tcBorders>
            <w:shd w:val="clear" w:color="auto" w:fill="auto"/>
            <w:noWrap/>
            <w:vAlign w:val="bottom"/>
            <w:hideMark/>
          </w:tcPr>
          <w:p w14:paraId="4679AFA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10.2</w:t>
            </w:r>
          </w:p>
        </w:tc>
        <w:tc>
          <w:tcPr>
            <w:tcW w:w="994" w:type="dxa"/>
            <w:gridSpan w:val="2"/>
            <w:tcBorders>
              <w:top w:val="nil"/>
              <w:left w:val="nil"/>
              <w:bottom w:val="nil"/>
              <w:right w:val="single" w:sz="4" w:space="0" w:color="auto"/>
            </w:tcBorders>
            <w:shd w:val="clear" w:color="auto" w:fill="auto"/>
            <w:noWrap/>
            <w:vAlign w:val="bottom"/>
            <w:hideMark/>
          </w:tcPr>
          <w:p w14:paraId="45547CC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8.6</w:t>
            </w:r>
          </w:p>
        </w:tc>
      </w:tr>
      <w:tr w:rsidR="006745CD" w:rsidRPr="00E635F0" w14:paraId="6237DCBB"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40838263"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102DE64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8</w:t>
            </w:r>
          </w:p>
        </w:tc>
        <w:tc>
          <w:tcPr>
            <w:tcW w:w="758" w:type="dxa"/>
            <w:tcBorders>
              <w:top w:val="nil"/>
              <w:left w:val="nil"/>
              <w:bottom w:val="nil"/>
              <w:right w:val="nil"/>
            </w:tcBorders>
            <w:shd w:val="clear" w:color="auto" w:fill="auto"/>
            <w:noWrap/>
            <w:vAlign w:val="bottom"/>
            <w:hideMark/>
          </w:tcPr>
          <w:p w14:paraId="4BE83B9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2742C4C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-8.1216</w:t>
            </w:r>
          </w:p>
        </w:tc>
        <w:tc>
          <w:tcPr>
            <w:tcW w:w="850" w:type="dxa"/>
            <w:tcBorders>
              <w:top w:val="nil"/>
              <w:left w:val="nil"/>
              <w:bottom w:val="nil"/>
              <w:right w:val="nil"/>
            </w:tcBorders>
            <w:shd w:val="clear" w:color="auto" w:fill="auto"/>
            <w:noWrap/>
            <w:vAlign w:val="bottom"/>
            <w:hideMark/>
          </w:tcPr>
          <w:p w14:paraId="4783031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110.5142</w:t>
            </w:r>
          </w:p>
        </w:tc>
        <w:tc>
          <w:tcPr>
            <w:tcW w:w="709" w:type="dxa"/>
            <w:tcBorders>
              <w:top w:val="nil"/>
              <w:left w:val="nil"/>
              <w:bottom w:val="nil"/>
              <w:right w:val="nil"/>
            </w:tcBorders>
            <w:shd w:val="clear" w:color="auto" w:fill="auto"/>
            <w:noWrap/>
            <w:vAlign w:val="bottom"/>
            <w:hideMark/>
          </w:tcPr>
          <w:p w14:paraId="081A878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19.84</w:t>
            </w:r>
          </w:p>
        </w:tc>
        <w:tc>
          <w:tcPr>
            <w:tcW w:w="836" w:type="dxa"/>
            <w:tcBorders>
              <w:top w:val="nil"/>
              <w:left w:val="nil"/>
              <w:bottom w:val="nil"/>
              <w:right w:val="nil"/>
            </w:tcBorders>
            <w:shd w:val="clear" w:color="auto" w:fill="auto"/>
            <w:noWrap/>
            <w:vAlign w:val="bottom"/>
            <w:hideMark/>
          </w:tcPr>
          <w:p w14:paraId="7CCE681C"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108.1</w:t>
            </w:r>
          </w:p>
        </w:tc>
        <w:tc>
          <w:tcPr>
            <w:tcW w:w="994" w:type="dxa"/>
            <w:gridSpan w:val="2"/>
            <w:tcBorders>
              <w:top w:val="nil"/>
              <w:left w:val="nil"/>
              <w:bottom w:val="nil"/>
              <w:right w:val="nil"/>
            </w:tcBorders>
            <w:shd w:val="clear" w:color="auto" w:fill="auto"/>
            <w:noWrap/>
            <w:vAlign w:val="bottom"/>
            <w:hideMark/>
          </w:tcPr>
          <w:p w14:paraId="157CF61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10.0</w:t>
            </w:r>
          </w:p>
        </w:tc>
        <w:tc>
          <w:tcPr>
            <w:tcW w:w="296" w:type="dxa"/>
            <w:gridSpan w:val="2"/>
            <w:tcBorders>
              <w:top w:val="nil"/>
              <w:left w:val="nil"/>
              <w:bottom w:val="nil"/>
              <w:right w:val="nil"/>
            </w:tcBorders>
          </w:tcPr>
          <w:p w14:paraId="75FA2E1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19C62E3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0.5</w:t>
            </w:r>
          </w:p>
        </w:tc>
        <w:tc>
          <w:tcPr>
            <w:tcW w:w="1266" w:type="dxa"/>
            <w:tcBorders>
              <w:top w:val="nil"/>
              <w:left w:val="nil"/>
              <w:bottom w:val="nil"/>
              <w:right w:val="nil"/>
            </w:tcBorders>
            <w:shd w:val="clear" w:color="auto" w:fill="auto"/>
            <w:noWrap/>
            <w:vAlign w:val="bottom"/>
            <w:hideMark/>
          </w:tcPr>
          <w:p w14:paraId="62E817D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13.0</w:t>
            </w:r>
          </w:p>
        </w:tc>
        <w:tc>
          <w:tcPr>
            <w:tcW w:w="994" w:type="dxa"/>
            <w:gridSpan w:val="2"/>
            <w:tcBorders>
              <w:top w:val="nil"/>
              <w:left w:val="nil"/>
              <w:bottom w:val="nil"/>
              <w:right w:val="single" w:sz="4" w:space="0" w:color="auto"/>
            </w:tcBorders>
            <w:shd w:val="clear" w:color="auto" w:fill="auto"/>
            <w:noWrap/>
            <w:vAlign w:val="bottom"/>
            <w:hideMark/>
          </w:tcPr>
          <w:p w14:paraId="7CE7C32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3.8</w:t>
            </w:r>
          </w:p>
        </w:tc>
      </w:tr>
      <w:tr w:rsidR="006745CD" w:rsidRPr="00E635F0" w14:paraId="5885F557"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141BD91D"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0B64E59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9</w:t>
            </w:r>
          </w:p>
        </w:tc>
        <w:tc>
          <w:tcPr>
            <w:tcW w:w="758" w:type="dxa"/>
            <w:tcBorders>
              <w:top w:val="nil"/>
              <w:left w:val="nil"/>
              <w:bottom w:val="nil"/>
              <w:right w:val="nil"/>
            </w:tcBorders>
            <w:shd w:val="clear" w:color="auto" w:fill="auto"/>
            <w:noWrap/>
            <w:vAlign w:val="bottom"/>
            <w:hideMark/>
          </w:tcPr>
          <w:p w14:paraId="38C859E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792CAA8E"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-8.1214</w:t>
            </w:r>
          </w:p>
        </w:tc>
        <w:tc>
          <w:tcPr>
            <w:tcW w:w="850" w:type="dxa"/>
            <w:tcBorders>
              <w:top w:val="nil"/>
              <w:left w:val="nil"/>
              <w:bottom w:val="nil"/>
              <w:right w:val="nil"/>
            </w:tcBorders>
            <w:shd w:val="clear" w:color="auto" w:fill="auto"/>
            <w:noWrap/>
            <w:vAlign w:val="bottom"/>
            <w:hideMark/>
          </w:tcPr>
          <w:p w14:paraId="4198150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110.5139</w:t>
            </w:r>
          </w:p>
        </w:tc>
        <w:tc>
          <w:tcPr>
            <w:tcW w:w="709" w:type="dxa"/>
            <w:tcBorders>
              <w:top w:val="nil"/>
              <w:left w:val="nil"/>
              <w:bottom w:val="nil"/>
              <w:right w:val="nil"/>
            </w:tcBorders>
            <w:shd w:val="clear" w:color="auto" w:fill="auto"/>
            <w:noWrap/>
            <w:vAlign w:val="bottom"/>
            <w:hideMark/>
          </w:tcPr>
          <w:p w14:paraId="026B88B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17.99</w:t>
            </w:r>
          </w:p>
        </w:tc>
        <w:tc>
          <w:tcPr>
            <w:tcW w:w="836" w:type="dxa"/>
            <w:tcBorders>
              <w:top w:val="nil"/>
              <w:left w:val="nil"/>
              <w:bottom w:val="nil"/>
              <w:right w:val="nil"/>
            </w:tcBorders>
            <w:shd w:val="clear" w:color="auto" w:fill="auto"/>
            <w:noWrap/>
            <w:vAlign w:val="bottom"/>
            <w:hideMark/>
          </w:tcPr>
          <w:p w14:paraId="726949F1"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123.5</w:t>
            </w:r>
          </w:p>
        </w:tc>
        <w:tc>
          <w:tcPr>
            <w:tcW w:w="994" w:type="dxa"/>
            <w:gridSpan w:val="2"/>
            <w:tcBorders>
              <w:top w:val="nil"/>
              <w:left w:val="nil"/>
              <w:bottom w:val="nil"/>
              <w:right w:val="nil"/>
            </w:tcBorders>
            <w:shd w:val="clear" w:color="auto" w:fill="auto"/>
            <w:noWrap/>
            <w:vAlign w:val="bottom"/>
            <w:hideMark/>
          </w:tcPr>
          <w:p w14:paraId="4C46A4D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16.3</w:t>
            </w:r>
          </w:p>
        </w:tc>
        <w:tc>
          <w:tcPr>
            <w:tcW w:w="296" w:type="dxa"/>
            <w:gridSpan w:val="2"/>
            <w:tcBorders>
              <w:top w:val="nil"/>
              <w:left w:val="nil"/>
              <w:bottom w:val="nil"/>
              <w:right w:val="nil"/>
            </w:tcBorders>
          </w:tcPr>
          <w:p w14:paraId="4D2F2B2B"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2597E0A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0.8</w:t>
            </w:r>
          </w:p>
        </w:tc>
        <w:tc>
          <w:tcPr>
            <w:tcW w:w="1266" w:type="dxa"/>
            <w:tcBorders>
              <w:top w:val="nil"/>
              <w:left w:val="nil"/>
              <w:bottom w:val="nil"/>
              <w:right w:val="nil"/>
            </w:tcBorders>
            <w:shd w:val="clear" w:color="auto" w:fill="auto"/>
            <w:noWrap/>
            <w:vAlign w:val="bottom"/>
            <w:hideMark/>
          </w:tcPr>
          <w:p w14:paraId="4E91F37B"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13.3</w:t>
            </w:r>
          </w:p>
        </w:tc>
        <w:tc>
          <w:tcPr>
            <w:tcW w:w="994" w:type="dxa"/>
            <w:gridSpan w:val="2"/>
            <w:tcBorders>
              <w:top w:val="nil"/>
              <w:left w:val="nil"/>
              <w:bottom w:val="nil"/>
              <w:right w:val="single" w:sz="4" w:space="0" w:color="auto"/>
            </w:tcBorders>
            <w:shd w:val="clear" w:color="auto" w:fill="auto"/>
            <w:noWrap/>
            <w:vAlign w:val="bottom"/>
            <w:hideMark/>
          </w:tcPr>
          <w:p w14:paraId="503691D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4.1</w:t>
            </w:r>
          </w:p>
        </w:tc>
      </w:tr>
      <w:tr w:rsidR="006745CD" w:rsidRPr="00E635F0" w14:paraId="1CEB6611"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2621FDB2"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010E6F8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10</w:t>
            </w:r>
          </w:p>
        </w:tc>
        <w:tc>
          <w:tcPr>
            <w:tcW w:w="758" w:type="dxa"/>
            <w:tcBorders>
              <w:top w:val="nil"/>
              <w:left w:val="nil"/>
              <w:bottom w:val="nil"/>
              <w:right w:val="nil"/>
            </w:tcBorders>
            <w:shd w:val="clear" w:color="auto" w:fill="auto"/>
            <w:noWrap/>
            <w:vAlign w:val="bottom"/>
            <w:hideMark/>
          </w:tcPr>
          <w:p w14:paraId="21D8798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Apr 16</w:t>
            </w:r>
          </w:p>
        </w:tc>
        <w:tc>
          <w:tcPr>
            <w:tcW w:w="739" w:type="dxa"/>
            <w:tcBorders>
              <w:top w:val="nil"/>
              <w:left w:val="nil"/>
              <w:bottom w:val="nil"/>
              <w:right w:val="nil"/>
            </w:tcBorders>
            <w:shd w:val="clear" w:color="auto" w:fill="auto"/>
            <w:noWrap/>
            <w:vAlign w:val="bottom"/>
            <w:hideMark/>
          </w:tcPr>
          <w:p w14:paraId="08BB562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-8.1219</w:t>
            </w:r>
          </w:p>
        </w:tc>
        <w:tc>
          <w:tcPr>
            <w:tcW w:w="850" w:type="dxa"/>
            <w:tcBorders>
              <w:top w:val="nil"/>
              <w:left w:val="nil"/>
              <w:bottom w:val="nil"/>
              <w:right w:val="nil"/>
            </w:tcBorders>
            <w:shd w:val="clear" w:color="auto" w:fill="auto"/>
            <w:noWrap/>
            <w:vAlign w:val="bottom"/>
            <w:hideMark/>
          </w:tcPr>
          <w:p w14:paraId="15E53CA0"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110.5143</w:t>
            </w:r>
          </w:p>
        </w:tc>
        <w:tc>
          <w:tcPr>
            <w:tcW w:w="709" w:type="dxa"/>
            <w:tcBorders>
              <w:top w:val="nil"/>
              <w:left w:val="nil"/>
              <w:bottom w:val="nil"/>
              <w:right w:val="nil"/>
            </w:tcBorders>
            <w:shd w:val="clear" w:color="auto" w:fill="auto"/>
            <w:noWrap/>
            <w:vAlign w:val="bottom"/>
            <w:hideMark/>
          </w:tcPr>
          <w:p w14:paraId="16537A2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23.64</w:t>
            </w:r>
          </w:p>
        </w:tc>
        <w:tc>
          <w:tcPr>
            <w:tcW w:w="836" w:type="dxa"/>
            <w:tcBorders>
              <w:top w:val="nil"/>
              <w:left w:val="nil"/>
              <w:bottom w:val="nil"/>
              <w:right w:val="nil"/>
            </w:tcBorders>
            <w:shd w:val="clear" w:color="auto" w:fill="auto"/>
            <w:noWrap/>
            <w:vAlign w:val="bottom"/>
            <w:hideMark/>
          </w:tcPr>
          <w:p w14:paraId="1B8269A6"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72.8</w:t>
            </w:r>
          </w:p>
        </w:tc>
        <w:tc>
          <w:tcPr>
            <w:tcW w:w="994" w:type="dxa"/>
            <w:gridSpan w:val="2"/>
            <w:tcBorders>
              <w:top w:val="nil"/>
              <w:left w:val="nil"/>
              <w:bottom w:val="nil"/>
              <w:right w:val="nil"/>
            </w:tcBorders>
            <w:shd w:val="clear" w:color="auto" w:fill="auto"/>
            <w:noWrap/>
            <w:vAlign w:val="bottom"/>
            <w:hideMark/>
          </w:tcPr>
          <w:p w14:paraId="751BD2F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12.8</w:t>
            </w:r>
          </w:p>
        </w:tc>
        <w:tc>
          <w:tcPr>
            <w:tcW w:w="296" w:type="dxa"/>
            <w:gridSpan w:val="2"/>
            <w:tcBorders>
              <w:top w:val="nil"/>
              <w:left w:val="nil"/>
              <w:bottom w:val="nil"/>
              <w:right w:val="nil"/>
            </w:tcBorders>
          </w:tcPr>
          <w:p w14:paraId="4779452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125DDAB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0.3</w:t>
            </w:r>
          </w:p>
        </w:tc>
        <w:tc>
          <w:tcPr>
            <w:tcW w:w="1266" w:type="dxa"/>
            <w:tcBorders>
              <w:top w:val="nil"/>
              <w:left w:val="nil"/>
              <w:bottom w:val="nil"/>
              <w:right w:val="nil"/>
            </w:tcBorders>
            <w:shd w:val="clear" w:color="auto" w:fill="auto"/>
            <w:noWrap/>
            <w:vAlign w:val="bottom"/>
            <w:hideMark/>
          </w:tcPr>
          <w:p w14:paraId="359D064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11.9</w:t>
            </w:r>
          </w:p>
        </w:tc>
        <w:tc>
          <w:tcPr>
            <w:tcW w:w="994" w:type="dxa"/>
            <w:gridSpan w:val="2"/>
            <w:tcBorders>
              <w:top w:val="nil"/>
              <w:left w:val="nil"/>
              <w:bottom w:val="nil"/>
              <w:right w:val="single" w:sz="4" w:space="0" w:color="auto"/>
            </w:tcBorders>
            <w:shd w:val="clear" w:color="auto" w:fill="auto"/>
            <w:noWrap/>
            <w:vAlign w:val="bottom"/>
            <w:hideMark/>
          </w:tcPr>
          <w:p w14:paraId="6407DE6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3.0</w:t>
            </w:r>
          </w:p>
        </w:tc>
      </w:tr>
      <w:tr w:rsidR="006745CD" w:rsidRPr="00E635F0" w14:paraId="4CDA7379"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0DB75573"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4D55C3E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11</w:t>
            </w:r>
          </w:p>
        </w:tc>
        <w:tc>
          <w:tcPr>
            <w:tcW w:w="758" w:type="dxa"/>
            <w:tcBorders>
              <w:top w:val="nil"/>
              <w:left w:val="nil"/>
              <w:bottom w:val="nil"/>
              <w:right w:val="nil"/>
            </w:tcBorders>
            <w:shd w:val="clear" w:color="auto" w:fill="auto"/>
            <w:noWrap/>
            <w:vAlign w:val="bottom"/>
            <w:hideMark/>
          </w:tcPr>
          <w:p w14:paraId="6E48D49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7B11CCF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-8.1211</w:t>
            </w:r>
          </w:p>
        </w:tc>
        <w:tc>
          <w:tcPr>
            <w:tcW w:w="850" w:type="dxa"/>
            <w:tcBorders>
              <w:top w:val="nil"/>
              <w:left w:val="nil"/>
              <w:bottom w:val="nil"/>
              <w:right w:val="nil"/>
            </w:tcBorders>
            <w:shd w:val="clear" w:color="auto" w:fill="auto"/>
            <w:noWrap/>
            <w:vAlign w:val="bottom"/>
            <w:hideMark/>
          </w:tcPr>
          <w:p w14:paraId="74F0636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110.5138</w:t>
            </w:r>
          </w:p>
        </w:tc>
        <w:tc>
          <w:tcPr>
            <w:tcW w:w="709" w:type="dxa"/>
            <w:tcBorders>
              <w:top w:val="nil"/>
              <w:left w:val="nil"/>
              <w:bottom w:val="nil"/>
              <w:right w:val="nil"/>
            </w:tcBorders>
            <w:shd w:val="clear" w:color="auto" w:fill="auto"/>
            <w:noWrap/>
            <w:vAlign w:val="bottom"/>
            <w:hideMark/>
          </w:tcPr>
          <w:p w14:paraId="4522AAF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21.73</w:t>
            </w:r>
          </w:p>
        </w:tc>
        <w:tc>
          <w:tcPr>
            <w:tcW w:w="836" w:type="dxa"/>
            <w:tcBorders>
              <w:top w:val="nil"/>
              <w:left w:val="nil"/>
              <w:bottom w:val="nil"/>
              <w:right w:val="nil"/>
            </w:tcBorders>
            <w:shd w:val="clear" w:color="auto" w:fill="auto"/>
            <w:noWrap/>
            <w:vAlign w:val="bottom"/>
            <w:hideMark/>
          </w:tcPr>
          <w:p w14:paraId="5E053D90"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102.8</w:t>
            </w:r>
          </w:p>
        </w:tc>
        <w:tc>
          <w:tcPr>
            <w:tcW w:w="994" w:type="dxa"/>
            <w:gridSpan w:val="2"/>
            <w:tcBorders>
              <w:top w:val="nil"/>
              <w:left w:val="nil"/>
              <w:bottom w:val="nil"/>
              <w:right w:val="nil"/>
            </w:tcBorders>
            <w:shd w:val="clear" w:color="auto" w:fill="auto"/>
            <w:noWrap/>
            <w:vAlign w:val="bottom"/>
            <w:hideMark/>
          </w:tcPr>
          <w:p w14:paraId="0A179ED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13.1</w:t>
            </w:r>
          </w:p>
        </w:tc>
        <w:tc>
          <w:tcPr>
            <w:tcW w:w="296" w:type="dxa"/>
            <w:gridSpan w:val="2"/>
            <w:tcBorders>
              <w:top w:val="nil"/>
              <w:left w:val="nil"/>
              <w:bottom w:val="nil"/>
              <w:right w:val="nil"/>
            </w:tcBorders>
          </w:tcPr>
          <w:p w14:paraId="47369785"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145FA03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0.6</w:t>
            </w:r>
          </w:p>
        </w:tc>
        <w:tc>
          <w:tcPr>
            <w:tcW w:w="1266" w:type="dxa"/>
            <w:tcBorders>
              <w:top w:val="nil"/>
              <w:left w:val="nil"/>
              <w:bottom w:val="nil"/>
              <w:right w:val="nil"/>
            </w:tcBorders>
            <w:shd w:val="clear" w:color="auto" w:fill="auto"/>
            <w:noWrap/>
            <w:vAlign w:val="bottom"/>
            <w:hideMark/>
          </w:tcPr>
          <w:p w14:paraId="3392EC3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21.9</w:t>
            </w:r>
          </w:p>
        </w:tc>
        <w:tc>
          <w:tcPr>
            <w:tcW w:w="994" w:type="dxa"/>
            <w:gridSpan w:val="2"/>
            <w:tcBorders>
              <w:top w:val="nil"/>
              <w:left w:val="nil"/>
              <w:bottom w:val="nil"/>
              <w:right w:val="single" w:sz="4" w:space="0" w:color="auto"/>
            </w:tcBorders>
            <w:shd w:val="clear" w:color="auto" w:fill="auto"/>
            <w:noWrap/>
            <w:vAlign w:val="bottom"/>
            <w:hideMark/>
          </w:tcPr>
          <w:p w14:paraId="267E0D8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3.1</w:t>
            </w:r>
          </w:p>
        </w:tc>
      </w:tr>
      <w:tr w:rsidR="006745CD" w:rsidRPr="00E635F0" w14:paraId="7D9EF18F"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738CCAF6"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7B532FAE"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12</w:t>
            </w:r>
          </w:p>
        </w:tc>
        <w:tc>
          <w:tcPr>
            <w:tcW w:w="758" w:type="dxa"/>
            <w:tcBorders>
              <w:top w:val="nil"/>
              <w:left w:val="nil"/>
              <w:bottom w:val="nil"/>
              <w:right w:val="nil"/>
            </w:tcBorders>
            <w:shd w:val="clear" w:color="auto" w:fill="auto"/>
            <w:noWrap/>
            <w:vAlign w:val="bottom"/>
            <w:hideMark/>
          </w:tcPr>
          <w:p w14:paraId="4159313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15C16FA2"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-8.1231</w:t>
            </w:r>
          </w:p>
        </w:tc>
        <w:tc>
          <w:tcPr>
            <w:tcW w:w="850" w:type="dxa"/>
            <w:tcBorders>
              <w:top w:val="nil"/>
              <w:left w:val="nil"/>
              <w:bottom w:val="nil"/>
              <w:right w:val="nil"/>
            </w:tcBorders>
            <w:shd w:val="clear" w:color="auto" w:fill="auto"/>
            <w:noWrap/>
            <w:vAlign w:val="bottom"/>
            <w:hideMark/>
          </w:tcPr>
          <w:p w14:paraId="38E4683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110.5137</w:t>
            </w:r>
          </w:p>
        </w:tc>
        <w:tc>
          <w:tcPr>
            <w:tcW w:w="709" w:type="dxa"/>
            <w:tcBorders>
              <w:top w:val="nil"/>
              <w:left w:val="nil"/>
              <w:bottom w:val="nil"/>
              <w:right w:val="nil"/>
            </w:tcBorders>
            <w:shd w:val="clear" w:color="auto" w:fill="auto"/>
            <w:noWrap/>
            <w:vAlign w:val="bottom"/>
            <w:hideMark/>
          </w:tcPr>
          <w:p w14:paraId="2D7F52C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30.09</w:t>
            </w:r>
          </w:p>
        </w:tc>
        <w:tc>
          <w:tcPr>
            <w:tcW w:w="836" w:type="dxa"/>
            <w:tcBorders>
              <w:top w:val="nil"/>
              <w:left w:val="nil"/>
              <w:bottom w:val="nil"/>
              <w:right w:val="nil"/>
            </w:tcBorders>
            <w:shd w:val="clear" w:color="auto" w:fill="auto"/>
            <w:noWrap/>
            <w:vAlign w:val="bottom"/>
            <w:hideMark/>
          </w:tcPr>
          <w:p w14:paraId="0896C694"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64.7</w:t>
            </w:r>
          </w:p>
        </w:tc>
        <w:tc>
          <w:tcPr>
            <w:tcW w:w="994" w:type="dxa"/>
            <w:gridSpan w:val="2"/>
            <w:tcBorders>
              <w:top w:val="nil"/>
              <w:left w:val="nil"/>
              <w:bottom w:val="nil"/>
              <w:right w:val="nil"/>
            </w:tcBorders>
            <w:shd w:val="clear" w:color="auto" w:fill="auto"/>
            <w:noWrap/>
            <w:vAlign w:val="bottom"/>
            <w:hideMark/>
          </w:tcPr>
          <w:p w14:paraId="1B4CD70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9.0</w:t>
            </w:r>
          </w:p>
        </w:tc>
        <w:tc>
          <w:tcPr>
            <w:tcW w:w="296" w:type="dxa"/>
            <w:gridSpan w:val="2"/>
            <w:tcBorders>
              <w:top w:val="nil"/>
              <w:left w:val="nil"/>
              <w:bottom w:val="nil"/>
              <w:right w:val="nil"/>
            </w:tcBorders>
          </w:tcPr>
          <w:p w14:paraId="6DE241BE"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1C010F2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0.3</w:t>
            </w:r>
          </w:p>
        </w:tc>
        <w:tc>
          <w:tcPr>
            <w:tcW w:w="1266" w:type="dxa"/>
            <w:tcBorders>
              <w:top w:val="nil"/>
              <w:left w:val="nil"/>
              <w:bottom w:val="nil"/>
              <w:right w:val="nil"/>
            </w:tcBorders>
            <w:shd w:val="clear" w:color="auto" w:fill="auto"/>
            <w:noWrap/>
            <w:vAlign w:val="bottom"/>
            <w:hideMark/>
          </w:tcPr>
          <w:p w14:paraId="6FB04CF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16.4</w:t>
            </w:r>
          </w:p>
        </w:tc>
        <w:tc>
          <w:tcPr>
            <w:tcW w:w="994" w:type="dxa"/>
            <w:gridSpan w:val="2"/>
            <w:tcBorders>
              <w:top w:val="nil"/>
              <w:left w:val="nil"/>
              <w:bottom w:val="nil"/>
              <w:right w:val="single" w:sz="4" w:space="0" w:color="auto"/>
            </w:tcBorders>
            <w:shd w:val="clear" w:color="auto" w:fill="auto"/>
            <w:noWrap/>
            <w:vAlign w:val="bottom"/>
            <w:hideMark/>
          </w:tcPr>
          <w:p w14:paraId="5985D08F"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2.8</w:t>
            </w:r>
          </w:p>
        </w:tc>
      </w:tr>
      <w:tr w:rsidR="006745CD" w:rsidRPr="00E635F0" w14:paraId="77C165C5"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55A60591"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5D30670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13</w:t>
            </w:r>
          </w:p>
        </w:tc>
        <w:tc>
          <w:tcPr>
            <w:tcW w:w="758" w:type="dxa"/>
            <w:tcBorders>
              <w:top w:val="nil"/>
              <w:left w:val="nil"/>
              <w:bottom w:val="nil"/>
              <w:right w:val="nil"/>
            </w:tcBorders>
            <w:shd w:val="clear" w:color="auto" w:fill="auto"/>
            <w:noWrap/>
            <w:vAlign w:val="bottom"/>
            <w:hideMark/>
          </w:tcPr>
          <w:p w14:paraId="24ECC80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nil"/>
              <w:right w:val="nil"/>
            </w:tcBorders>
            <w:shd w:val="clear" w:color="auto" w:fill="auto"/>
            <w:noWrap/>
            <w:vAlign w:val="bottom"/>
            <w:hideMark/>
          </w:tcPr>
          <w:p w14:paraId="2AC2FB5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-8.1219</w:t>
            </w:r>
          </w:p>
        </w:tc>
        <w:tc>
          <w:tcPr>
            <w:tcW w:w="850" w:type="dxa"/>
            <w:tcBorders>
              <w:top w:val="nil"/>
              <w:left w:val="nil"/>
              <w:bottom w:val="nil"/>
              <w:right w:val="nil"/>
            </w:tcBorders>
            <w:shd w:val="clear" w:color="auto" w:fill="auto"/>
            <w:noWrap/>
            <w:vAlign w:val="bottom"/>
            <w:hideMark/>
          </w:tcPr>
          <w:p w14:paraId="15309B3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110.5143</w:t>
            </w:r>
          </w:p>
        </w:tc>
        <w:tc>
          <w:tcPr>
            <w:tcW w:w="709" w:type="dxa"/>
            <w:tcBorders>
              <w:top w:val="nil"/>
              <w:left w:val="nil"/>
              <w:bottom w:val="nil"/>
              <w:right w:val="nil"/>
            </w:tcBorders>
            <w:shd w:val="clear" w:color="auto" w:fill="auto"/>
            <w:noWrap/>
            <w:vAlign w:val="bottom"/>
            <w:hideMark/>
          </w:tcPr>
          <w:p w14:paraId="04C01ED9"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23.09</w:t>
            </w:r>
          </w:p>
        </w:tc>
        <w:tc>
          <w:tcPr>
            <w:tcW w:w="836" w:type="dxa"/>
            <w:tcBorders>
              <w:top w:val="nil"/>
              <w:left w:val="nil"/>
              <w:bottom w:val="nil"/>
              <w:right w:val="nil"/>
            </w:tcBorders>
            <w:shd w:val="clear" w:color="auto" w:fill="auto"/>
            <w:noWrap/>
            <w:vAlign w:val="bottom"/>
            <w:hideMark/>
          </w:tcPr>
          <w:p w14:paraId="596C1A56"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82.7</w:t>
            </w:r>
          </w:p>
        </w:tc>
        <w:tc>
          <w:tcPr>
            <w:tcW w:w="994" w:type="dxa"/>
            <w:gridSpan w:val="2"/>
            <w:tcBorders>
              <w:top w:val="nil"/>
              <w:left w:val="nil"/>
              <w:bottom w:val="nil"/>
              <w:right w:val="nil"/>
            </w:tcBorders>
            <w:shd w:val="clear" w:color="auto" w:fill="auto"/>
            <w:noWrap/>
            <w:vAlign w:val="bottom"/>
            <w:hideMark/>
          </w:tcPr>
          <w:p w14:paraId="233B353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6.6</w:t>
            </w:r>
          </w:p>
        </w:tc>
        <w:tc>
          <w:tcPr>
            <w:tcW w:w="296" w:type="dxa"/>
            <w:gridSpan w:val="2"/>
            <w:tcBorders>
              <w:top w:val="nil"/>
              <w:left w:val="nil"/>
              <w:bottom w:val="nil"/>
              <w:right w:val="nil"/>
            </w:tcBorders>
          </w:tcPr>
          <w:p w14:paraId="3175BFB2"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nil"/>
              <w:right w:val="nil"/>
            </w:tcBorders>
            <w:shd w:val="clear" w:color="auto" w:fill="auto"/>
            <w:noWrap/>
            <w:vAlign w:val="bottom"/>
            <w:hideMark/>
          </w:tcPr>
          <w:p w14:paraId="0D47F06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0.4</w:t>
            </w:r>
          </w:p>
        </w:tc>
        <w:tc>
          <w:tcPr>
            <w:tcW w:w="1266" w:type="dxa"/>
            <w:tcBorders>
              <w:top w:val="nil"/>
              <w:left w:val="nil"/>
              <w:bottom w:val="nil"/>
              <w:right w:val="nil"/>
            </w:tcBorders>
            <w:shd w:val="clear" w:color="auto" w:fill="auto"/>
            <w:noWrap/>
            <w:vAlign w:val="bottom"/>
            <w:hideMark/>
          </w:tcPr>
          <w:p w14:paraId="1BDE3FA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23.7</w:t>
            </w:r>
          </w:p>
        </w:tc>
        <w:tc>
          <w:tcPr>
            <w:tcW w:w="994" w:type="dxa"/>
            <w:gridSpan w:val="2"/>
            <w:tcBorders>
              <w:top w:val="nil"/>
              <w:left w:val="nil"/>
              <w:bottom w:val="nil"/>
              <w:right w:val="single" w:sz="4" w:space="0" w:color="auto"/>
            </w:tcBorders>
            <w:shd w:val="clear" w:color="auto" w:fill="auto"/>
            <w:noWrap/>
            <w:vAlign w:val="bottom"/>
            <w:hideMark/>
          </w:tcPr>
          <w:p w14:paraId="383C2E1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2.2</w:t>
            </w:r>
          </w:p>
        </w:tc>
      </w:tr>
      <w:tr w:rsidR="006745CD" w:rsidRPr="00E635F0" w14:paraId="3A65A59D"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516A3DF6"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nil"/>
              <w:right w:val="nil"/>
            </w:tcBorders>
            <w:shd w:val="clear" w:color="auto" w:fill="auto"/>
            <w:noWrap/>
            <w:vAlign w:val="bottom"/>
            <w:hideMark/>
          </w:tcPr>
          <w:p w14:paraId="73D7E8E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CW 15</w:t>
            </w:r>
          </w:p>
        </w:tc>
        <w:tc>
          <w:tcPr>
            <w:tcW w:w="758" w:type="dxa"/>
            <w:tcBorders>
              <w:top w:val="nil"/>
              <w:left w:val="nil"/>
              <w:right w:val="nil"/>
            </w:tcBorders>
            <w:shd w:val="clear" w:color="auto" w:fill="auto"/>
            <w:noWrap/>
            <w:vAlign w:val="bottom"/>
            <w:hideMark/>
          </w:tcPr>
          <w:p w14:paraId="3D0E93E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right w:val="nil"/>
            </w:tcBorders>
            <w:shd w:val="clear" w:color="auto" w:fill="auto"/>
            <w:noWrap/>
            <w:vAlign w:val="bottom"/>
            <w:hideMark/>
          </w:tcPr>
          <w:p w14:paraId="734DB2F3"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-8.1270</w:t>
            </w:r>
          </w:p>
        </w:tc>
        <w:tc>
          <w:tcPr>
            <w:tcW w:w="850" w:type="dxa"/>
            <w:tcBorders>
              <w:top w:val="nil"/>
              <w:left w:val="nil"/>
              <w:right w:val="nil"/>
            </w:tcBorders>
            <w:shd w:val="clear" w:color="auto" w:fill="auto"/>
            <w:noWrap/>
            <w:vAlign w:val="bottom"/>
            <w:hideMark/>
          </w:tcPr>
          <w:p w14:paraId="06D71BE7"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110.5118</w:t>
            </w:r>
          </w:p>
        </w:tc>
        <w:tc>
          <w:tcPr>
            <w:tcW w:w="709" w:type="dxa"/>
            <w:tcBorders>
              <w:top w:val="nil"/>
              <w:left w:val="nil"/>
              <w:right w:val="nil"/>
            </w:tcBorders>
            <w:shd w:val="clear" w:color="auto" w:fill="auto"/>
            <w:noWrap/>
            <w:vAlign w:val="bottom"/>
            <w:hideMark/>
          </w:tcPr>
          <w:p w14:paraId="055617B5"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31.91</w:t>
            </w:r>
          </w:p>
        </w:tc>
        <w:tc>
          <w:tcPr>
            <w:tcW w:w="836" w:type="dxa"/>
            <w:tcBorders>
              <w:top w:val="nil"/>
              <w:left w:val="nil"/>
              <w:right w:val="nil"/>
            </w:tcBorders>
            <w:shd w:val="clear" w:color="auto" w:fill="auto"/>
            <w:noWrap/>
            <w:vAlign w:val="bottom"/>
            <w:hideMark/>
          </w:tcPr>
          <w:p w14:paraId="52D8235D"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9.0</w:t>
            </w:r>
          </w:p>
        </w:tc>
        <w:tc>
          <w:tcPr>
            <w:tcW w:w="994" w:type="dxa"/>
            <w:gridSpan w:val="2"/>
            <w:tcBorders>
              <w:top w:val="nil"/>
              <w:left w:val="nil"/>
              <w:right w:val="nil"/>
            </w:tcBorders>
            <w:shd w:val="clear" w:color="auto" w:fill="auto"/>
            <w:noWrap/>
            <w:vAlign w:val="bottom"/>
            <w:hideMark/>
          </w:tcPr>
          <w:p w14:paraId="48D191D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7.8</w:t>
            </w:r>
          </w:p>
        </w:tc>
        <w:tc>
          <w:tcPr>
            <w:tcW w:w="296" w:type="dxa"/>
            <w:gridSpan w:val="2"/>
            <w:tcBorders>
              <w:top w:val="nil"/>
              <w:left w:val="nil"/>
              <w:right w:val="nil"/>
            </w:tcBorders>
          </w:tcPr>
          <w:p w14:paraId="2AD56E0E"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right w:val="nil"/>
            </w:tcBorders>
            <w:shd w:val="clear" w:color="auto" w:fill="auto"/>
            <w:noWrap/>
            <w:vAlign w:val="bottom"/>
            <w:hideMark/>
          </w:tcPr>
          <w:p w14:paraId="58EBCD5A"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0.3</w:t>
            </w:r>
          </w:p>
        </w:tc>
        <w:tc>
          <w:tcPr>
            <w:tcW w:w="1266" w:type="dxa"/>
            <w:tcBorders>
              <w:top w:val="nil"/>
              <w:left w:val="nil"/>
              <w:right w:val="nil"/>
            </w:tcBorders>
            <w:shd w:val="clear" w:color="auto" w:fill="auto"/>
            <w:noWrap/>
            <w:vAlign w:val="bottom"/>
            <w:hideMark/>
          </w:tcPr>
          <w:p w14:paraId="6931CD5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16.3</w:t>
            </w:r>
          </w:p>
        </w:tc>
        <w:tc>
          <w:tcPr>
            <w:tcW w:w="994" w:type="dxa"/>
            <w:gridSpan w:val="2"/>
            <w:tcBorders>
              <w:top w:val="nil"/>
              <w:left w:val="nil"/>
              <w:bottom w:val="nil"/>
              <w:right w:val="single" w:sz="4" w:space="0" w:color="auto"/>
            </w:tcBorders>
            <w:shd w:val="clear" w:color="auto" w:fill="auto"/>
            <w:noWrap/>
            <w:vAlign w:val="bottom"/>
            <w:hideMark/>
          </w:tcPr>
          <w:p w14:paraId="36A0303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2.9</w:t>
            </w:r>
          </w:p>
        </w:tc>
      </w:tr>
      <w:tr w:rsidR="006745CD" w:rsidRPr="00E635F0" w14:paraId="375B59D7" w14:textId="77777777" w:rsidTr="006745CD">
        <w:trPr>
          <w:trHeight w:val="300"/>
        </w:trPr>
        <w:tc>
          <w:tcPr>
            <w:tcW w:w="387" w:type="dxa"/>
            <w:vMerge/>
            <w:tcBorders>
              <w:top w:val="nil"/>
              <w:left w:val="single" w:sz="4" w:space="0" w:color="auto"/>
              <w:bottom w:val="single" w:sz="4" w:space="0" w:color="000000"/>
              <w:right w:val="single" w:sz="4" w:space="0" w:color="auto"/>
            </w:tcBorders>
            <w:vAlign w:val="center"/>
            <w:hideMark/>
          </w:tcPr>
          <w:p w14:paraId="688F3B65"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805" w:type="dxa"/>
            <w:tcBorders>
              <w:top w:val="nil"/>
              <w:left w:val="nil"/>
              <w:bottom w:val="single" w:sz="4" w:space="0" w:color="auto"/>
              <w:right w:val="nil"/>
            </w:tcBorders>
            <w:shd w:val="clear" w:color="auto" w:fill="auto"/>
            <w:noWrap/>
            <w:vAlign w:val="bottom"/>
            <w:hideMark/>
          </w:tcPr>
          <w:p w14:paraId="59E676D8"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SW 1</w:t>
            </w:r>
          </w:p>
        </w:tc>
        <w:tc>
          <w:tcPr>
            <w:tcW w:w="758" w:type="dxa"/>
            <w:tcBorders>
              <w:top w:val="nil"/>
              <w:left w:val="nil"/>
              <w:bottom w:val="single" w:sz="4" w:space="0" w:color="auto"/>
              <w:right w:val="nil"/>
            </w:tcBorders>
            <w:shd w:val="clear" w:color="auto" w:fill="auto"/>
            <w:noWrap/>
            <w:vAlign w:val="bottom"/>
            <w:hideMark/>
          </w:tcPr>
          <w:p w14:paraId="796A1E8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Nov 15</w:t>
            </w:r>
          </w:p>
        </w:tc>
        <w:tc>
          <w:tcPr>
            <w:tcW w:w="739" w:type="dxa"/>
            <w:tcBorders>
              <w:top w:val="nil"/>
              <w:left w:val="nil"/>
              <w:bottom w:val="single" w:sz="4" w:space="0" w:color="auto"/>
              <w:right w:val="nil"/>
            </w:tcBorders>
            <w:shd w:val="clear" w:color="auto" w:fill="auto"/>
            <w:noWrap/>
            <w:vAlign w:val="bottom"/>
            <w:hideMark/>
          </w:tcPr>
          <w:p w14:paraId="7722D82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-8.1264</w:t>
            </w:r>
          </w:p>
        </w:tc>
        <w:tc>
          <w:tcPr>
            <w:tcW w:w="850" w:type="dxa"/>
            <w:tcBorders>
              <w:top w:val="nil"/>
              <w:left w:val="nil"/>
              <w:bottom w:val="single" w:sz="4" w:space="0" w:color="auto"/>
              <w:right w:val="nil"/>
            </w:tcBorders>
            <w:shd w:val="clear" w:color="auto" w:fill="auto"/>
            <w:noWrap/>
            <w:vAlign w:val="bottom"/>
            <w:hideMark/>
          </w:tcPr>
          <w:p w14:paraId="0ECAE3E1"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110.5149</w:t>
            </w:r>
          </w:p>
        </w:tc>
        <w:tc>
          <w:tcPr>
            <w:tcW w:w="709" w:type="dxa"/>
            <w:tcBorders>
              <w:top w:val="nil"/>
              <w:left w:val="nil"/>
              <w:bottom w:val="single" w:sz="4" w:space="0" w:color="auto"/>
              <w:right w:val="nil"/>
            </w:tcBorders>
            <w:shd w:val="clear" w:color="auto" w:fill="auto"/>
            <w:noWrap/>
            <w:vAlign w:val="bottom"/>
            <w:hideMark/>
          </w:tcPr>
          <w:p w14:paraId="1894D98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32.40</w:t>
            </w:r>
          </w:p>
        </w:tc>
        <w:tc>
          <w:tcPr>
            <w:tcW w:w="836" w:type="dxa"/>
            <w:tcBorders>
              <w:top w:val="nil"/>
              <w:left w:val="nil"/>
              <w:bottom w:val="single" w:sz="4" w:space="0" w:color="auto"/>
              <w:right w:val="nil"/>
            </w:tcBorders>
            <w:shd w:val="clear" w:color="auto" w:fill="auto"/>
            <w:noWrap/>
            <w:vAlign w:val="bottom"/>
            <w:hideMark/>
          </w:tcPr>
          <w:p w14:paraId="2169B8A8" w14:textId="77777777" w:rsidR="006745CD" w:rsidRPr="00E635F0" w:rsidRDefault="006745CD" w:rsidP="006745CD">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8.5</w:t>
            </w:r>
          </w:p>
        </w:tc>
        <w:tc>
          <w:tcPr>
            <w:tcW w:w="994" w:type="dxa"/>
            <w:gridSpan w:val="2"/>
            <w:tcBorders>
              <w:top w:val="nil"/>
              <w:left w:val="nil"/>
              <w:bottom w:val="single" w:sz="4" w:space="0" w:color="auto"/>
              <w:right w:val="nil"/>
            </w:tcBorders>
            <w:shd w:val="clear" w:color="auto" w:fill="auto"/>
            <w:noWrap/>
            <w:vAlign w:val="bottom"/>
            <w:hideMark/>
          </w:tcPr>
          <w:p w14:paraId="6FDDC9BD"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3.3</w:t>
            </w:r>
          </w:p>
        </w:tc>
        <w:tc>
          <w:tcPr>
            <w:tcW w:w="296" w:type="dxa"/>
            <w:gridSpan w:val="2"/>
            <w:tcBorders>
              <w:top w:val="nil"/>
              <w:left w:val="nil"/>
              <w:bottom w:val="single" w:sz="4" w:space="0" w:color="auto"/>
              <w:right w:val="nil"/>
            </w:tcBorders>
          </w:tcPr>
          <w:p w14:paraId="2A914728" w14:textId="77777777" w:rsidR="006745CD" w:rsidRPr="00E635F0" w:rsidRDefault="006745CD" w:rsidP="00845795">
            <w:pPr>
              <w:spacing w:after="0"/>
              <w:rPr>
                <w:rFonts w:ascii="Calibri" w:eastAsia="Times New Roman" w:hAnsi="Calibri" w:cs="Calibri"/>
                <w:color w:val="000000"/>
                <w:sz w:val="18"/>
                <w:szCs w:val="18"/>
                <w:lang w:val="de-DE" w:eastAsia="de-DE"/>
              </w:rPr>
            </w:pPr>
          </w:p>
        </w:tc>
        <w:tc>
          <w:tcPr>
            <w:tcW w:w="1418" w:type="dxa"/>
            <w:tcBorders>
              <w:top w:val="nil"/>
              <w:left w:val="nil"/>
              <w:bottom w:val="single" w:sz="4" w:space="0" w:color="auto"/>
              <w:right w:val="nil"/>
            </w:tcBorders>
            <w:shd w:val="clear" w:color="auto" w:fill="auto"/>
            <w:noWrap/>
            <w:vAlign w:val="bottom"/>
            <w:hideMark/>
          </w:tcPr>
          <w:p w14:paraId="226387CC"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0.2</w:t>
            </w:r>
          </w:p>
        </w:tc>
        <w:tc>
          <w:tcPr>
            <w:tcW w:w="1266" w:type="dxa"/>
            <w:tcBorders>
              <w:top w:val="nil"/>
              <w:left w:val="nil"/>
              <w:bottom w:val="single" w:sz="4" w:space="0" w:color="auto"/>
              <w:right w:val="nil"/>
            </w:tcBorders>
            <w:shd w:val="clear" w:color="auto" w:fill="auto"/>
            <w:noWrap/>
            <w:vAlign w:val="bottom"/>
            <w:hideMark/>
          </w:tcPr>
          <w:p w14:paraId="5F5D74C6"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14.6</w:t>
            </w:r>
          </w:p>
        </w:tc>
        <w:tc>
          <w:tcPr>
            <w:tcW w:w="994" w:type="dxa"/>
            <w:gridSpan w:val="2"/>
            <w:tcBorders>
              <w:top w:val="nil"/>
              <w:left w:val="nil"/>
              <w:bottom w:val="single" w:sz="4" w:space="0" w:color="auto"/>
              <w:right w:val="single" w:sz="4" w:space="0" w:color="auto"/>
            </w:tcBorders>
            <w:shd w:val="clear" w:color="auto" w:fill="auto"/>
            <w:noWrap/>
            <w:vAlign w:val="bottom"/>
            <w:hideMark/>
          </w:tcPr>
          <w:p w14:paraId="1F55BDB4" w14:textId="77777777" w:rsidR="006745CD" w:rsidRPr="00E635F0" w:rsidRDefault="006745CD" w:rsidP="00845795">
            <w:pPr>
              <w:spacing w:after="0"/>
              <w:rPr>
                <w:rFonts w:ascii="Calibri" w:eastAsia="Times New Roman" w:hAnsi="Calibri" w:cs="Calibri"/>
                <w:color w:val="000000"/>
                <w:sz w:val="18"/>
                <w:szCs w:val="18"/>
                <w:lang w:val="de-DE" w:eastAsia="de-DE"/>
              </w:rPr>
            </w:pPr>
            <w:r w:rsidRPr="00E635F0">
              <w:rPr>
                <w:rFonts w:ascii="Calibri" w:eastAsia="Times New Roman" w:hAnsi="Calibri" w:cs="Calibri"/>
                <w:color w:val="000000"/>
                <w:sz w:val="18"/>
                <w:szCs w:val="18"/>
                <w:lang w:val="de-DE" w:eastAsia="de-DE"/>
              </w:rPr>
              <w:t>3.8</w:t>
            </w:r>
          </w:p>
        </w:tc>
      </w:tr>
    </w:tbl>
    <w:p w14:paraId="4E63B0E1" w14:textId="77777777" w:rsidR="006745CD" w:rsidRDefault="006745CD" w:rsidP="002B4A57"/>
    <w:p w14:paraId="618578BC" w14:textId="77777777" w:rsidR="006745CD" w:rsidRDefault="006745CD" w:rsidP="002B4A57"/>
    <w:p w14:paraId="13FA55E4" w14:textId="20A2318A" w:rsidR="006745CD" w:rsidRPr="00E520C4" w:rsidRDefault="006745CD" w:rsidP="006745CD">
      <w:pPr>
        <w:pStyle w:val="Subtitle"/>
        <w:rPr>
          <w:rStyle w:val="SubtleEmphasis"/>
          <w:b w:val="0"/>
          <w:i w:val="0"/>
          <w:color w:val="auto"/>
        </w:rPr>
      </w:pPr>
      <w:r w:rsidRPr="00E520C4">
        <w:rPr>
          <w:rStyle w:val="SubtleEmphasis"/>
          <w:i w:val="0"/>
          <w:color w:val="auto"/>
        </w:rPr>
        <w:lastRenderedPageBreak/>
        <w:t xml:space="preserve">Supplementary Table </w:t>
      </w:r>
      <w:r w:rsidR="00E520C4" w:rsidRPr="00E520C4">
        <w:rPr>
          <w:rStyle w:val="SubtleEmphasis"/>
          <w:i w:val="0"/>
          <w:color w:val="auto"/>
        </w:rPr>
        <w:t>B</w:t>
      </w:r>
      <w:r w:rsidRPr="00E520C4">
        <w:rPr>
          <w:rStyle w:val="SubtleEmphasis"/>
          <w:i w:val="0"/>
          <w:color w:val="auto"/>
        </w:rPr>
        <w:t>:</w:t>
      </w:r>
      <w:r w:rsidRPr="00E520C4">
        <w:rPr>
          <w:rStyle w:val="SubtleEmphasis"/>
          <w:color w:val="auto"/>
        </w:rPr>
        <w:t xml:space="preserve"> </w:t>
      </w:r>
      <w:r w:rsidRPr="00E520C4">
        <w:rPr>
          <w:rStyle w:val="SubtleEmphasis"/>
          <w:b w:val="0"/>
          <w:i w:val="0"/>
          <w:color w:val="auto"/>
        </w:rPr>
        <w:t xml:space="preserve">Time series data of salinity and </w:t>
      </w:r>
      <w:proofErr w:type="spellStart"/>
      <w:r w:rsidRPr="00E520C4">
        <w:rPr>
          <w:rStyle w:val="SubtleEmphasis"/>
          <w:b w:val="0"/>
          <w:i w:val="0"/>
          <w:color w:val="auto"/>
        </w:rPr>
        <w:t>DSi</w:t>
      </w:r>
      <w:proofErr w:type="spellEnd"/>
      <w:r w:rsidRPr="00E520C4">
        <w:rPr>
          <w:rStyle w:val="SubtleEmphasis"/>
          <w:b w:val="0"/>
          <w:i w:val="0"/>
          <w:color w:val="auto"/>
        </w:rPr>
        <w:t xml:space="preserve"> taken in the coastal water of the embayment of </w:t>
      </w:r>
      <w:proofErr w:type="spellStart"/>
      <w:r w:rsidRPr="00E520C4">
        <w:rPr>
          <w:rStyle w:val="SubtleEmphasis"/>
          <w:b w:val="0"/>
          <w:i w:val="0"/>
          <w:color w:val="auto"/>
        </w:rPr>
        <w:t>Pantai</w:t>
      </w:r>
      <w:proofErr w:type="spellEnd"/>
      <w:r w:rsidRPr="00E520C4">
        <w:rPr>
          <w:rStyle w:val="SubtleEmphasis"/>
          <w:b w:val="0"/>
          <w:i w:val="0"/>
          <w:color w:val="auto"/>
        </w:rPr>
        <w:t xml:space="preserve"> </w:t>
      </w:r>
      <w:proofErr w:type="spellStart"/>
      <w:r w:rsidRPr="00E520C4">
        <w:rPr>
          <w:rStyle w:val="SubtleEmphasis"/>
          <w:b w:val="0"/>
          <w:i w:val="0"/>
          <w:color w:val="auto"/>
        </w:rPr>
        <w:t>Ngrenehean</w:t>
      </w:r>
      <w:proofErr w:type="spellEnd"/>
      <w:r w:rsidRPr="00E520C4">
        <w:rPr>
          <w:rStyle w:val="SubtleEmphasis"/>
          <w:b w:val="0"/>
          <w:i w:val="0"/>
          <w:color w:val="auto"/>
        </w:rPr>
        <w:t xml:space="preserve"> (southern Java, Indonesia)</w:t>
      </w:r>
    </w:p>
    <w:tbl>
      <w:tblPr>
        <w:tblStyle w:val="PlainTable4"/>
        <w:tblW w:w="6340" w:type="dxa"/>
        <w:tblLook w:val="04A0" w:firstRow="1" w:lastRow="0" w:firstColumn="1" w:lastColumn="0" w:noHBand="0" w:noVBand="1"/>
      </w:tblPr>
      <w:tblGrid>
        <w:gridCol w:w="1040"/>
        <w:gridCol w:w="1220"/>
        <w:gridCol w:w="1220"/>
        <w:gridCol w:w="980"/>
        <w:gridCol w:w="880"/>
        <w:gridCol w:w="1000"/>
      </w:tblGrid>
      <w:tr w:rsidR="006745CD" w:rsidRPr="00C03DED" w14:paraId="41A92C7D" w14:textId="77777777" w:rsidTr="0084579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40" w:type="dxa"/>
            <w:noWrap/>
            <w:hideMark/>
          </w:tcPr>
          <w:p w14:paraId="05BDC9CC"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Station</w:t>
            </w:r>
          </w:p>
        </w:tc>
        <w:tc>
          <w:tcPr>
            <w:tcW w:w="1220" w:type="dxa"/>
            <w:noWrap/>
            <w:hideMark/>
          </w:tcPr>
          <w:p w14:paraId="5CF352E7" w14:textId="77777777" w:rsidR="006745CD" w:rsidRPr="00C03DED" w:rsidRDefault="006745CD" w:rsidP="00845795">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Date (UTC)</w:t>
            </w:r>
          </w:p>
        </w:tc>
        <w:tc>
          <w:tcPr>
            <w:tcW w:w="1220" w:type="dxa"/>
            <w:noWrap/>
            <w:hideMark/>
          </w:tcPr>
          <w:p w14:paraId="7DC03FCE" w14:textId="77777777" w:rsidR="006745CD" w:rsidRPr="00C03DED" w:rsidRDefault="006745CD" w:rsidP="00845795">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Time (UTC)</w:t>
            </w:r>
          </w:p>
        </w:tc>
        <w:tc>
          <w:tcPr>
            <w:tcW w:w="980" w:type="dxa"/>
            <w:hideMark/>
          </w:tcPr>
          <w:p w14:paraId="535CC483" w14:textId="77777777" w:rsidR="006745CD" w:rsidRPr="00C03DED" w:rsidRDefault="006745CD" w:rsidP="00845795">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proofErr w:type="spellStart"/>
            <w:r w:rsidRPr="00C03DED">
              <w:rPr>
                <w:rFonts w:ascii="Calibri" w:eastAsia="Times New Roman" w:hAnsi="Calibri" w:cs="Calibri"/>
                <w:color w:val="000000"/>
                <w:sz w:val="18"/>
                <w:szCs w:val="18"/>
                <w:lang w:eastAsia="de-DE"/>
              </w:rPr>
              <w:t>Water</w:t>
            </w:r>
            <w:proofErr w:type="spellEnd"/>
            <w:r w:rsidRPr="00C03DED">
              <w:rPr>
                <w:rFonts w:ascii="Calibri" w:eastAsia="Times New Roman" w:hAnsi="Calibri" w:cs="Calibri"/>
                <w:color w:val="000000"/>
                <w:sz w:val="18"/>
                <w:szCs w:val="18"/>
                <w:lang w:eastAsia="de-DE"/>
              </w:rPr>
              <w:t xml:space="preserve"> </w:t>
            </w:r>
            <w:r w:rsidRPr="00C03DED">
              <w:rPr>
                <w:rFonts w:ascii="Calibri" w:eastAsia="Times New Roman" w:hAnsi="Calibri" w:cs="Calibri"/>
                <w:color w:val="000000"/>
                <w:sz w:val="18"/>
                <w:szCs w:val="18"/>
                <w:lang w:eastAsia="de-DE"/>
              </w:rPr>
              <w:br/>
            </w:r>
            <w:proofErr w:type="spellStart"/>
            <w:r w:rsidRPr="00C03DED">
              <w:rPr>
                <w:rFonts w:ascii="Calibri" w:eastAsia="Times New Roman" w:hAnsi="Calibri" w:cs="Calibri"/>
                <w:color w:val="000000"/>
                <w:sz w:val="18"/>
                <w:szCs w:val="18"/>
                <w:lang w:eastAsia="de-DE"/>
              </w:rPr>
              <w:t>level</w:t>
            </w:r>
            <w:proofErr w:type="spellEnd"/>
            <w:r w:rsidRPr="00C03DED">
              <w:rPr>
                <w:rFonts w:ascii="Calibri" w:eastAsia="Times New Roman" w:hAnsi="Calibri" w:cs="Calibri"/>
                <w:color w:val="000000"/>
                <w:sz w:val="18"/>
                <w:szCs w:val="18"/>
                <w:lang w:eastAsia="de-DE"/>
              </w:rPr>
              <w:t xml:space="preserve"> (m)</w:t>
            </w:r>
          </w:p>
        </w:tc>
        <w:tc>
          <w:tcPr>
            <w:tcW w:w="880" w:type="dxa"/>
            <w:hideMark/>
          </w:tcPr>
          <w:p w14:paraId="28EBA70A" w14:textId="77777777" w:rsidR="006745CD" w:rsidRPr="00C03DED" w:rsidRDefault="006745CD" w:rsidP="00845795">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proofErr w:type="spellStart"/>
            <w:r w:rsidRPr="00C03DED">
              <w:rPr>
                <w:rFonts w:ascii="Calibri" w:eastAsia="Times New Roman" w:hAnsi="Calibri" w:cs="Calibri"/>
                <w:color w:val="000000"/>
                <w:sz w:val="18"/>
                <w:szCs w:val="18"/>
                <w:lang w:eastAsia="de-DE"/>
              </w:rPr>
              <w:t>Salinity</w:t>
            </w:r>
            <w:proofErr w:type="spellEnd"/>
          </w:p>
        </w:tc>
        <w:tc>
          <w:tcPr>
            <w:tcW w:w="1000" w:type="dxa"/>
            <w:hideMark/>
          </w:tcPr>
          <w:p w14:paraId="7373EF1D" w14:textId="3C6FF157" w:rsidR="006745CD" w:rsidRPr="00C03DED" w:rsidRDefault="006745CD" w:rsidP="00B500CC">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proofErr w:type="spellStart"/>
            <w:r w:rsidRPr="00C03DED">
              <w:rPr>
                <w:rFonts w:ascii="Calibri" w:eastAsia="Times New Roman" w:hAnsi="Calibri" w:cs="Calibri"/>
                <w:color w:val="000000"/>
                <w:sz w:val="18"/>
                <w:szCs w:val="18"/>
                <w:lang w:eastAsia="de-DE"/>
              </w:rPr>
              <w:t>DSi</w:t>
            </w:r>
            <w:proofErr w:type="spellEnd"/>
            <w:r w:rsidRPr="00C03DED">
              <w:rPr>
                <w:rFonts w:ascii="Calibri" w:eastAsia="Times New Roman" w:hAnsi="Calibri" w:cs="Calibri"/>
                <w:color w:val="000000"/>
                <w:sz w:val="18"/>
                <w:szCs w:val="18"/>
                <w:lang w:eastAsia="de-DE"/>
              </w:rPr>
              <w:t xml:space="preserve"> </w:t>
            </w:r>
            <w:r w:rsidRPr="00C03DED">
              <w:rPr>
                <w:rFonts w:ascii="Calibri" w:eastAsia="Times New Roman" w:hAnsi="Calibri" w:cs="Calibri"/>
                <w:color w:val="000000"/>
                <w:sz w:val="18"/>
                <w:szCs w:val="18"/>
                <w:lang w:eastAsia="de-DE"/>
              </w:rPr>
              <w:br/>
              <w:t>(</w:t>
            </w:r>
            <w:r w:rsidR="00B500CC">
              <w:rPr>
                <w:rFonts w:ascii="Calibri" w:eastAsia="Times New Roman" w:hAnsi="Calibri" w:cs="Calibri"/>
                <w:color w:val="000000"/>
                <w:sz w:val="18"/>
                <w:szCs w:val="18"/>
                <w:lang w:eastAsia="de-DE"/>
              </w:rPr>
              <w:t>µM</w:t>
            </w:r>
            <w:r w:rsidRPr="00C03DED">
              <w:rPr>
                <w:rFonts w:ascii="Calibri" w:eastAsia="Times New Roman" w:hAnsi="Calibri" w:cs="Calibri"/>
                <w:color w:val="000000"/>
                <w:sz w:val="18"/>
                <w:szCs w:val="18"/>
                <w:lang w:eastAsia="de-DE"/>
              </w:rPr>
              <w:t>)</w:t>
            </w:r>
          </w:p>
        </w:tc>
      </w:tr>
      <w:tr w:rsidR="006745CD" w:rsidRPr="00C03DED" w14:paraId="7E81984B"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121C821E"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1.1</w:t>
            </w:r>
          </w:p>
        </w:tc>
        <w:tc>
          <w:tcPr>
            <w:tcW w:w="1220" w:type="dxa"/>
            <w:noWrap/>
            <w:hideMark/>
          </w:tcPr>
          <w:p w14:paraId="6AB8700B"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25.04.2016</w:t>
            </w:r>
          </w:p>
        </w:tc>
        <w:tc>
          <w:tcPr>
            <w:tcW w:w="1220" w:type="dxa"/>
            <w:noWrap/>
            <w:hideMark/>
          </w:tcPr>
          <w:p w14:paraId="40AF4A36"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03:48</w:t>
            </w:r>
          </w:p>
        </w:tc>
        <w:tc>
          <w:tcPr>
            <w:tcW w:w="980" w:type="dxa"/>
            <w:noWrap/>
            <w:hideMark/>
          </w:tcPr>
          <w:p w14:paraId="1FBEC8E5"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3.49</w:t>
            </w:r>
          </w:p>
        </w:tc>
        <w:tc>
          <w:tcPr>
            <w:tcW w:w="880" w:type="dxa"/>
            <w:noWrap/>
            <w:hideMark/>
          </w:tcPr>
          <w:p w14:paraId="752DB368"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23.6</w:t>
            </w:r>
          </w:p>
        </w:tc>
        <w:tc>
          <w:tcPr>
            <w:tcW w:w="1000" w:type="dxa"/>
            <w:noWrap/>
            <w:hideMark/>
          </w:tcPr>
          <w:p w14:paraId="7548A227"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72.8</w:t>
            </w:r>
          </w:p>
        </w:tc>
      </w:tr>
      <w:tr w:rsidR="006745CD" w:rsidRPr="00C03DED" w14:paraId="67E3B26C"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4CBC6543"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1.2</w:t>
            </w:r>
          </w:p>
        </w:tc>
        <w:tc>
          <w:tcPr>
            <w:tcW w:w="1220" w:type="dxa"/>
            <w:noWrap/>
            <w:hideMark/>
          </w:tcPr>
          <w:p w14:paraId="7285AA75"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25.04.2016</w:t>
            </w:r>
          </w:p>
        </w:tc>
        <w:tc>
          <w:tcPr>
            <w:tcW w:w="1220" w:type="dxa"/>
            <w:noWrap/>
            <w:hideMark/>
          </w:tcPr>
          <w:p w14:paraId="0CE932A8"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10:00</w:t>
            </w:r>
          </w:p>
        </w:tc>
        <w:tc>
          <w:tcPr>
            <w:tcW w:w="980" w:type="dxa"/>
            <w:noWrap/>
            <w:hideMark/>
          </w:tcPr>
          <w:p w14:paraId="69491D16"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1.81</w:t>
            </w:r>
          </w:p>
        </w:tc>
        <w:tc>
          <w:tcPr>
            <w:tcW w:w="880" w:type="dxa"/>
            <w:noWrap/>
            <w:hideMark/>
          </w:tcPr>
          <w:p w14:paraId="34EDCED4"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11.3</w:t>
            </w:r>
          </w:p>
        </w:tc>
        <w:tc>
          <w:tcPr>
            <w:tcW w:w="1000" w:type="dxa"/>
            <w:noWrap/>
            <w:hideMark/>
          </w:tcPr>
          <w:p w14:paraId="22245BD5"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202.1</w:t>
            </w:r>
          </w:p>
        </w:tc>
      </w:tr>
      <w:tr w:rsidR="006745CD" w:rsidRPr="00C03DED" w14:paraId="058039AF"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2540D458"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1.3</w:t>
            </w:r>
          </w:p>
        </w:tc>
        <w:tc>
          <w:tcPr>
            <w:tcW w:w="1220" w:type="dxa"/>
            <w:noWrap/>
            <w:hideMark/>
          </w:tcPr>
          <w:p w14:paraId="431EF827"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1622D540"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02:00</w:t>
            </w:r>
          </w:p>
        </w:tc>
        <w:tc>
          <w:tcPr>
            <w:tcW w:w="980" w:type="dxa"/>
            <w:noWrap/>
            <w:hideMark/>
          </w:tcPr>
          <w:p w14:paraId="515BAD00"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3.49</w:t>
            </w:r>
          </w:p>
        </w:tc>
        <w:tc>
          <w:tcPr>
            <w:tcW w:w="880" w:type="dxa"/>
            <w:noWrap/>
            <w:hideMark/>
          </w:tcPr>
          <w:p w14:paraId="4508AE0B"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23.3</w:t>
            </w:r>
          </w:p>
        </w:tc>
        <w:tc>
          <w:tcPr>
            <w:tcW w:w="1000" w:type="dxa"/>
            <w:noWrap/>
            <w:hideMark/>
          </w:tcPr>
          <w:p w14:paraId="7909BC0D"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86.6</w:t>
            </w:r>
          </w:p>
        </w:tc>
      </w:tr>
      <w:tr w:rsidR="006745CD" w:rsidRPr="00C03DED" w14:paraId="412ED141"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2331A4E6"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1.4</w:t>
            </w:r>
          </w:p>
        </w:tc>
        <w:tc>
          <w:tcPr>
            <w:tcW w:w="1220" w:type="dxa"/>
            <w:noWrap/>
            <w:hideMark/>
          </w:tcPr>
          <w:p w14:paraId="428FD97B"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239719EE"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03:00</w:t>
            </w:r>
          </w:p>
        </w:tc>
        <w:tc>
          <w:tcPr>
            <w:tcW w:w="980" w:type="dxa"/>
            <w:noWrap/>
            <w:hideMark/>
          </w:tcPr>
          <w:p w14:paraId="76CA758E"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3.23</w:t>
            </w:r>
          </w:p>
        </w:tc>
        <w:tc>
          <w:tcPr>
            <w:tcW w:w="880" w:type="dxa"/>
            <w:noWrap/>
            <w:hideMark/>
          </w:tcPr>
          <w:p w14:paraId="500CCE55"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25.5</w:t>
            </w:r>
          </w:p>
        </w:tc>
        <w:tc>
          <w:tcPr>
            <w:tcW w:w="1000" w:type="dxa"/>
            <w:noWrap/>
            <w:hideMark/>
          </w:tcPr>
          <w:p w14:paraId="16547590"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59.2</w:t>
            </w:r>
          </w:p>
        </w:tc>
      </w:tr>
      <w:tr w:rsidR="006745CD" w:rsidRPr="00C03DED" w14:paraId="06F4A07E"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3C1E9071"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1.5</w:t>
            </w:r>
          </w:p>
        </w:tc>
        <w:tc>
          <w:tcPr>
            <w:tcW w:w="1220" w:type="dxa"/>
            <w:noWrap/>
            <w:hideMark/>
          </w:tcPr>
          <w:p w14:paraId="7B98131E"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14225E76"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04:30</w:t>
            </w:r>
          </w:p>
        </w:tc>
        <w:tc>
          <w:tcPr>
            <w:tcW w:w="980" w:type="dxa"/>
            <w:noWrap/>
            <w:hideMark/>
          </w:tcPr>
          <w:p w14:paraId="058E9263"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3.68</w:t>
            </w:r>
          </w:p>
        </w:tc>
        <w:tc>
          <w:tcPr>
            <w:tcW w:w="880" w:type="dxa"/>
            <w:noWrap/>
            <w:hideMark/>
          </w:tcPr>
          <w:p w14:paraId="49929850"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23.6</w:t>
            </w:r>
          </w:p>
        </w:tc>
        <w:tc>
          <w:tcPr>
            <w:tcW w:w="1000" w:type="dxa"/>
            <w:noWrap/>
            <w:hideMark/>
          </w:tcPr>
          <w:p w14:paraId="17E9FF52"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77.4</w:t>
            </w:r>
          </w:p>
        </w:tc>
      </w:tr>
      <w:tr w:rsidR="006745CD" w:rsidRPr="00C03DED" w14:paraId="50A555C1"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71BDC1FC"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1.6</w:t>
            </w:r>
          </w:p>
        </w:tc>
        <w:tc>
          <w:tcPr>
            <w:tcW w:w="1220" w:type="dxa"/>
            <w:noWrap/>
            <w:hideMark/>
          </w:tcPr>
          <w:p w14:paraId="17C7D3F0"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681A6D89"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07:30</w:t>
            </w:r>
          </w:p>
        </w:tc>
        <w:tc>
          <w:tcPr>
            <w:tcW w:w="980" w:type="dxa"/>
            <w:noWrap/>
            <w:hideMark/>
          </w:tcPr>
          <w:p w14:paraId="58E90852"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2.37</w:t>
            </w:r>
          </w:p>
        </w:tc>
        <w:tc>
          <w:tcPr>
            <w:tcW w:w="880" w:type="dxa"/>
            <w:noWrap/>
            <w:hideMark/>
          </w:tcPr>
          <w:p w14:paraId="7EF10CAC"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20.9</w:t>
            </w:r>
          </w:p>
        </w:tc>
        <w:tc>
          <w:tcPr>
            <w:tcW w:w="1000" w:type="dxa"/>
            <w:noWrap/>
            <w:hideMark/>
          </w:tcPr>
          <w:p w14:paraId="00802F5B"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105.1</w:t>
            </w:r>
          </w:p>
        </w:tc>
      </w:tr>
      <w:tr w:rsidR="006745CD" w:rsidRPr="00C03DED" w14:paraId="2614C493"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71D7A095"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Spring 1.7</w:t>
            </w:r>
          </w:p>
        </w:tc>
        <w:tc>
          <w:tcPr>
            <w:tcW w:w="1220" w:type="dxa"/>
            <w:noWrap/>
            <w:hideMark/>
          </w:tcPr>
          <w:p w14:paraId="783866C4"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26CB6A1C"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09:00</w:t>
            </w:r>
          </w:p>
        </w:tc>
        <w:tc>
          <w:tcPr>
            <w:tcW w:w="980" w:type="dxa"/>
            <w:noWrap/>
            <w:hideMark/>
          </w:tcPr>
          <w:p w14:paraId="64B28637"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2.20</w:t>
            </w:r>
          </w:p>
        </w:tc>
        <w:tc>
          <w:tcPr>
            <w:tcW w:w="880" w:type="dxa"/>
            <w:noWrap/>
            <w:hideMark/>
          </w:tcPr>
          <w:p w14:paraId="2FD3E836"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18.2</w:t>
            </w:r>
          </w:p>
        </w:tc>
        <w:tc>
          <w:tcPr>
            <w:tcW w:w="1000" w:type="dxa"/>
            <w:noWrap/>
            <w:hideMark/>
          </w:tcPr>
          <w:p w14:paraId="6F803F99"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143.6</w:t>
            </w:r>
          </w:p>
        </w:tc>
      </w:tr>
      <w:tr w:rsidR="006745CD" w:rsidRPr="00C03DED" w14:paraId="30983A6E"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05C5F5C6"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1.1</w:t>
            </w:r>
          </w:p>
        </w:tc>
        <w:tc>
          <w:tcPr>
            <w:tcW w:w="1220" w:type="dxa"/>
            <w:noWrap/>
            <w:hideMark/>
          </w:tcPr>
          <w:p w14:paraId="16727384"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3FC6467A"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02:00</w:t>
            </w:r>
          </w:p>
        </w:tc>
        <w:tc>
          <w:tcPr>
            <w:tcW w:w="980" w:type="dxa"/>
            <w:noWrap/>
            <w:hideMark/>
          </w:tcPr>
          <w:p w14:paraId="348A80A6"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3.49</w:t>
            </w:r>
          </w:p>
        </w:tc>
        <w:tc>
          <w:tcPr>
            <w:tcW w:w="880" w:type="dxa"/>
            <w:noWrap/>
            <w:hideMark/>
          </w:tcPr>
          <w:p w14:paraId="40764156"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23.6</w:t>
            </w:r>
          </w:p>
        </w:tc>
        <w:tc>
          <w:tcPr>
            <w:tcW w:w="1000" w:type="dxa"/>
            <w:noWrap/>
            <w:hideMark/>
          </w:tcPr>
          <w:p w14:paraId="13B562B3"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73.8</w:t>
            </w:r>
          </w:p>
        </w:tc>
      </w:tr>
      <w:tr w:rsidR="006745CD" w:rsidRPr="00C03DED" w14:paraId="1368C846"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5B0659C9"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1.2</w:t>
            </w:r>
          </w:p>
        </w:tc>
        <w:tc>
          <w:tcPr>
            <w:tcW w:w="1220" w:type="dxa"/>
            <w:noWrap/>
            <w:hideMark/>
          </w:tcPr>
          <w:p w14:paraId="1DAF6D55"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6E020C46"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03:00</w:t>
            </w:r>
          </w:p>
        </w:tc>
        <w:tc>
          <w:tcPr>
            <w:tcW w:w="980" w:type="dxa"/>
            <w:noWrap/>
            <w:hideMark/>
          </w:tcPr>
          <w:p w14:paraId="5F9DD4AF"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3.23</w:t>
            </w:r>
          </w:p>
        </w:tc>
        <w:tc>
          <w:tcPr>
            <w:tcW w:w="880" w:type="dxa"/>
            <w:noWrap/>
            <w:hideMark/>
          </w:tcPr>
          <w:p w14:paraId="44F53622"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24.2</w:t>
            </w:r>
          </w:p>
        </w:tc>
        <w:tc>
          <w:tcPr>
            <w:tcW w:w="1000" w:type="dxa"/>
            <w:noWrap/>
            <w:hideMark/>
          </w:tcPr>
          <w:p w14:paraId="0E2A9A29"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68.9</w:t>
            </w:r>
          </w:p>
        </w:tc>
      </w:tr>
      <w:tr w:rsidR="006745CD" w:rsidRPr="00C03DED" w14:paraId="670B983E"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35D7F3CE"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1.3</w:t>
            </w:r>
          </w:p>
        </w:tc>
        <w:tc>
          <w:tcPr>
            <w:tcW w:w="1220" w:type="dxa"/>
            <w:noWrap/>
            <w:hideMark/>
          </w:tcPr>
          <w:p w14:paraId="38B0FF87"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7947A1C6"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04:30</w:t>
            </w:r>
          </w:p>
        </w:tc>
        <w:tc>
          <w:tcPr>
            <w:tcW w:w="980" w:type="dxa"/>
            <w:noWrap/>
            <w:hideMark/>
          </w:tcPr>
          <w:p w14:paraId="4C1630ED"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3.68</w:t>
            </w:r>
          </w:p>
        </w:tc>
        <w:tc>
          <w:tcPr>
            <w:tcW w:w="880" w:type="dxa"/>
            <w:noWrap/>
            <w:hideMark/>
          </w:tcPr>
          <w:p w14:paraId="0A5FC1A7"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24.5</w:t>
            </w:r>
          </w:p>
        </w:tc>
        <w:tc>
          <w:tcPr>
            <w:tcW w:w="1000" w:type="dxa"/>
            <w:noWrap/>
            <w:hideMark/>
          </w:tcPr>
          <w:p w14:paraId="1694D712"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65.4</w:t>
            </w:r>
          </w:p>
        </w:tc>
      </w:tr>
      <w:tr w:rsidR="006745CD" w:rsidRPr="00C03DED" w14:paraId="65AD64E5"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42DC6009"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1.4</w:t>
            </w:r>
          </w:p>
        </w:tc>
        <w:tc>
          <w:tcPr>
            <w:tcW w:w="1220" w:type="dxa"/>
            <w:noWrap/>
            <w:hideMark/>
          </w:tcPr>
          <w:p w14:paraId="1B5D071F"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5AE6FF89"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06:00</w:t>
            </w:r>
          </w:p>
        </w:tc>
        <w:tc>
          <w:tcPr>
            <w:tcW w:w="980" w:type="dxa"/>
            <w:noWrap/>
            <w:hideMark/>
          </w:tcPr>
          <w:p w14:paraId="6AE60B5A"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3.00</w:t>
            </w:r>
          </w:p>
        </w:tc>
        <w:tc>
          <w:tcPr>
            <w:tcW w:w="880" w:type="dxa"/>
            <w:noWrap/>
            <w:hideMark/>
          </w:tcPr>
          <w:p w14:paraId="164E5AB5"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23.4</w:t>
            </w:r>
          </w:p>
        </w:tc>
        <w:tc>
          <w:tcPr>
            <w:tcW w:w="1000" w:type="dxa"/>
            <w:noWrap/>
            <w:hideMark/>
          </w:tcPr>
          <w:p w14:paraId="56FA9184"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83.2</w:t>
            </w:r>
          </w:p>
        </w:tc>
      </w:tr>
      <w:tr w:rsidR="006745CD" w:rsidRPr="00C03DED" w14:paraId="059B4779" w14:textId="77777777" w:rsidTr="00845795">
        <w:trPr>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48048D44"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1.5</w:t>
            </w:r>
          </w:p>
        </w:tc>
        <w:tc>
          <w:tcPr>
            <w:tcW w:w="1220" w:type="dxa"/>
            <w:noWrap/>
            <w:hideMark/>
          </w:tcPr>
          <w:p w14:paraId="71AC4F01"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7A5FC961"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07:30</w:t>
            </w:r>
          </w:p>
        </w:tc>
        <w:tc>
          <w:tcPr>
            <w:tcW w:w="980" w:type="dxa"/>
            <w:noWrap/>
            <w:hideMark/>
          </w:tcPr>
          <w:p w14:paraId="47BD7D5B"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2.37</w:t>
            </w:r>
          </w:p>
        </w:tc>
        <w:tc>
          <w:tcPr>
            <w:tcW w:w="880" w:type="dxa"/>
            <w:noWrap/>
            <w:hideMark/>
          </w:tcPr>
          <w:p w14:paraId="4B7EF449"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21.7</w:t>
            </w:r>
          </w:p>
        </w:tc>
        <w:tc>
          <w:tcPr>
            <w:tcW w:w="1000" w:type="dxa"/>
            <w:noWrap/>
            <w:hideMark/>
          </w:tcPr>
          <w:p w14:paraId="606E6165" w14:textId="77777777" w:rsidR="006745CD" w:rsidRPr="00C03DED" w:rsidRDefault="006745CD" w:rsidP="00845795">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91.6</w:t>
            </w:r>
          </w:p>
        </w:tc>
      </w:tr>
      <w:tr w:rsidR="006745CD" w:rsidRPr="00C03DED" w14:paraId="4BD08142" w14:textId="77777777" w:rsidTr="00845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0" w:type="dxa"/>
            <w:hideMark/>
          </w:tcPr>
          <w:p w14:paraId="31119006" w14:textId="77777777" w:rsidR="006745CD" w:rsidRPr="00C03DED" w:rsidRDefault="006745CD" w:rsidP="00845795">
            <w:pPr>
              <w:spacing w:after="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Coast 1.6</w:t>
            </w:r>
          </w:p>
        </w:tc>
        <w:tc>
          <w:tcPr>
            <w:tcW w:w="1220" w:type="dxa"/>
            <w:noWrap/>
            <w:hideMark/>
          </w:tcPr>
          <w:p w14:paraId="09CF1052"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26.04.2016</w:t>
            </w:r>
          </w:p>
        </w:tc>
        <w:tc>
          <w:tcPr>
            <w:tcW w:w="1220" w:type="dxa"/>
            <w:noWrap/>
            <w:hideMark/>
          </w:tcPr>
          <w:p w14:paraId="67B1E0F8"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09:00</w:t>
            </w:r>
          </w:p>
        </w:tc>
        <w:tc>
          <w:tcPr>
            <w:tcW w:w="980" w:type="dxa"/>
            <w:noWrap/>
            <w:hideMark/>
          </w:tcPr>
          <w:p w14:paraId="2E10795D"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2.20</w:t>
            </w:r>
          </w:p>
        </w:tc>
        <w:tc>
          <w:tcPr>
            <w:tcW w:w="880" w:type="dxa"/>
            <w:noWrap/>
            <w:hideMark/>
          </w:tcPr>
          <w:p w14:paraId="490CB482"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17.9</w:t>
            </w:r>
          </w:p>
        </w:tc>
        <w:tc>
          <w:tcPr>
            <w:tcW w:w="1000" w:type="dxa"/>
            <w:noWrap/>
            <w:hideMark/>
          </w:tcPr>
          <w:p w14:paraId="0775C342" w14:textId="77777777" w:rsidR="006745CD" w:rsidRPr="00C03DED" w:rsidRDefault="006745CD" w:rsidP="00845795">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de-DE"/>
              </w:rPr>
            </w:pPr>
            <w:r w:rsidRPr="00C03DED">
              <w:rPr>
                <w:rFonts w:ascii="Calibri" w:eastAsia="Times New Roman" w:hAnsi="Calibri" w:cs="Calibri"/>
                <w:color w:val="000000"/>
                <w:sz w:val="18"/>
                <w:szCs w:val="18"/>
                <w:lang w:eastAsia="de-DE"/>
              </w:rPr>
              <w:t>139.4</w:t>
            </w:r>
          </w:p>
        </w:tc>
      </w:tr>
    </w:tbl>
    <w:p w14:paraId="5DB56BED" w14:textId="77777777" w:rsidR="006745CD" w:rsidRDefault="006745CD" w:rsidP="002B4A57"/>
    <w:p w14:paraId="7B215971" w14:textId="77777777" w:rsidR="00E520C4" w:rsidRDefault="00E520C4" w:rsidP="0001436A">
      <w:pPr>
        <w:pStyle w:val="Heading2"/>
      </w:pPr>
      <w:r>
        <w:br w:type="page"/>
      </w:r>
    </w:p>
    <w:p w14:paraId="63D7C2B0" w14:textId="664F7C1F" w:rsidR="00994A3D" w:rsidRPr="001549D3" w:rsidRDefault="00994A3D" w:rsidP="00E520C4">
      <w:pPr>
        <w:pStyle w:val="Heading1"/>
      </w:pPr>
      <w:r w:rsidRPr="0001436A">
        <w:lastRenderedPageBreak/>
        <w:t>Supplementary</w:t>
      </w:r>
      <w:r w:rsidRPr="001549D3">
        <w:t xml:space="preserve"> Figures</w:t>
      </w:r>
    </w:p>
    <w:p w14:paraId="2BA78238" w14:textId="1F1DBC27" w:rsidR="006745CD" w:rsidRPr="00E520C4" w:rsidRDefault="00994A3D" w:rsidP="006745CD">
      <w:pPr>
        <w:pStyle w:val="Subtitle"/>
      </w:pPr>
      <w:r w:rsidRPr="00E520C4">
        <w:t xml:space="preserve">Supplementary Figure </w:t>
      </w:r>
      <w:r w:rsidR="0063411E" w:rsidRPr="0063411E">
        <w:t>A</w:t>
      </w:r>
      <w:r w:rsidRPr="00E520C4">
        <w:t xml:space="preserve">. </w:t>
      </w:r>
      <w:r w:rsidR="006745CD" w:rsidRPr="00E520C4">
        <w:rPr>
          <w:rStyle w:val="SubtleEmphasis"/>
          <w:b w:val="0"/>
          <w:i w:val="0"/>
          <w:color w:val="auto"/>
        </w:rPr>
        <w:t xml:space="preserve">Sampling sites for coastal surface water (dots), seawater (square) and coastal, intertidal and submarine springs (diamonds) in southern Java. In the upper right panel all springs which </w:t>
      </w:r>
      <w:r w:rsidR="00E61E5B">
        <w:rPr>
          <w:rStyle w:val="SubtleEmphasis"/>
          <w:b w:val="0"/>
          <w:i w:val="0"/>
          <w:color w:val="auto"/>
        </w:rPr>
        <w:t>were sampled</w:t>
      </w:r>
      <w:bookmarkStart w:id="0" w:name="_GoBack"/>
      <w:bookmarkEnd w:id="0"/>
      <w:r w:rsidR="006745CD" w:rsidRPr="00E520C4">
        <w:rPr>
          <w:rStyle w:val="SubtleEmphasis"/>
          <w:b w:val="0"/>
          <w:i w:val="0"/>
          <w:color w:val="auto"/>
        </w:rPr>
        <w:t xml:space="preserve"> along the coastline are shown.</w:t>
      </w:r>
    </w:p>
    <w:p w14:paraId="07B81DAC" w14:textId="7D261201" w:rsidR="006745CD" w:rsidRDefault="006745CD" w:rsidP="002B4A57">
      <w:pPr>
        <w:keepNext/>
        <w:rPr>
          <w:rFonts w:cs="Times New Roman"/>
          <w:szCs w:val="24"/>
        </w:rPr>
      </w:pPr>
      <w:r>
        <w:rPr>
          <w:noProof/>
          <w:lang w:val="de-DE" w:eastAsia="de-DE"/>
        </w:rPr>
        <w:drawing>
          <wp:inline distT="0" distB="0" distL="0" distR="0" wp14:anchorId="3D571252" wp14:editId="002DEE92">
            <wp:extent cx="5753100" cy="4400550"/>
            <wp:effectExtent l="0" t="0" r="0" b="0"/>
            <wp:docPr id="2" name="Picture 2" descr="SupplementaryFig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ryFigu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400550"/>
                    </a:xfrm>
                    <a:prstGeom prst="rect">
                      <a:avLst/>
                    </a:prstGeom>
                    <a:noFill/>
                    <a:ln>
                      <a:noFill/>
                    </a:ln>
                  </pic:spPr>
                </pic:pic>
              </a:graphicData>
            </a:graphic>
          </wp:inline>
        </w:drawing>
      </w:r>
    </w:p>
    <w:p w14:paraId="7B65BC41" w14:textId="77777777" w:rsidR="00DE23E8" w:rsidRDefault="00DE23E8" w:rsidP="00654E8F">
      <w:pPr>
        <w:spacing w:before="240"/>
      </w:pPr>
    </w:p>
    <w:p w14:paraId="6A403C75" w14:textId="1605C526" w:rsidR="00950B3C" w:rsidRDefault="00950B3C" w:rsidP="00654E8F">
      <w:pPr>
        <w:spacing w:before="240"/>
      </w:pPr>
      <w:r>
        <w:br w:type="page"/>
      </w:r>
    </w:p>
    <w:p w14:paraId="76690E54" w14:textId="3757B051" w:rsidR="00950B3C" w:rsidRPr="00950B3C" w:rsidRDefault="00950B3C" w:rsidP="00654E8F">
      <w:pPr>
        <w:spacing w:before="240"/>
        <w:rPr>
          <w:b/>
        </w:rPr>
      </w:pPr>
      <w:r w:rsidRPr="00950B3C">
        <w:rPr>
          <w:b/>
        </w:rPr>
        <w:lastRenderedPageBreak/>
        <w:t>References</w:t>
      </w:r>
    </w:p>
    <w:p w14:paraId="4747BFA0" w14:textId="709DCD3F" w:rsidR="00950B3C" w:rsidRPr="00950B3C" w:rsidRDefault="00950B3C" w:rsidP="00950B3C">
      <w:pPr>
        <w:widowControl w:val="0"/>
        <w:autoSpaceDE w:val="0"/>
        <w:autoSpaceDN w:val="0"/>
        <w:adjustRightInd w:val="0"/>
        <w:spacing w:before="240"/>
        <w:ind w:left="480" w:hanging="480"/>
        <w:rPr>
          <w:rFonts w:cs="Times New Roman"/>
          <w:noProof/>
          <w:szCs w:val="24"/>
        </w:rPr>
      </w:pPr>
      <w:r>
        <w:fldChar w:fldCharType="begin" w:fldLock="1"/>
      </w:r>
      <w:r>
        <w:instrText xml:space="preserve">ADDIN Mendeley Bibliography CSL_BIBLIOGRAPHY </w:instrText>
      </w:r>
      <w:r>
        <w:fldChar w:fldCharType="separate"/>
      </w:r>
      <w:r w:rsidRPr="00950B3C">
        <w:rPr>
          <w:rFonts w:cs="Times New Roman"/>
          <w:noProof/>
          <w:szCs w:val="24"/>
        </w:rPr>
        <w:t xml:space="preserve">van Bemmelen, R. 1949. Geological evolution of the physiographic units-Java Vol IA, p. 554–559. </w:t>
      </w:r>
      <w:r w:rsidRPr="00950B3C">
        <w:rPr>
          <w:rFonts w:cs="Times New Roman"/>
          <w:i/>
          <w:iCs/>
          <w:noProof/>
          <w:szCs w:val="24"/>
        </w:rPr>
        <w:t>In</w:t>
      </w:r>
      <w:r w:rsidRPr="00950B3C">
        <w:rPr>
          <w:rFonts w:cs="Times New Roman"/>
          <w:noProof/>
          <w:szCs w:val="24"/>
        </w:rPr>
        <w:t xml:space="preserve"> The geology of Indonesia. Government Printing Office.</w:t>
      </w:r>
    </w:p>
    <w:p w14:paraId="268F3072"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Brunsch, A., T. N. Adji, D. Stoffel, M. Ikhwan, P. Oberle, and F. Nestmann. 2011. Hydrological assessment of a karst area in southern Java with respect to climate phenomena. Asian Trans-Disciplinary Karst Conf. Yogyakarta Indones. 55–68.</w:t>
      </w:r>
    </w:p>
    <w:p w14:paraId="5E425EA7"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Flathe, H., and D. Pfeiffer. </w:t>
      </w:r>
      <w:r w:rsidRPr="00220515">
        <w:rPr>
          <w:rFonts w:cs="Times New Roman"/>
          <w:noProof/>
          <w:szCs w:val="24"/>
          <w:lang w:val="de-DE"/>
        </w:rPr>
        <w:t xml:space="preserve">1965. Grundzüge der Geomorpholgie, Geologie und Hydrogeologie im Karstgebiet Gunung Sewu (Java, Indonesien). </w:t>
      </w:r>
      <w:r w:rsidRPr="00950B3C">
        <w:rPr>
          <w:rFonts w:cs="Times New Roman"/>
          <w:noProof/>
          <w:szCs w:val="24"/>
        </w:rPr>
        <w:t xml:space="preserve">Geol. Jahrbuch, B </w:t>
      </w:r>
      <w:r w:rsidRPr="00950B3C">
        <w:rPr>
          <w:rFonts w:cs="Times New Roman"/>
          <w:b/>
          <w:bCs/>
          <w:noProof/>
          <w:szCs w:val="24"/>
        </w:rPr>
        <w:t>83</w:t>
      </w:r>
      <w:r w:rsidRPr="00950B3C">
        <w:rPr>
          <w:rFonts w:cs="Times New Roman"/>
          <w:noProof/>
          <w:szCs w:val="24"/>
        </w:rPr>
        <w:t>: 533–562.</w:t>
      </w:r>
    </w:p>
    <w:p w14:paraId="33361352"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Flemming, B. W. 2000. A revised textural classification of gravel-free muddy sediments on the basis of ternary diagrams. Cont. Shelf Res. doi:10.1016/S0278-4343(00)00015-7</w:t>
      </w:r>
    </w:p>
    <w:p w14:paraId="3C9004C9"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Flemming, B. W., and R. A. Davies Jr. 1994. Holocene evolution, morphodynamics and sedimentology of the Spiekeroog barrier isalnd system (southtern North Sea). Senckenbergiana Maritima </w:t>
      </w:r>
      <w:r w:rsidRPr="00950B3C">
        <w:rPr>
          <w:rFonts w:cs="Times New Roman"/>
          <w:b/>
          <w:bCs/>
          <w:noProof/>
          <w:szCs w:val="24"/>
        </w:rPr>
        <w:t>24</w:t>
      </w:r>
      <w:r w:rsidRPr="00950B3C">
        <w:rPr>
          <w:rFonts w:cs="Times New Roman"/>
          <w:noProof/>
          <w:szCs w:val="24"/>
        </w:rPr>
        <w:t>: 117–155.</w:t>
      </w:r>
    </w:p>
    <w:p w14:paraId="7C145E3F"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Garcia-Solsona, E., J. Garcia-Orellana, P. Masqué, and H. Dulaiova. 2008. Uncertainties associated with 223Ra and 224Ra measurements in water via a Delayed Coincidence Counter (RaDeCC). Mar. Chem. </w:t>
      </w:r>
      <w:r w:rsidRPr="00950B3C">
        <w:rPr>
          <w:rFonts w:cs="Times New Roman"/>
          <w:b/>
          <w:bCs/>
          <w:noProof/>
          <w:szCs w:val="24"/>
        </w:rPr>
        <w:t>109</w:t>
      </w:r>
      <w:r w:rsidRPr="00950B3C">
        <w:rPr>
          <w:rFonts w:cs="Times New Roman"/>
          <w:noProof/>
          <w:szCs w:val="24"/>
        </w:rPr>
        <w:t>: 198–219. doi:10.1016/J.MARCHEM.2007.11.006</w:t>
      </w:r>
    </w:p>
    <w:p w14:paraId="34707ED0"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Grasshoff, K., K. Kremling, and M. Ehrhardt. 2009. Methods of seawater analysis, John Wiley &amp; Sons.</w:t>
      </w:r>
    </w:p>
    <w:p w14:paraId="5ABDC901"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220515">
        <w:rPr>
          <w:rFonts w:cs="Times New Roman"/>
          <w:noProof/>
          <w:szCs w:val="24"/>
          <w:lang w:val="de-DE"/>
        </w:rPr>
        <w:t xml:space="preserve">Grunwald, M., O. Dellwig, G. Liebezeit, B. Schnetger, R. Reuter, and H.-J. Brumsack. </w:t>
      </w:r>
      <w:r w:rsidRPr="00950B3C">
        <w:rPr>
          <w:rFonts w:cs="Times New Roman"/>
          <w:noProof/>
          <w:szCs w:val="24"/>
        </w:rPr>
        <w:t xml:space="preserve">2007. A novel time-series station in the Wadden Sea (NW Germany): First results on continuous nutrient and methane measurements. Mar. Chem. </w:t>
      </w:r>
      <w:r w:rsidRPr="00950B3C">
        <w:rPr>
          <w:rFonts w:cs="Times New Roman"/>
          <w:b/>
          <w:bCs/>
          <w:noProof/>
          <w:szCs w:val="24"/>
        </w:rPr>
        <w:t>107</w:t>
      </w:r>
      <w:r w:rsidRPr="00950B3C">
        <w:rPr>
          <w:rFonts w:cs="Times New Roman"/>
          <w:noProof/>
          <w:szCs w:val="24"/>
        </w:rPr>
        <w:t>: 411–421. doi:10.1016/j.marchem.2007.04.003</w:t>
      </w:r>
    </w:p>
    <w:p w14:paraId="3DD5043B"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Haryono, E., and M. Day. 2004. Landform differentiation within the Gunung Kidul Kegelkarst, Java, Indonesia. J. Cave Karst Stud. </w:t>
      </w:r>
      <w:r w:rsidRPr="00950B3C">
        <w:rPr>
          <w:rFonts w:cs="Times New Roman"/>
          <w:b/>
          <w:bCs/>
          <w:noProof/>
          <w:szCs w:val="24"/>
        </w:rPr>
        <w:t>66</w:t>
      </w:r>
      <w:r w:rsidRPr="00950B3C">
        <w:rPr>
          <w:rFonts w:cs="Times New Roman"/>
          <w:noProof/>
          <w:szCs w:val="24"/>
        </w:rPr>
        <w:t>: 62–69.</w:t>
      </w:r>
    </w:p>
    <w:p w14:paraId="30100F3F"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Kusumayudha, S. B., M. T. Zen, S. Notosiswoyo, and R. S. Gautama. 2000. Fractal analysis of the Oyo River, cave systems, and topography of the Gunungsewu karst area, central Java, Indonesia. Hydrogeol. J. </w:t>
      </w:r>
      <w:r w:rsidRPr="00950B3C">
        <w:rPr>
          <w:rFonts w:cs="Times New Roman"/>
          <w:b/>
          <w:bCs/>
          <w:noProof/>
          <w:szCs w:val="24"/>
        </w:rPr>
        <w:t>8</w:t>
      </w:r>
      <w:r w:rsidRPr="00950B3C">
        <w:rPr>
          <w:rFonts w:cs="Times New Roman"/>
          <w:noProof/>
          <w:szCs w:val="24"/>
        </w:rPr>
        <w:t>: 271–278. doi:10.1007/s100400050014</w:t>
      </w:r>
    </w:p>
    <w:p w14:paraId="7325A61F"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Moore, W. S. 1976. Sampling 228Ra in the deep ocean. Deep Sea Res. </w:t>
      </w:r>
      <w:r w:rsidRPr="00950B3C">
        <w:rPr>
          <w:rFonts w:cs="Times New Roman"/>
          <w:b/>
          <w:bCs/>
          <w:noProof/>
          <w:szCs w:val="24"/>
        </w:rPr>
        <w:t>23</w:t>
      </w:r>
      <w:r w:rsidRPr="00950B3C">
        <w:rPr>
          <w:rFonts w:cs="Times New Roman"/>
          <w:noProof/>
          <w:szCs w:val="24"/>
        </w:rPr>
        <w:t>: 647–651.</w:t>
      </w:r>
    </w:p>
    <w:p w14:paraId="0662E2FC"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Moore, W. S., and R. Arnold. 1996. Measurement of 223 Ra and 224 Ra in coastal waters using a delayed coincidence counter. J. Geophys. Res. </w:t>
      </w:r>
      <w:r w:rsidRPr="00950B3C">
        <w:rPr>
          <w:rFonts w:cs="Times New Roman"/>
          <w:b/>
          <w:bCs/>
          <w:noProof/>
          <w:szCs w:val="24"/>
        </w:rPr>
        <w:t>101</w:t>
      </w:r>
      <w:r w:rsidRPr="00950B3C">
        <w:rPr>
          <w:rFonts w:cs="Times New Roman"/>
          <w:noProof/>
          <w:szCs w:val="24"/>
        </w:rPr>
        <w:t>: 1321. doi:10.1029/95JC03139</w:t>
      </w:r>
    </w:p>
    <w:p w14:paraId="1AAA8A6E"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Moore, W. S., H. Astwood, and C. Lindstrom. 1995. Radium isotopes in coastal waters on the Amazon shelf. Geochim. Cosmochim. Acta </w:t>
      </w:r>
      <w:r w:rsidRPr="00950B3C">
        <w:rPr>
          <w:rFonts w:cs="Times New Roman"/>
          <w:b/>
          <w:bCs/>
          <w:noProof/>
          <w:szCs w:val="24"/>
        </w:rPr>
        <w:t>59</w:t>
      </w:r>
      <w:r w:rsidRPr="00950B3C">
        <w:rPr>
          <w:rFonts w:cs="Times New Roman"/>
          <w:noProof/>
          <w:szCs w:val="24"/>
        </w:rPr>
        <w:t>: 4285–4298. doi:10.1016/0016-7037(95)00242-R</w:t>
      </w:r>
    </w:p>
    <w:p w14:paraId="1B8D703C"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Moore, W. S., M. Beck, T. Riedel, M. Rutgers van der Loeff, O. Dellwig, T. J. Shaw, B. Schnetger, and H.-J. Brumsack. 2011. Radium-based pore water fluxes of silica, alkalinity, manganese, DOC, and uranium: A decade of studies in the German Wadden Sea. Geochim. Cosmochim. Acta </w:t>
      </w:r>
      <w:r w:rsidRPr="00950B3C">
        <w:rPr>
          <w:rFonts w:cs="Times New Roman"/>
          <w:b/>
          <w:bCs/>
          <w:noProof/>
          <w:szCs w:val="24"/>
        </w:rPr>
        <w:t>75</w:t>
      </w:r>
      <w:r w:rsidRPr="00950B3C">
        <w:rPr>
          <w:rFonts w:cs="Times New Roman"/>
          <w:noProof/>
          <w:szCs w:val="24"/>
        </w:rPr>
        <w:t>: 6535–6555. doi:10.1016/J.GCA.2011.08.037</w:t>
      </w:r>
    </w:p>
    <w:p w14:paraId="1C177235"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lastRenderedPageBreak/>
        <w:t xml:space="preserve">Moore, W. S., J. O. Blanton, and S. B. Joye. 2006. Estimates of flushing times, submarine groundwater discharge, and nutrient fluxes to Okatee Estuary, South Carolina. J. Geophys. Res. </w:t>
      </w:r>
      <w:r w:rsidRPr="00950B3C">
        <w:rPr>
          <w:rFonts w:cs="Times New Roman"/>
          <w:b/>
          <w:bCs/>
          <w:noProof/>
          <w:szCs w:val="24"/>
        </w:rPr>
        <w:t>111</w:t>
      </w:r>
      <w:r w:rsidRPr="00950B3C">
        <w:rPr>
          <w:rFonts w:cs="Times New Roman"/>
          <w:noProof/>
          <w:szCs w:val="24"/>
        </w:rPr>
        <w:t>: C09006. doi:10.1029/2005JC003041</w:t>
      </w:r>
    </w:p>
    <w:p w14:paraId="4A852EE0"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Moore, W. S., and D. F. Reid. 1973. Extraction of radium from natural waters using manganese-impregnated acrylic fibers. J. Geophys. Res. </w:t>
      </w:r>
      <w:r w:rsidRPr="00950B3C">
        <w:rPr>
          <w:rFonts w:cs="Times New Roman"/>
          <w:b/>
          <w:bCs/>
          <w:noProof/>
          <w:szCs w:val="24"/>
        </w:rPr>
        <w:t>78</w:t>
      </w:r>
      <w:r w:rsidRPr="00950B3C">
        <w:rPr>
          <w:rFonts w:cs="Times New Roman"/>
          <w:noProof/>
          <w:szCs w:val="24"/>
        </w:rPr>
        <w:t>: 8880–8886. doi:10.1029/JC078i036p08880</w:t>
      </w:r>
    </w:p>
    <w:p w14:paraId="7264161F"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Oehler, T., E. Eiche, D. Putra, D. Adyasari, H. Hennig, U. Mallast, and N. Moosdorf. 2018. Seasonal variability of land-ocean groundwater nutrient fluxes from a tropical karstic region (southern Java, Indonesia). J. Hydrol. </w:t>
      </w:r>
      <w:r w:rsidRPr="00950B3C">
        <w:rPr>
          <w:rFonts w:cs="Times New Roman"/>
          <w:b/>
          <w:bCs/>
          <w:noProof/>
          <w:szCs w:val="24"/>
        </w:rPr>
        <w:t>565</w:t>
      </w:r>
      <w:r w:rsidRPr="00950B3C">
        <w:rPr>
          <w:rFonts w:cs="Times New Roman"/>
          <w:noProof/>
          <w:szCs w:val="24"/>
        </w:rPr>
        <w:t>: 662–671. doi:10.1016/J.JHYDROL.2018.08.077</w:t>
      </w:r>
    </w:p>
    <w:p w14:paraId="04B19FCC"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Riedel, T., K. Lettmann, M. Beck, and H.-J. Brumsack. 2010. Tidal variations in groundwater storage and associated discharge from an intertidal coastal aquifer. J. Geophys. Res. </w:t>
      </w:r>
      <w:r w:rsidRPr="00950B3C">
        <w:rPr>
          <w:rFonts w:cs="Times New Roman"/>
          <w:b/>
          <w:bCs/>
          <w:noProof/>
          <w:szCs w:val="24"/>
        </w:rPr>
        <w:t>115</w:t>
      </w:r>
      <w:r w:rsidRPr="00950B3C">
        <w:rPr>
          <w:rFonts w:cs="Times New Roman"/>
          <w:noProof/>
          <w:szCs w:val="24"/>
        </w:rPr>
        <w:t>: C04013. doi:10.1029/2009JC005544</w:t>
      </w:r>
    </w:p>
    <w:p w14:paraId="2D4C0464"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Sanford, L. P., W. C. Boicourt, and S. R. Rives. 1992. Model for Estimating Tidal Flushing of Small Embayments. J. Waterw. Port, Coastal, Ocean Eng. </w:t>
      </w:r>
      <w:r w:rsidRPr="00950B3C">
        <w:rPr>
          <w:rFonts w:cs="Times New Roman"/>
          <w:b/>
          <w:bCs/>
          <w:noProof/>
          <w:szCs w:val="24"/>
        </w:rPr>
        <w:t>118</w:t>
      </w:r>
      <w:r w:rsidRPr="00950B3C">
        <w:rPr>
          <w:rFonts w:cs="Times New Roman"/>
          <w:noProof/>
          <w:szCs w:val="24"/>
        </w:rPr>
        <w:t>: 635–654. doi:10.1061/(ASCE)0733-950X(1992)118:6(635)</w:t>
      </w:r>
    </w:p>
    <w:p w14:paraId="58513B68"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Stanev, E. V, J.-O. Wolff, H. Burchard, K. Bolding, and G. Flöser. 2003. On the circulation in the East Frisian Wadden Sea: numerical modeling and data analysis. Ocean Dyn. </w:t>
      </w:r>
      <w:r w:rsidRPr="00950B3C">
        <w:rPr>
          <w:rFonts w:cs="Times New Roman"/>
          <w:b/>
          <w:bCs/>
          <w:noProof/>
          <w:szCs w:val="24"/>
        </w:rPr>
        <w:t>53</w:t>
      </w:r>
      <w:r w:rsidRPr="00950B3C">
        <w:rPr>
          <w:rFonts w:cs="Times New Roman"/>
          <w:noProof/>
          <w:szCs w:val="24"/>
        </w:rPr>
        <w:t>: 27–51.</w:t>
      </w:r>
    </w:p>
    <w:p w14:paraId="3F60DEC5"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Sun, Y., and T. Torgersen. 1998. The effects of water content and Mn-fiber surface conditions on 224Ra measurement by 220Rn emanation. Mar. Chem. </w:t>
      </w:r>
      <w:r w:rsidRPr="00950B3C">
        <w:rPr>
          <w:rFonts w:cs="Times New Roman"/>
          <w:b/>
          <w:bCs/>
          <w:noProof/>
          <w:szCs w:val="24"/>
        </w:rPr>
        <w:t>62</w:t>
      </w:r>
      <w:r w:rsidRPr="00950B3C">
        <w:rPr>
          <w:rFonts w:cs="Times New Roman"/>
          <w:noProof/>
          <w:szCs w:val="24"/>
        </w:rPr>
        <w:t>: 299–306. doi:10.1016/S0304-4203(98)00019-X</w:t>
      </w:r>
    </w:p>
    <w:p w14:paraId="024F0B2E"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Waltham, A., P. Smart, H. Friederich, and A. Eavis. 1983. The caves of Gunung Sewu, Java. Cave Sci. </w:t>
      </w:r>
      <w:r w:rsidRPr="00950B3C">
        <w:rPr>
          <w:rFonts w:cs="Times New Roman"/>
          <w:b/>
          <w:bCs/>
          <w:noProof/>
          <w:szCs w:val="24"/>
        </w:rPr>
        <w:t>10</w:t>
      </w:r>
      <w:r w:rsidRPr="00950B3C">
        <w:rPr>
          <w:rFonts w:cs="Times New Roman"/>
          <w:noProof/>
          <w:szCs w:val="24"/>
        </w:rPr>
        <w:t>: 55–96.</w:t>
      </w:r>
    </w:p>
    <w:p w14:paraId="2D6C8E7F" w14:textId="77777777" w:rsidR="00950B3C" w:rsidRPr="00950B3C" w:rsidRDefault="00950B3C" w:rsidP="00950B3C">
      <w:pPr>
        <w:widowControl w:val="0"/>
        <w:autoSpaceDE w:val="0"/>
        <w:autoSpaceDN w:val="0"/>
        <w:adjustRightInd w:val="0"/>
        <w:spacing w:before="240"/>
        <w:ind w:left="480" w:hanging="480"/>
        <w:rPr>
          <w:rFonts w:cs="Times New Roman"/>
          <w:noProof/>
          <w:szCs w:val="24"/>
        </w:rPr>
      </w:pPr>
      <w:r w:rsidRPr="00950B3C">
        <w:rPr>
          <w:rFonts w:cs="Times New Roman"/>
          <w:noProof/>
          <w:szCs w:val="24"/>
        </w:rPr>
        <w:t xml:space="preserve">Waska, H., S. Kim, G. Kim, R. N. Peterson, and W. C. Burnett. 2008. An efficient and simple method for measuring (226)Ra using the scintillation cell in a delayed coincidence counting system (RaDeCC). J. Environ. Radioact. </w:t>
      </w:r>
      <w:r w:rsidRPr="00950B3C">
        <w:rPr>
          <w:rFonts w:cs="Times New Roman"/>
          <w:b/>
          <w:bCs/>
          <w:noProof/>
          <w:szCs w:val="24"/>
        </w:rPr>
        <w:t>99</w:t>
      </w:r>
      <w:r w:rsidRPr="00950B3C">
        <w:rPr>
          <w:rFonts w:cs="Times New Roman"/>
          <w:noProof/>
          <w:szCs w:val="24"/>
        </w:rPr>
        <w:t>: 1859–62. doi:10.1016/j.jenvrad.2008.08.008</w:t>
      </w:r>
    </w:p>
    <w:p w14:paraId="38A36D1D" w14:textId="77777777" w:rsidR="00950B3C" w:rsidRPr="00220515" w:rsidRDefault="00950B3C" w:rsidP="00950B3C">
      <w:pPr>
        <w:widowControl w:val="0"/>
        <w:autoSpaceDE w:val="0"/>
        <w:autoSpaceDN w:val="0"/>
        <w:adjustRightInd w:val="0"/>
        <w:spacing w:before="240"/>
        <w:ind w:left="480" w:hanging="480"/>
        <w:rPr>
          <w:rFonts w:cs="Times New Roman"/>
          <w:noProof/>
          <w:lang w:val="de-DE"/>
        </w:rPr>
      </w:pPr>
      <w:r w:rsidRPr="00950B3C">
        <w:rPr>
          <w:rFonts w:cs="Times New Roman"/>
          <w:noProof/>
          <w:szCs w:val="24"/>
        </w:rPr>
        <w:t xml:space="preserve"> DWD German weather service, station Helgoland. </w:t>
      </w:r>
      <w:r w:rsidRPr="00220515">
        <w:rPr>
          <w:rFonts w:cs="Times New Roman"/>
          <w:noProof/>
          <w:szCs w:val="24"/>
          <w:lang w:val="de-DE"/>
        </w:rPr>
        <w:t>Dtsch. Wetterdienst, Zentraler Vertrieb Klima und Umwelt, Offenbach, Ger. https://www.dwd.de/DE/leistungen/klimadatendeutsch.</w:t>
      </w:r>
    </w:p>
    <w:p w14:paraId="67F411AB" w14:textId="0EF2880B" w:rsidR="00950B3C" w:rsidRPr="001549D3" w:rsidRDefault="00950B3C" w:rsidP="00654E8F">
      <w:pPr>
        <w:spacing w:before="240"/>
      </w:pPr>
      <w:r>
        <w:fldChar w:fldCharType="end"/>
      </w:r>
    </w:p>
    <w:sectPr w:rsidR="00950B3C"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7677D" w14:textId="77777777" w:rsidR="004461D3" w:rsidRDefault="004461D3" w:rsidP="00117666">
      <w:pPr>
        <w:spacing w:after="0"/>
      </w:pPr>
      <w:r>
        <w:separator/>
      </w:r>
    </w:p>
  </w:endnote>
  <w:endnote w:type="continuationSeparator" w:id="0">
    <w:p w14:paraId="0DE6417F" w14:textId="77777777" w:rsidR="004461D3" w:rsidRDefault="004461D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845795" w:rsidRPr="00577C4C" w:rsidRDefault="00845795">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45795" w:rsidRPr="00577C4C" w:rsidRDefault="0084579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61E5B">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845795" w:rsidRPr="00577C4C" w:rsidRDefault="0084579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61E5B">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845795" w:rsidRPr="00577C4C" w:rsidRDefault="00845795">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845795" w:rsidRPr="00577C4C" w:rsidRDefault="0084579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61E5B">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845795" w:rsidRPr="00577C4C" w:rsidRDefault="0084579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61E5B">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792E9" w14:textId="77777777" w:rsidR="004461D3" w:rsidRDefault="004461D3" w:rsidP="00117666">
      <w:pPr>
        <w:spacing w:after="0"/>
      </w:pPr>
      <w:r>
        <w:separator/>
      </w:r>
    </w:p>
  </w:footnote>
  <w:footnote w:type="continuationSeparator" w:id="0">
    <w:p w14:paraId="2967B90B" w14:textId="77777777" w:rsidR="004461D3" w:rsidRDefault="004461D3"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845795" w:rsidRPr="009151AA" w:rsidRDefault="0084579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845795" w:rsidRDefault="00845795"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647D0D"/>
    <w:multiLevelType w:val="hybridMultilevel"/>
    <w:tmpl w:val="9DF2F170"/>
    <w:lvl w:ilvl="0" w:tplc="0407000F">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52BF2A09"/>
    <w:multiLevelType w:val="hybridMultilevel"/>
    <w:tmpl w:val="0EB44D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20515"/>
    <w:rsid w:val="00267D18"/>
    <w:rsid w:val="00274347"/>
    <w:rsid w:val="002868E2"/>
    <w:rsid w:val="002869C3"/>
    <w:rsid w:val="002936E4"/>
    <w:rsid w:val="002B4A57"/>
    <w:rsid w:val="002C74CA"/>
    <w:rsid w:val="003123F4"/>
    <w:rsid w:val="003544FB"/>
    <w:rsid w:val="003D2F2D"/>
    <w:rsid w:val="00401590"/>
    <w:rsid w:val="004461D3"/>
    <w:rsid w:val="00447801"/>
    <w:rsid w:val="00452E9C"/>
    <w:rsid w:val="004735C8"/>
    <w:rsid w:val="004947A6"/>
    <w:rsid w:val="004961FF"/>
    <w:rsid w:val="00505C22"/>
    <w:rsid w:val="005155BC"/>
    <w:rsid w:val="00517A89"/>
    <w:rsid w:val="005250F2"/>
    <w:rsid w:val="00593EEA"/>
    <w:rsid w:val="005A5EEE"/>
    <w:rsid w:val="0063411E"/>
    <w:rsid w:val="006375C7"/>
    <w:rsid w:val="00654E8F"/>
    <w:rsid w:val="00660D05"/>
    <w:rsid w:val="006745CD"/>
    <w:rsid w:val="00674C2D"/>
    <w:rsid w:val="006820B1"/>
    <w:rsid w:val="006B7D14"/>
    <w:rsid w:val="00701727"/>
    <w:rsid w:val="0070566C"/>
    <w:rsid w:val="00714C50"/>
    <w:rsid w:val="00725A7D"/>
    <w:rsid w:val="00740D30"/>
    <w:rsid w:val="007501BE"/>
    <w:rsid w:val="00790BB3"/>
    <w:rsid w:val="007C206C"/>
    <w:rsid w:val="007D43D8"/>
    <w:rsid w:val="00817DD6"/>
    <w:rsid w:val="0083759F"/>
    <w:rsid w:val="008404EC"/>
    <w:rsid w:val="00845795"/>
    <w:rsid w:val="00885156"/>
    <w:rsid w:val="008C0F39"/>
    <w:rsid w:val="009151AA"/>
    <w:rsid w:val="0093429D"/>
    <w:rsid w:val="00943573"/>
    <w:rsid w:val="00950B3C"/>
    <w:rsid w:val="00964134"/>
    <w:rsid w:val="00970F7D"/>
    <w:rsid w:val="00994A3D"/>
    <w:rsid w:val="009C2B12"/>
    <w:rsid w:val="00A174D9"/>
    <w:rsid w:val="00AA4D24"/>
    <w:rsid w:val="00AB6715"/>
    <w:rsid w:val="00B1671E"/>
    <w:rsid w:val="00B25EB8"/>
    <w:rsid w:val="00B37F4D"/>
    <w:rsid w:val="00B500CC"/>
    <w:rsid w:val="00B61A8F"/>
    <w:rsid w:val="00C52A7B"/>
    <w:rsid w:val="00C56BAF"/>
    <w:rsid w:val="00C679AA"/>
    <w:rsid w:val="00C75972"/>
    <w:rsid w:val="00CB2D6F"/>
    <w:rsid w:val="00CD066B"/>
    <w:rsid w:val="00CE4FEE"/>
    <w:rsid w:val="00D060CF"/>
    <w:rsid w:val="00DB59C3"/>
    <w:rsid w:val="00DC259A"/>
    <w:rsid w:val="00DE23E8"/>
    <w:rsid w:val="00E520C4"/>
    <w:rsid w:val="00E52377"/>
    <w:rsid w:val="00E537AD"/>
    <w:rsid w:val="00E61E5B"/>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11"/>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11"/>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4">
    <w:name w:val="Plain Table 4"/>
    <w:basedOn w:val="TableNormal"/>
    <w:uiPriority w:val="44"/>
    <w:rsid w:val="006745CD"/>
    <w:pPr>
      <w:spacing w:after="0" w:line="240" w:lineRule="auto"/>
    </w:pPr>
    <w:rPr>
      <w:lang w:val="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E4D509E-5528-4228-9E76-1E5FD0D1E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8</Pages>
  <Words>9834</Words>
  <Characters>61957</Characters>
  <Application>Microsoft Office Word</Application>
  <DocSecurity>0</DocSecurity>
  <Lines>516</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Till Oehler</cp:lastModifiedBy>
  <cp:revision>8</cp:revision>
  <cp:lastPrinted>2019-08-08T09:35:00Z</cp:lastPrinted>
  <dcterms:created xsi:type="dcterms:W3CDTF">2019-09-03T08:45:00Z</dcterms:created>
  <dcterms:modified xsi:type="dcterms:W3CDTF">2019-09-03T09:03:00Z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http://www.zotero.org/styles/aquatic-geochemistry</vt:lpwstr>
  </property>
  <property fmtid="{D5CDD505-2E9C-101B-9397-08002B2CF9AE}" pid="9" name="Mendeley Recent Style Name 3_1">
    <vt:lpwstr>Aquatic Geochemistry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http://www.zotero.org/styles/limnology-and-oceanography</vt:lpwstr>
  </property>
  <property fmtid="{D5CDD505-2E9C-101B-9397-08002B2CF9AE}" pid="17" name="Mendeley Recent Style Name 7_1">
    <vt:lpwstr>Limnology and Oceanography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cf248e1e-c2ac-3f74-b4aa-e0c9b17af54e</vt:lpwstr>
  </property>
  <property fmtid="{D5CDD505-2E9C-101B-9397-08002B2CF9AE}" pid="24" name="Mendeley Citation Style_1">
    <vt:lpwstr>http://www.zotero.org/styles/limnology-and-oceanography</vt:lpwstr>
  </property>
</Properties>
</file>