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005" w:rsidRDefault="00785433" w:rsidP="00BA6005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785433">
        <w:rPr>
          <w:rFonts w:ascii="Times New Roman" w:hAnsi="Times New Roman" w:cs="Times New Roman"/>
          <w:b/>
          <w:lang w:val="en-US"/>
        </w:rPr>
        <w:t>Supplementary Table 1</w:t>
      </w:r>
      <w:r w:rsidR="00BA6005" w:rsidRPr="00785433">
        <w:rPr>
          <w:rFonts w:ascii="Times New Roman" w:hAnsi="Times New Roman" w:cs="Times New Roman"/>
          <w:b/>
          <w:lang w:val="en-US"/>
        </w:rPr>
        <w:t>.</w:t>
      </w:r>
      <w:r w:rsidR="00BA6005">
        <w:rPr>
          <w:rFonts w:ascii="Times New Roman" w:hAnsi="Times New Roman" w:cs="Times New Roman"/>
          <w:lang w:val="en-US"/>
        </w:rPr>
        <w:t xml:space="preserve"> Cox regression models assessing the potential of clinical variables and circulating </w:t>
      </w:r>
      <w:proofErr w:type="spellStart"/>
      <w:r w:rsidR="00BA6005">
        <w:rPr>
          <w:rFonts w:ascii="Times New Roman" w:hAnsi="Times New Roman" w:cs="Times New Roman"/>
          <w:lang w:val="en-US"/>
        </w:rPr>
        <w:t>miRs</w:t>
      </w:r>
      <w:proofErr w:type="spellEnd"/>
      <w:r w:rsidR="00BA6005">
        <w:rPr>
          <w:rFonts w:ascii="Times New Roman" w:hAnsi="Times New Roman" w:cs="Times New Roman"/>
          <w:lang w:val="en-US"/>
        </w:rPr>
        <w:t xml:space="preserve"> levels in the prediction of metastasis free survival (Cohort #2).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4961"/>
        <w:gridCol w:w="2126"/>
        <w:gridCol w:w="1843"/>
        <w:gridCol w:w="1100"/>
      </w:tblGrid>
      <w:tr w:rsidR="00BA6005" w:rsidTr="004B0C76">
        <w:trPr>
          <w:trHeight w:val="288"/>
        </w:trPr>
        <w:tc>
          <w:tcPr>
            <w:tcW w:w="3256" w:type="dxa"/>
            <w:tcBorders>
              <w:top w:val="single" w:sz="12" w:space="0" w:color="auto"/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F80A7E">
              <w:rPr>
                <w:rFonts w:ascii="Times New Roman" w:hAnsi="Times New Roman" w:cs="Times New Roman"/>
                <w:b/>
                <w:lang w:val="en-US"/>
              </w:rPr>
              <w:t>Metastasis Free Survival</w:t>
            </w:r>
          </w:p>
        </w:tc>
        <w:tc>
          <w:tcPr>
            <w:tcW w:w="4961" w:type="dxa"/>
            <w:tcBorders>
              <w:top w:val="single" w:sz="12" w:space="0" w:color="auto"/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80A7E">
              <w:rPr>
                <w:rFonts w:ascii="Times New Roman" w:hAnsi="Times New Roman" w:cs="Times New Roman"/>
                <w:b/>
                <w:lang w:val="en-US"/>
              </w:rPr>
              <w:t>Variable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HR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80A7E">
              <w:rPr>
                <w:rFonts w:ascii="Times New Roman" w:hAnsi="Times New Roman" w:cs="Times New Roman"/>
                <w:b/>
                <w:lang w:val="en-US"/>
              </w:rPr>
              <w:t xml:space="preserve">95% CI for </w:t>
            </w:r>
            <w:r>
              <w:rPr>
                <w:rFonts w:ascii="Times New Roman" w:hAnsi="Times New Roman" w:cs="Times New Roman"/>
                <w:b/>
                <w:lang w:val="en-US"/>
              </w:rPr>
              <w:t>HR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80A7E">
              <w:rPr>
                <w:rFonts w:ascii="Times New Roman" w:hAnsi="Times New Roman" w:cs="Times New Roman"/>
                <w:b/>
                <w:lang w:val="en-US"/>
              </w:rPr>
              <w:t>P value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 w:val="restart"/>
            <w:tcBorders>
              <w:top w:val="single" w:sz="12" w:space="0" w:color="auto"/>
            </w:tcBorders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Univariable</w:t>
            </w:r>
          </w:p>
        </w:tc>
        <w:tc>
          <w:tcPr>
            <w:tcW w:w="10030" w:type="dxa"/>
            <w:gridSpan w:val="4"/>
            <w:tcBorders>
              <w:top w:val="single" w:sz="12" w:space="0" w:color="auto"/>
            </w:tcBorders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Grade Group (GG)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GG1 vs GG2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4.262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0.890-20.411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0.0697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GG1 vs GG3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11.228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2.452-51.425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0.0018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GG1 vs GG4-5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30.156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6.506-139.777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&lt;0.001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30" w:type="dxa"/>
            <w:gridSpan w:val="4"/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PSA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&lt;10 ng/mL vs ≥10 ng/mL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1.535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0.785-3.003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0.2105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30" w:type="dxa"/>
            <w:gridSpan w:val="4"/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Pathological stage (</w:t>
            </w:r>
            <w:proofErr w:type="spellStart"/>
            <w:r w:rsidRPr="00454F68">
              <w:rPr>
                <w:rFonts w:ascii="Times New Roman" w:hAnsi="Times New Roman" w:cs="Times New Roman"/>
                <w:b/>
                <w:lang w:val="en-US"/>
              </w:rPr>
              <w:t>pT</w:t>
            </w:r>
            <w:proofErr w:type="spellEnd"/>
            <w:r w:rsidRPr="00454F68">
              <w:rPr>
                <w:rFonts w:ascii="Times New Roman" w:hAnsi="Times New Roman" w:cs="Times New Roman"/>
                <w:b/>
                <w:lang w:val="en-US"/>
              </w:rPr>
              <w:t>)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pT2 vs pT3a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25.867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3.494-191.507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0.0014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pT2 vs pT3b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65.477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8.369-512.305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&lt;0.001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30" w:type="dxa"/>
            <w:gridSpan w:val="4"/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iCs/>
                <w:lang w:val="en-US"/>
              </w:rPr>
              <w:t>miR-182-5p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P&lt;50 vs P≥50</w:t>
            </w:r>
          </w:p>
        </w:tc>
        <w:tc>
          <w:tcPr>
            <w:tcW w:w="2126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2.068</w:t>
            </w:r>
          </w:p>
        </w:tc>
        <w:tc>
          <w:tcPr>
            <w:tcW w:w="1843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454F68">
              <w:rPr>
                <w:rFonts w:ascii="Times New Roman" w:hAnsi="Times New Roman" w:cs="Times New Roman"/>
                <w:lang w:val="en-US"/>
              </w:rPr>
              <w:t>1.084-3.945</w:t>
            </w:r>
          </w:p>
        </w:tc>
        <w:tc>
          <w:tcPr>
            <w:tcW w:w="1100" w:type="dxa"/>
          </w:tcPr>
          <w:p w:rsidR="00BA6005" w:rsidRPr="00454F68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lang w:val="en-US"/>
              </w:rPr>
              <w:t>0.0274</w:t>
            </w:r>
          </w:p>
        </w:tc>
      </w:tr>
      <w:tr w:rsidR="00BA6005" w:rsidTr="004B0C76">
        <w:trPr>
          <w:trHeight w:val="554"/>
        </w:trPr>
        <w:tc>
          <w:tcPr>
            <w:tcW w:w="3256" w:type="dxa"/>
            <w:vMerge/>
          </w:tcPr>
          <w:p w:rsidR="00BA6005" w:rsidRPr="00454F68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030" w:type="dxa"/>
            <w:gridSpan w:val="4"/>
          </w:tcPr>
          <w:p w:rsidR="00BA6005" w:rsidRPr="00454F68" w:rsidRDefault="00BA6005" w:rsidP="004B0C76">
            <w:pPr>
              <w:spacing w:line="360" w:lineRule="auto"/>
              <w:rPr>
                <w:rFonts w:ascii="Times New Roman" w:hAnsi="Times New Roman" w:cs="Times New Roman"/>
                <w:b/>
                <w:iCs/>
                <w:lang w:val="en-US"/>
              </w:rPr>
            </w:pPr>
            <w:r w:rsidRPr="00454F68">
              <w:rPr>
                <w:rFonts w:ascii="Times New Roman" w:hAnsi="Times New Roman" w:cs="Times New Roman"/>
                <w:b/>
                <w:iCs/>
                <w:lang w:val="en-US"/>
              </w:rPr>
              <w:t>miR-375-3p</w:t>
            </w:r>
          </w:p>
        </w:tc>
      </w:tr>
      <w:tr w:rsidR="00BA6005" w:rsidRPr="007E1E35" w:rsidTr="004B0C76">
        <w:trPr>
          <w:trHeight w:val="132"/>
        </w:trPr>
        <w:tc>
          <w:tcPr>
            <w:tcW w:w="3256" w:type="dxa"/>
            <w:vMerge/>
            <w:tcBorders>
              <w:bottom w:val="single" w:sz="12" w:space="0" w:color="auto"/>
            </w:tcBorders>
          </w:tcPr>
          <w:p w:rsidR="00BA6005" w:rsidRDefault="00BA6005" w:rsidP="004B0C76">
            <w:pPr>
              <w:spacing w:line="36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4961" w:type="dxa"/>
            <w:tcBorders>
              <w:bottom w:val="single" w:sz="12" w:space="0" w:color="auto"/>
            </w:tcBorders>
          </w:tcPr>
          <w:p w:rsidR="00BA6005" w:rsidRDefault="00BA6005" w:rsidP="004B0C76">
            <w:pPr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P&lt;50 vs P≥50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:rsidR="00BA6005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2.668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:rsidR="00BA6005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1.369-5.199</w:t>
            </w:r>
          </w:p>
        </w:tc>
        <w:tc>
          <w:tcPr>
            <w:tcW w:w="1100" w:type="dxa"/>
            <w:tcBorders>
              <w:bottom w:val="single" w:sz="12" w:space="0" w:color="auto"/>
            </w:tcBorders>
          </w:tcPr>
          <w:p w:rsidR="00BA6005" w:rsidRPr="00F80A7E" w:rsidRDefault="00BA6005" w:rsidP="004B0C7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0.0039</w:t>
            </w:r>
          </w:p>
        </w:tc>
      </w:tr>
    </w:tbl>
    <w:p w:rsidR="00BA6005" w:rsidRPr="000C0380" w:rsidRDefault="00BA6005" w:rsidP="00BA6005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0C0380">
        <w:rPr>
          <w:rFonts w:ascii="Times New Roman" w:hAnsi="Times New Roman" w:cs="Times New Roman"/>
          <w:lang w:val="en-US"/>
        </w:rPr>
        <w:lastRenderedPageBreak/>
        <w:t>HR – Hazard Ratio</w:t>
      </w:r>
    </w:p>
    <w:p w:rsidR="00BA6005" w:rsidRDefault="00BA6005">
      <w:r>
        <w:br w:type="page"/>
      </w:r>
    </w:p>
    <w:p w:rsidR="00BA6005" w:rsidRDefault="00BA6005">
      <w:pPr>
        <w:sectPr w:rsidR="00BA6005" w:rsidSect="00BA6005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BA6005" w:rsidRDefault="00BA6005">
      <w:pPr>
        <w:rPr>
          <w:lang w:val="en-US"/>
        </w:rPr>
      </w:pPr>
    </w:p>
    <w:p w:rsidR="00DA1396" w:rsidRDefault="00DA1396" w:rsidP="004221B1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5396230" cy="1966595"/>
            <wp:effectExtent l="0" t="0" r="127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lem figure 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B1" w:rsidRDefault="00785433" w:rsidP="004221B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785433">
        <w:rPr>
          <w:rFonts w:ascii="Times New Roman" w:hAnsi="Times New Roman" w:cs="Times New Roman"/>
          <w:b/>
          <w:lang w:val="en-US"/>
        </w:rPr>
        <w:t>Supplementary Figure 1.</w:t>
      </w:r>
      <w:r w:rsidR="004221B1">
        <w:rPr>
          <w:rFonts w:ascii="Times New Roman" w:hAnsi="Times New Roman" w:cs="Times New Roman"/>
          <w:lang w:val="en-US"/>
        </w:rPr>
        <w:t xml:space="preserve"> Receiver operation characteristic (ROC) c</w:t>
      </w:r>
      <w:r w:rsidR="004221B1" w:rsidRPr="00454F68">
        <w:rPr>
          <w:rFonts w:ascii="Times New Roman" w:hAnsi="Times New Roman" w:cs="Times New Roman"/>
          <w:lang w:val="en-US"/>
        </w:rPr>
        <w:t xml:space="preserve">urves of </w:t>
      </w:r>
      <w:r w:rsidR="004221B1" w:rsidRPr="00454F68">
        <w:rPr>
          <w:rFonts w:ascii="Times New Roman" w:hAnsi="Times New Roman" w:cs="Times New Roman"/>
          <w:iCs/>
          <w:lang w:val="en-US"/>
        </w:rPr>
        <w:t>miR-182-5p</w:t>
      </w:r>
      <w:r w:rsidR="004221B1" w:rsidRPr="00454F68">
        <w:rPr>
          <w:rFonts w:ascii="Times New Roman" w:hAnsi="Times New Roman" w:cs="Times New Roman"/>
          <w:lang w:val="en-US"/>
        </w:rPr>
        <w:t xml:space="preserve"> in</w:t>
      </w:r>
      <w:r w:rsidR="004221B1">
        <w:rPr>
          <w:rFonts w:ascii="Times New Roman" w:hAnsi="Times New Roman" w:cs="Times New Roman"/>
          <w:lang w:val="en-US"/>
        </w:rPr>
        <w:t xml:space="preserve"> Cohort #1 (A</w:t>
      </w:r>
      <w:r w:rsidR="004221B1" w:rsidRPr="004D3C28">
        <w:rPr>
          <w:rFonts w:ascii="Times New Roman" w:hAnsi="Times New Roman" w:cs="Times New Roman"/>
          <w:lang w:val="en-US"/>
        </w:rPr>
        <w:t>)</w:t>
      </w:r>
      <w:r w:rsidR="004221B1">
        <w:rPr>
          <w:rFonts w:ascii="Times New Roman" w:hAnsi="Times New Roman" w:cs="Times New Roman"/>
          <w:lang w:val="en-US"/>
        </w:rPr>
        <w:t xml:space="preserve"> and Cohort #2 (B) patients for diagnosis of PCa. Reference line is in dash and ROC curve is in solid line.</w:t>
      </w: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DA1396" w:rsidRDefault="00DA1396" w:rsidP="004221B1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:rsidR="00DA1396" w:rsidRDefault="00DA1396" w:rsidP="004221B1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:rsidR="00DA1396" w:rsidRDefault="00DA1396" w:rsidP="00DA1396">
      <w:pPr>
        <w:spacing w:line="480" w:lineRule="auto"/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3746500" cy="31115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upplem figure 2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1B1" w:rsidRPr="00E34F17" w:rsidRDefault="00785433" w:rsidP="004221B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785433">
        <w:rPr>
          <w:rFonts w:ascii="Times New Roman" w:hAnsi="Times New Roman" w:cs="Times New Roman"/>
          <w:b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lang w:val="en-US"/>
        </w:rPr>
        <w:t>2</w:t>
      </w:r>
      <w:r w:rsidRPr="00785433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4221B1">
        <w:rPr>
          <w:rFonts w:ascii="Times New Roman" w:hAnsi="Times New Roman" w:cs="Times New Roman"/>
          <w:lang w:val="en-US"/>
        </w:rPr>
        <w:t xml:space="preserve">Receiver operation characteristic (ROC) curve of circulating </w:t>
      </w:r>
      <w:r w:rsidR="004221B1" w:rsidRPr="00454F68">
        <w:rPr>
          <w:rFonts w:ascii="Times New Roman" w:hAnsi="Times New Roman" w:cs="Times New Roman"/>
          <w:iCs/>
          <w:lang w:val="en-US"/>
        </w:rPr>
        <w:t>miR-375-3p</w:t>
      </w:r>
      <w:r w:rsidR="004221B1" w:rsidRPr="00454F68">
        <w:rPr>
          <w:rFonts w:ascii="Times New Roman" w:hAnsi="Times New Roman" w:cs="Times New Roman"/>
          <w:lang w:val="en-US"/>
        </w:rPr>
        <w:t xml:space="preserve"> for diagnosis</w:t>
      </w:r>
      <w:r w:rsidR="004221B1">
        <w:rPr>
          <w:rFonts w:ascii="Times New Roman" w:hAnsi="Times New Roman" w:cs="Times New Roman"/>
          <w:lang w:val="en-US"/>
        </w:rPr>
        <w:t xml:space="preserve"> </w:t>
      </w:r>
      <w:r w:rsidR="004221B1" w:rsidRPr="00E34F17">
        <w:rPr>
          <w:rFonts w:ascii="Times New Roman" w:hAnsi="Times New Roman" w:cs="Times New Roman"/>
          <w:lang w:val="en-US"/>
        </w:rPr>
        <w:t>for metastasis</w:t>
      </w:r>
      <w:r w:rsidR="004221B1">
        <w:rPr>
          <w:rFonts w:ascii="Times New Roman" w:hAnsi="Times New Roman" w:cs="Times New Roman"/>
          <w:lang w:val="en-US"/>
        </w:rPr>
        <w:t xml:space="preserve"> development prediction (Cohort #2). Reference line is in dash and ROC curve is in solid line.</w:t>
      </w: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Default="00BA6005">
      <w:pPr>
        <w:rPr>
          <w:rFonts w:ascii="Times New Roman" w:hAnsi="Times New Roman" w:cs="Times New Roman"/>
          <w:lang w:val="en-US"/>
        </w:rPr>
      </w:pPr>
    </w:p>
    <w:p w:rsidR="004221B1" w:rsidRPr="00BA6005" w:rsidRDefault="004221B1">
      <w:pPr>
        <w:rPr>
          <w:rFonts w:ascii="Times New Roman" w:hAnsi="Times New Roman" w:cs="Times New Roman"/>
          <w:lang w:val="en-US"/>
        </w:rPr>
      </w:pPr>
    </w:p>
    <w:p w:rsidR="004221B1" w:rsidRDefault="00BA6005" w:rsidP="004221B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BA6005">
        <w:rPr>
          <w:rFonts w:ascii="Times New Roman" w:hAnsi="Times New Roman" w:cs="Times New Roman"/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396230" cy="2279015"/>
            <wp:effectExtent l="0" t="0" r="127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3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85433" w:rsidRPr="00785433">
        <w:rPr>
          <w:rFonts w:ascii="Times New Roman" w:hAnsi="Times New Roman" w:cs="Times New Roman"/>
          <w:b/>
          <w:lang w:val="en-US"/>
        </w:rPr>
        <w:t xml:space="preserve">Supplementary Figure </w:t>
      </w:r>
      <w:r w:rsidR="00785433">
        <w:rPr>
          <w:rFonts w:ascii="Times New Roman" w:hAnsi="Times New Roman" w:cs="Times New Roman"/>
          <w:b/>
          <w:lang w:val="en-US"/>
        </w:rPr>
        <w:t>3</w:t>
      </w:r>
      <w:r w:rsidR="00785433" w:rsidRPr="00785433">
        <w:rPr>
          <w:rFonts w:ascii="Times New Roman" w:hAnsi="Times New Roman" w:cs="Times New Roman"/>
          <w:b/>
          <w:lang w:val="en-US"/>
        </w:rPr>
        <w:t>.</w:t>
      </w:r>
      <w:r w:rsidR="00785433">
        <w:rPr>
          <w:rFonts w:ascii="Times New Roman" w:hAnsi="Times New Roman" w:cs="Times New Roman"/>
          <w:lang w:val="en-US"/>
        </w:rPr>
        <w:t xml:space="preserve"> </w:t>
      </w:r>
      <w:r w:rsidR="004221B1">
        <w:rPr>
          <w:rFonts w:ascii="Times New Roman" w:hAnsi="Times New Roman" w:cs="Times New Roman"/>
          <w:lang w:val="en-US"/>
        </w:rPr>
        <w:t>Metastasis Free Survival curves in Cohort #2 patients according to Grade Group (A) and Pathological stage (B).</w:t>
      </w: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BA6005">
      <w:pPr>
        <w:rPr>
          <w:rFonts w:ascii="Times New Roman" w:hAnsi="Times New Roman" w:cs="Times New Roman"/>
          <w:lang w:val="en-US"/>
        </w:rPr>
      </w:pPr>
    </w:p>
    <w:p w:rsidR="00BA6005" w:rsidRPr="00BA6005" w:rsidRDefault="00DA1396" w:rsidP="00DA1396">
      <w:pPr>
        <w:jc w:val="center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064000" cy="34544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upplementary Figure 4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05" w:rsidRPr="00BA6005" w:rsidRDefault="00BA6005" w:rsidP="00BA6005">
      <w:pPr>
        <w:rPr>
          <w:rFonts w:ascii="Times New Roman" w:hAnsi="Times New Roman" w:cs="Times New Roman"/>
          <w:lang w:val="en-US"/>
        </w:rPr>
      </w:pPr>
    </w:p>
    <w:p w:rsidR="004221B1" w:rsidRDefault="00785433" w:rsidP="004221B1">
      <w:pPr>
        <w:spacing w:line="480" w:lineRule="auto"/>
        <w:jc w:val="both"/>
        <w:rPr>
          <w:rFonts w:ascii="Times New Roman" w:hAnsi="Times New Roman" w:cs="Times New Roman"/>
          <w:lang w:val="en-US"/>
        </w:rPr>
      </w:pPr>
      <w:r w:rsidRPr="00785433">
        <w:rPr>
          <w:rFonts w:ascii="Times New Roman" w:hAnsi="Times New Roman" w:cs="Times New Roman"/>
          <w:b/>
          <w:lang w:val="en-US"/>
        </w:rPr>
        <w:t xml:space="preserve">Supplementary Figure </w:t>
      </w:r>
      <w:r>
        <w:rPr>
          <w:rFonts w:ascii="Times New Roman" w:hAnsi="Times New Roman" w:cs="Times New Roman"/>
          <w:b/>
          <w:lang w:val="en-US"/>
        </w:rPr>
        <w:t>4</w:t>
      </w:r>
      <w:r w:rsidRPr="00785433">
        <w:rPr>
          <w:rFonts w:ascii="Times New Roman" w:hAnsi="Times New Roman" w:cs="Times New Roman"/>
          <w:b/>
          <w:lang w:val="en-US"/>
        </w:rPr>
        <w:t>.</w:t>
      </w:r>
      <w:r>
        <w:rPr>
          <w:rFonts w:ascii="Times New Roman" w:hAnsi="Times New Roman" w:cs="Times New Roman"/>
          <w:lang w:val="en-US"/>
        </w:rPr>
        <w:t xml:space="preserve"> </w:t>
      </w:r>
      <w:r w:rsidR="004221B1">
        <w:rPr>
          <w:rFonts w:ascii="Times New Roman" w:hAnsi="Times New Roman" w:cs="Times New Roman"/>
          <w:lang w:val="en-US"/>
        </w:rPr>
        <w:t xml:space="preserve">Metastasis Free Survival curve in cohort #2 for patients with GG2 and pT3a according to </w:t>
      </w:r>
      <w:bookmarkStart w:id="0" w:name="_GoBack"/>
      <w:bookmarkEnd w:id="0"/>
      <w:r w:rsidR="004221B1" w:rsidRPr="00454F68">
        <w:rPr>
          <w:rFonts w:ascii="Times New Roman" w:hAnsi="Times New Roman" w:cs="Times New Roman"/>
          <w:lang w:val="en-US"/>
        </w:rPr>
        <w:t xml:space="preserve">circulating </w:t>
      </w:r>
      <w:r w:rsidR="004221B1" w:rsidRPr="00454F68">
        <w:rPr>
          <w:rFonts w:ascii="Times New Roman" w:hAnsi="Times New Roman" w:cs="Times New Roman"/>
          <w:iCs/>
          <w:lang w:val="en-US"/>
        </w:rPr>
        <w:t>miR-375-3p</w:t>
      </w:r>
      <w:r w:rsidR="004221B1" w:rsidRPr="00454F68">
        <w:rPr>
          <w:rFonts w:ascii="Times New Roman" w:hAnsi="Times New Roman" w:cs="Times New Roman"/>
          <w:lang w:val="en-US"/>
        </w:rPr>
        <w:t xml:space="preserve"> levels</w:t>
      </w:r>
      <w:r w:rsidR="004221B1">
        <w:rPr>
          <w:rFonts w:ascii="Times New Roman" w:hAnsi="Times New Roman" w:cs="Times New Roman"/>
          <w:lang w:val="en-US"/>
        </w:rPr>
        <w:t xml:space="preserve"> at diagnosis.</w:t>
      </w:r>
    </w:p>
    <w:p w:rsidR="00BA6005" w:rsidRPr="00BA6005" w:rsidRDefault="00BA6005" w:rsidP="00BA6005">
      <w:pPr>
        <w:rPr>
          <w:rFonts w:ascii="Times New Roman" w:hAnsi="Times New Roman" w:cs="Times New Roman"/>
          <w:lang w:val="en-US"/>
        </w:rPr>
      </w:pPr>
    </w:p>
    <w:sectPr w:rsidR="00BA6005" w:rsidRPr="00BA6005" w:rsidSect="00BA600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4FF2" w:rsidRDefault="00AA4FF2" w:rsidP="00BA6005">
      <w:r>
        <w:separator/>
      </w:r>
    </w:p>
  </w:endnote>
  <w:endnote w:type="continuationSeparator" w:id="0">
    <w:p w:rsidR="00AA4FF2" w:rsidRDefault="00AA4FF2" w:rsidP="00BA60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altName w:val="Titlingmes New Roman PSMT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4FF2" w:rsidRDefault="00AA4FF2" w:rsidP="00BA6005">
      <w:r>
        <w:separator/>
      </w:r>
    </w:p>
  </w:footnote>
  <w:footnote w:type="continuationSeparator" w:id="0">
    <w:p w:rsidR="00AA4FF2" w:rsidRDefault="00AA4FF2" w:rsidP="00BA60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6005"/>
    <w:rsid w:val="001146BE"/>
    <w:rsid w:val="00145816"/>
    <w:rsid w:val="003D6A6D"/>
    <w:rsid w:val="004221B1"/>
    <w:rsid w:val="00425BCE"/>
    <w:rsid w:val="00454F68"/>
    <w:rsid w:val="004C1D2E"/>
    <w:rsid w:val="00651C31"/>
    <w:rsid w:val="00785433"/>
    <w:rsid w:val="0093284A"/>
    <w:rsid w:val="00AA4FF2"/>
    <w:rsid w:val="00B663C4"/>
    <w:rsid w:val="00BA6005"/>
    <w:rsid w:val="00DA1396"/>
    <w:rsid w:val="00E51D18"/>
    <w:rsid w:val="00EC0D65"/>
    <w:rsid w:val="00EF0513"/>
    <w:rsid w:val="00EF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5DE9D850-9972-DB4C-AA1C-27B23C0D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BA60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BA6005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BA6005"/>
  </w:style>
  <w:style w:type="paragraph" w:styleId="Rodap">
    <w:name w:val="footer"/>
    <w:basedOn w:val="Normal"/>
    <w:link w:val="RodapCarter"/>
    <w:uiPriority w:val="99"/>
    <w:unhideWhenUsed/>
    <w:rsid w:val="00BA6005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BA60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234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 Constâncio</dc:creator>
  <cp:keywords/>
  <dc:description/>
  <cp:lastModifiedBy>Vera Constâncio</cp:lastModifiedBy>
  <cp:revision>5</cp:revision>
  <dcterms:created xsi:type="dcterms:W3CDTF">2018-11-09T10:30:00Z</dcterms:created>
  <dcterms:modified xsi:type="dcterms:W3CDTF">2019-09-03T15:00:00Z</dcterms:modified>
</cp:coreProperties>
</file>