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DF78" w14:textId="57CA9F3D" w:rsidR="00A31CFC" w:rsidRDefault="00A31CFC">
      <w:pPr>
        <w:rPr>
          <w:lang w:val="en-AU"/>
        </w:rPr>
      </w:pPr>
      <w:bookmarkStart w:id="0" w:name="_GoBack"/>
      <w:r w:rsidRPr="00A31CFC">
        <w:rPr>
          <w:noProof/>
          <w:lang w:val="en-US"/>
        </w:rPr>
        <w:drawing>
          <wp:inline distT="0" distB="0" distL="0" distR="0" wp14:anchorId="2D3ABBD3" wp14:editId="3ECA38DF">
            <wp:extent cx="3627120" cy="3478696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7388" cy="348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287D" w14:textId="5D42B360" w:rsidR="00A31CFC" w:rsidRPr="00A31CFC" w:rsidRDefault="00A31CFC" w:rsidP="00A31CFC">
      <w:pPr>
        <w:rPr>
          <w:b/>
          <w:lang w:val="en-AU"/>
        </w:rPr>
      </w:pPr>
      <w:r w:rsidRPr="00A31CFC">
        <w:rPr>
          <w:b/>
          <w:lang w:val="en-AU"/>
        </w:rPr>
        <w:t>Supplementary Figure 1: IL</w:t>
      </w:r>
      <w:r w:rsidR="008F0CF4">
        <w:rPr>
          <w:b/>
          <w:lang w:val="en-AU"/>
        </w:rPr>
        <w:t>-</w:t>
      </w:r>
      <w:r w:rsidRPr="00A31CFC">
        <w:rPr>
          <w:b/>
          <w:lang w:val="en-AU"/>
        </w:rPr>
        <w:t>3 induce</w:t>
      </w:r>
      <w:r w:rsidR="008F0CF4">
        <w:rPr>
          <w:b/>
          <w:lang w:val="en-AU"/>
        </w:rPr>
        <w:t>s</w:t>
      </w:r>
      <w:r w:rsidRPr="00A31CFC">
        <w:rPr>
          <w:b/>
          <w:lang w:val="en-AU"/>
        </w:rPr>
        <w:t xml:space="preserve"> Ly6C expression on mouse basophils</w:t>
      </w:r>
      <w:r w:rsidRPr="00A31CFC">
        <w:rPr>
          <w:b/>
          <w:lang w:val="en-AU"/>
        </w:rPr>
        <w:tab/>
      </w:r>
    </w:p>
    <w:p w14:paraId="192E3091" w14:textId="551D5FD5" w:rsidR="00A31CFC" w:rsidRDefault="00A31CFC" w:rsidP="00A31CFC">
      <w:pPr>
        <w:rPr>
          <w:lang w:val="en-AU"/>
        </w:rPr>
      </w:pPr>
      <w:r>
        <w:rPr>
          <w:lang w:val="en-AU"/>
        </w:rPr>
        <w:t xml:space="preserve">Whole splenocytes </w:t>
      </w:r>
      <w:r w:rsidR="008F0CF4">
        <w:rPr>
          <w:lang w:val="en-AU"/>
        </w:rPr>
        <w:t>from</w:t>
      </w:r>
      <w:r>
        <w:rPr>
          <w:lang w:val="en-AU"/>
        </w:rPr>
        <w:t xml:space="preserve"> B8xiDTR mice were stimulated with an increasing dose of IL</w:t>
      </w:r>
      <w:r w:rsidR="008F0CF4">
        <w:rPr>
          <w:lang w:val="en-AU"/>
        </w:rPr>
        <w:t>-</w:t>
      </w:r>
      <w:r>
        <w:rPr>
          <w:lang w:val="en-AU"/>
        </w:rPr>
        <w:t xml:space="preserve">3. </w:t>
      </w:r>
      <w:proofErr w:type="spellStart"/>
      <w:r>
        <w:rPr>
          <w:lang w:val="en-AU"/>
        </w:rPr>
        <w:t>eYFP</w:t>
      </w:r>
      <w:proofErr w:type="spellEnd"/>
      <w:r w:rsidRPr="00315E7E">
        <w:rPr>
          <w:vertAlign w:val="superscript"/>
          <w:lang w:val="en-AU"/>
        </w:rPr>
        <w:t xml:space="preserve">+ </w:t>
      </w:r>
      <w:r>
        <w:rPr>
          <w:lang w:val="en-AU"/>
        </w:rPr>
        <w:t xml:space="preserve">basophils were analysed for their expression of Ly6C by flow cytometry </w:t>
      </w:r>
      <w:r w:rsidR="00D57E80">
        <w:rPr>
          <w:lang w:val="en-AU"/>
        </w:rPr>
        <w:t>(</w:t>
      </w:r>
      <w:r>
        <w:rPr>
          <w:lang w:val="en-AU"/>
        </w:rPr>
        <w:t>n=3</w:t>
      </w:r>
      <w:r w:rsidR="00315E7E">
        <w:rPr>
          <w:lang w:val="en-AU"/>
        </w:rPr>
        <w:t>). The</w:t>
      </w:r>
      <w:r w:rsidR="00D57E80">
        <w:rPr>
          <w:lang w:val="en-AU"/>
        </w:rPr>
        <w:t xml:space="preserve"> 10fg/mL dot represent</w:t>
      </w:r>
      <w:r w:rsidR="00315E7E">
        <w:rPr>
          <w:lang w:val="en-AU"/>
        </w:rPr>
        <w:t>s</w:t>
      </w:r>
      <w:r w:rsidR="00D57E80">
        <w:rPr>
          <w:lang w:val="en-AU"/>
        </w:rPr>
        <w:t xml:space="preserve"> the unstimulated condition.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Mean+SEM</w:t>
      </w:r>
      <w:proofErr w:type="spellEnd"/>
      <w:r>
        <w:rPr>
          <w:lang w:val="en-AU"/>
        </w:rPr>
        <w:t xml:space="preserve"> is represented.</w:t>
      </w:r>
      <w:r w:rsidR="003A3201">
        <w:rPr>
          <w:lang w:val="en-AU"/>
        </w:rPr>
        <w:t xml:space="preserve"> Results are representative of two independent experiments.</w:t>
      </w:r>
    </w:p>
    <w:p w14:paraId="701B8BED" w14:textId="6BD3F1FD" w:rsidR="00A31CFC" w:rsidRDefault="00A31CFC">
      <w:pPr>
        <w:rPr>
          <w:lang w:val="en-AU"/>
        </w:rPr>
      </w:pPr>
      <w:r>
        <w:rPr>
          <w:lang w:val="en-AU"/>
        </w:rPr>
        <w:br w:type="page"/>
      </w:r>
    </w:p>
    <w:p w14:paraId="3CF77085" w14:textId="2B507819" w:rsidR="00A31CFC" w:rsidRDefault="00A31CFC" w:rsidP="00A31CFC">
      <w:pPr>
        <w:rPr>
          <w:lang w:val="en-AU"/>
        </w:rPr>
      </w:pPr>
      <w:r w:rsidRPr="00A31CFC">
        <w:rPr>
          <w:noProof/>
          <w:lang w:val="en-US"/>
        </w:rPr>
        <w:lastRenderedPageBreak/>
        <w:drawing>
          <wp:inline distT="0" distB="0" distL="0" distR="0" wp14:anchorId="73D4FAAA" wp14:editId="2F56ADA6">
            <wp:extent cx="5727700" cy="4821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C12CD" w14:textId="72AFF8B1" w:rsidR="00A31CFC" w:rsidRPr="005159AA" w:rsidRDefault="00A31CFC" w:rsidP="00A31CFC">
      <w:pPr>
        <w:rPr>
          <w:b/>
          <w:lang w:val="en-AU"/>
        </w:rPr>
      </w:pPr>
      <w:r w:rsidRPr="005159AA">
        <w:rPr>
          <w:b/>
          <w:lang w:val="en-AU"/>
        </w:rPr>
        <w:t xml:space="preserve">Supplementary figure </w:t>
      </w:r>
      <w:r w:rsidR="001B2B82">
        <w:rPr>
          <w:b/>
          <w:lang w:val="en-AU"/>
        </w:rPr>
        <w:t>2</w:t>
      </w:r>
      <w:r w:rsidRPr="005159AA">
        <w:rPr>
          <w:b/>
          <w:lang w:val="en-AU"/>
        </w:rPr>
        <w:t>: CD45</w:t>
      </w:r>
      <w:r w:rsidR="00392CD7" w:rsidRPr="00DA2EC1">
        <w:rPr>
          <w:b/>
          <w:vertAlign w:val="superscript"/>
          <w:lang w:val="en-AU"/>
        </w:rPr>
        <w:t>low</w:t>
      </w:r>
      <w:r w:rsidR="00392CD7" w:rsidRPr="005159AA">
        <w:rPr>
          <w:b/>
          <w:lang w:val="en-AU"/>
        </w:rPr>
        <w:t xml:space="preserve"> </w:t>
      </w:r>
      <w:proofErr w:type="spellStart"/>
      <w:r w:rsidRPr="005159AA">
        <w:rPr>
          <w:b/>
          <w:lang w:val="en-AU"/>
        </w:rPr>
        <w:t>FceRIa</w:t>
      </w:r>
      <w:proofErr w:type="spellEnd"/>
      <w:r w:rsidRPr="00DA2EC1">
        <w:rPr>
          <w:b/>
          <w:vertAlign w:val="superscript"/>
          <w:lang w:val="en-AU"/>
        </w:rPr>
        <w:t>+</w:t>
      </w:r>
      <w:r w:rsidRPr="005159AA">
        <w:rPr>
          <w:b/>
          <w:lang w:val="en-AU"/>
        </w:rPr>
        <w:t xml:space="preserve"> B8xiDTR basophils are depleted ex vivo by DT</w:t>
      </w:r>
    </w:p>
    <w:p w14:paraId="1F7F127E" w14:textId="7B4F68D6" w:rsidR="005159AA" w:rsidRDefault="00A31CFC" w:rsidP="00A31CFC">
      <w:pPr>
        <w:rPr>
          <w:lang w:val="en-AU"/>
        </w:rPr>
      </w:pPr>
      <w:r>
        <w:rPr>
          <w:lang w:val="en-AU"/>
        </w:rPr>
        <w:t xml:space="preserve">Whole splenocytes </w:t>
      </w:r>
      <w:r w:rsidR="006F6382">
        <w:rPr>
          <w:lang w:val="en-AU"/>
        </w:rPr>
        <w:t xml:space="preserve">from </w:t>
      </w:r>
      <w:r>
        <w:rPr>
          <w:lang w:val="en-AU"/>
        </w:rPr>
        <w:t xml:space="preserve">B8xiDTR or B8xC57 mice were stimulated for 24h with DT or not. </w:t>
      </w:r>
      <w:r w:rsidR="005159AA">
        <w:rPr>
          <w:lang w:val="en-AU"/>
        </w:rPr>
        <w:t xml:space="preserve">Basophil phenotype was analysed by flow cytometry. Dot plots </w:t>
      </w:r>
      <w:r w:rsidR="00315E7E">
        <w:rPr>
          <w:lang w:val="en-AU"/>
        </w:rPr>
        <w:t>show</w:t>
      </w:r>
      <w:r w:rsidR="00D57E80">
        <w:rPr>
          <w:lang w:val="en-AU"/>
        </w:rPr>
        <w:t xml:space="preserve"> non</w:t>
      </w:r>
      <w:r w:rsidR="00315E7E">
        <w:rPr>
          <w:lang w:val="en-AU"/>
        </w:rPr>
        <w:t>-</w:t>
      </w:r>
      <w:r w:rsidR="00D57E80">
        <w:rPr>
          <w:lang w:val="en-AU"/>
        </w:rPr>
        <w:t>B non</w:t>
      </w:r>
      <w:r w:rsidR="00315E7E">
        <w:rPr>
          <w:lang w:val="en-AU"/>
        </w:rPr>
        <w:t>-</w:t>
      </w:r>
      <w:r w:rsidR="00D57E80">
        <w:rPr>
          <w:lang w:val="en-AU"/>
        </w:rPr>
        <w:t xml:space="preserve">T cells </w:t>
      </w:r>
      <w:r w:rsidR="00315E7E">
        <w:rPr>
          <w:lang w:val="en-AU"/>
        </w:rPr>
        <w:t xml:space="preserve">and </w:t>
      </w:r>
      <w:r w:rsidR="005159AA">
        <w:rPr>
          <w:lang w:val="en-AU"/>
        </w:rPr>
        <w:t>are representative of at least 2 experiments (n=3)</w:t>
      </w:r>
    </w:p>
    <w:p w14:paraId="33D5E85E" w14:textId="2F445E5E" w:rsidR="005159AA" w:rsidRDefault="005159AA">
      <w:pPr>
        <w:rPr>
          <w:lang w:val="en-AU"/>
        </w:rPr>
      </w:pPr>
      <w:r>
        <w:rPr>
          <w:lang w:val="en-AU"/>
        </w:rPr>
        <w:br w:type="page"/>
      </w:r>
    </w:p>
    <w:p w14:paraId="6CE5049A" w14:textId="759C6D7F" w:rsidR="00D57E80" w:rsidRDefault="00D57E80">
      <w:pPr>
        <w:rPr>
          <w:lang w:val="en-AU"/>
        </w:rPr>
      </w:pPr>
      <w:r w:rsidRPr="00D57E80">
        <w:rPr>
          <w:noProof/>
          <w:lang w:val="en-US"/>
        </w:rPr>
        <w:lastRenderedPageBreak/>
        <w:drawing>
          <wp:inline distT="0" distB="0" distL="0" distR="0" wp14:anchorId="44A8A481" wp14:editId="00AFDC20">
            <wp:extent cx="5727700" cy="3534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191FC" w14:textId="0C2ED050" w:rsidR="00D57E80" w:rsidRDefault="00D57E80">
      <w:pPr>
        <w:rPr>
          <w:lang w:val="en-AU"/>
        </w:rPr>
      </w:pPr>
    </w:p>
    <w:p w14:paraId="7AFA318D" w14:textId="6B4BD9AB" w:rsidR="00D57E80" w:rsidRDefault="00D57E80">
      <w:pPr>
        <w:rPr>
          <w:lang w:val="en-AU"/>
        </w:rPr>
      </w:pPr>
    </w:p>
    <w:p w14:paraId="57EA613E" w14:textId="63E4A552" w:rsidR="00D57E80" w:rsidRDefault="00D57E80">
      <w:pPr>
        <w:rPr>
          <w:lang w:val="en-AU"/>
        </w:rPr>
      </w:pPr>
      <w:r w:rsidRPr="00D57E80">
        <w:rPr>
          <w:b/>
          <w:u w:val="single"/>
          <w:lang w:val="en-AU"/>
        </w:rPr>
        <w:t xml:space="preserve">Supplementary figure </w:t>
      </w:r>
      <w:r w:rsidR="001B2B82">
        <w:rPr>
          <w:b/>
          <w:u w:val="single"/>
          <w:lang w:val="en-AU"/>
        </w:rPr>
        <w:t>3</w:t>
      </w:r>
      <w:r w:rsidRPr="00D57E80">
        <w:rPr>
          <w:b/>
          <w:u w:val="single"/>
          <w:lang w:val="en-AU"/>
        </w:rPr>
        <w:t>:</w:t>
      </w:r>
      <w:r>
        <w:rPr>
          <w:lang w:val="en-AU"/>
        </w:rPr>
        <w:t xml:space="preserve"> </w:t>
      </w:r>
      <w:r w:rsidRPr="00D57E80">
        <w:rPr>
          <w:b/>
          <w:lang w:val="en-AU"/>
        </w:rPr>
        <w:t>Basophils are depleted by DT specifically in B8xiDTR mice ex vivo</w:t>
      </w:r>
    </w:p>
    <w:p w14:paraId="755831FC" w14:textId="14637BFE" w:rsidR="00D57E80" w:rsidRPr="00606CE2" w:rsidRDefault="00D57E80" w:rsidP="00D57E80">
      <w:pPr>
        <w:rPr>
          <w:lang w:val="en-AU"/>
        </w:rPr>
      </w:pPr>
      <w:r>
        <w:rPr>
          <w:lang w:val="en-AU"/>
        </w:rPr>
        <w:t xml:space="preserve">A) </w:t>
      </w:r>
      <w:proofErr w:type="spellStart"/>
      <w:r>
        <w:rPr>
          <w:lang w:val="en-AU"/>
        </w:rPr>
        <w:t>eYFP</w:t>
      </w:r>
      <w:proofErr w:type="spellEnd"/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r w:rsidR="006F6382">
        <w:rPr>
          <w:lang w:val="en-AU"/>
        </w:rPr>
        <w:t>b</w:t>
      </w:r>
      <w:r>
        <w:rPr>
          <w:lang w:val="en-AU"/>
        </w:rPr>
        <w:t>asophils, Ly6G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SiglecF</w:t>
      </w:r>
      <w:proofErr w:type="spellEnd"/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SSC</w:t>
      </w:r>
      <w:r w:rsidRPr="00315E7E">
        <w:rPr>
          <w:vertAlign w:val="superscript"/>
          <w:lang w:val="en-AU"/>
        </w:rPr>
        <w:t>hi</w:t>
      </w:r>
      <w:proofErr w:type="spellEnd"/>
      <w:r>
        <w:rPr>
          <w:lang w:val="en-AU"/>
        </w:rPr>
        <w:t xml:space="preserve"> eosinophils, B220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MHCII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B cells, CD3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>NK1.1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NK cells, CD11b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Ly6G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r w:rsidR="006F6382">
        <w:rPr>
          <w:lang w:val="en-AU"/>
        </w:rPr>
        <w:t>n</w:t>
      </w:r>
      <w:r>
        <w:rPr>
          <w:lang w:val="en-AU"/>
        </w:rPr>
        <w:t>eutrophils, CD3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SiglecF</w:t>
      </w:r>
      <w:proofErr w:type="spellEnd"/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Ly6G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CD11b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CX3CR1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Ly6C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or  Ly6C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monocytes, CD3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CD4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or CD8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T cells, and CD3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B220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CD11c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CD11b</w:t>
      </w:r>
      <w:r w:rsidRPr="00315E7E">
        <w:rPr>
          <w:vertAlign w:val="superscript"/>
          <w:lang w:val="en-AU"/>
        </w:rPr>
        <w:t xml:space="preserve">- </w:t>
      </w:r>
      <w:r>
        <w:rPr>
          <w:lang w:val="en-AU"/>
        </w:rPr>
        <w:t>Ly6C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pDC</w:t>
      </w:r>
      <w:proofErr w:type="spellEnd"/>
      <w:r>
        <w:rPr>
          <w:lang w:val="en-AU"/>
        </w:rPr>
        <w:t xml:space="preserve"> numbers were quantified by flow cytometry after stimulation for 24h of whole femur bone marrow of B8xiDTR or B8xC57 mice with increasing doses of DT. B) </w:t>
      </w:r>
      <w:proofErr w:type="spellStart"/>
      <w:r>
        <w:rPr>
          <w:lang w:val="en-AU"/>
        </w:rPr>
        <w:t>eYFP</w:t>
      </w:r>
      <w:proofErr w:type="spellEnd"/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r w:rsidR="006F6382">
        <w:rPr>
          <w:lang w:val="en-AU"/>
        </w:rPr>
        <w:t>b</w:t>
      </w:r>
      <w:r>
        <w:rPr>
          <w:lang w:val="en-AU"/>
        </w:rPr>
        <w:t xml:space="preserve">asophils, </w:t>
      </w:r>
      <w:proofErr w:type="spellStart"/>
      <w:r>
        <w:rPr>
          <w:lang w:val="en-AU"/>
        </w:rPr>
        <w:t>SiglecF</w:t>
      </w:r>
      <w:proofErr w:type="spellEnd"/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SSC</w:t>
      </w:r>
      <w:r w:rsidRPr="00315E7E">
        <w:rPr>
          <w:vertAlign w:val="superscript"/>
          <w:lang w:val="en-AU"/>
        </w:rPr>
        <w:t>hi</w:t>
      </w:r>
      <w:proofErr w:type="spellEnd"/>
      <w:r w:rsidRPr="00315E7E">
        <w:rPr>
          <w:vertAlign w:val="superscript"/>
          <w:lang w:val="en-AU"/>
        </w:rPr>
        <w:t xml:space="preserve"> </w:t>
      </w:r>
      <w:r>
        <w:rPr>
          <w:lang w:val="en-AU"/>
        </w:rPr>
        <w:t>eosinophils, B220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MHCII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B cells, CD3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>NK1.1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NK cells, CD11b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Ly6G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r w:rsidR="006F6382">
        <w:rPr>
          <w:lang w:val="en-AU"/>
        </w:rPr>
        <w:t>n</w:t>
      </w:r>
      <w:r>
        <w:rPr>
          <w:lang w:val="en-AU"/>
        </w:rPr>
        <w:t>eutrophils, CD3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SiglecF</w:t>
      </w:r>
      <w:proofErr w:type="spellEnd"/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Ly6G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CD11b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Ly6C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monocytes, CD3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CD4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or CD8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T cells, and CD3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B220</w:t>
      </w:r>
      <w:r w:rsidRPr="00315E7E">
        <w:rPr>
          <w:vertAlign w:val="superscript"/>
          <w:lang w:val="en-AU"/>
        </w:rPr>
        <w:t>-</w:t>
      </w:r>
      <w:r>
        <w:rPr>
          <w:lang w:val="en-AU"/>
        </w:rPr>
        <w:t xml:space="preserve"> CD11c</w:t>
      </w:r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MHCII</w:t>
      </w:r>
      <w:r w:rsidRPr="00315E7E">
        <w:rPr>
          <w:vertAlign w:val="superscript"/>
          <w:lang w:val="en-AU"/>
        </w:rPr>
        <w:t>hi</w:t>
      </w:r>
      <w:proofErr w:type="spellEnd"/>
      <w:r>
        <w:rPr>
          <w:lang w:val="en-AU"/>
        </w:rPr>
        <w:t xml:space="preserve"> DCs numbers were quantified by flow cytometry after stimulation for 24h of whole splenocytes of B8xiDTR or B8xC57 mice with increasing doses of DT. </w:t>
      </w:r>
      <w:r w:rsidRPr="00606CE2">
        <w:rPr>
          <w:lang w:val="en-AU"/>
        </w:rPr>
        <w:t>Data are from two independent experiments giving similar results</w:t>
      </w:r>
      <w:r>
        <w:rPr>
          <w:lang w:val="en-AU"/>
        </w:rPr>
        <w:t xml:space="preserve"> (n=6).</w:t>
      </w:r>
      <w:r w:rsidRPr="00606CE2">
        <w:rPr>
          <w:lang w:val="en-AU"/>
        </w:rPr>
        <w:t xml:space="preserve"> Statistical analyses are </w:t>
      </w:r>
      <w:proofErr w:type="gramStart"/>
      <w:r>
        <w:rPr>
          <w:lang w:val="en-AU"/>
        </w:rPr>
        <w:t>A,B</w:t>
      </w:r>
      <w:proofErr w:type="gramEnd"/>
      <w:r>
        <w:rPr>
          <w:lang w:val="en-AU"/>
        </w:rPr>
        <w:t xml:space="preserve">)  </w:t>
      </w:r>
      <w:r w:rsidRPr="00606CE2">
        <w:rPr>
          <w:lang w:val="en-AU"/>
        </w:rPr>
        <w:t xml:space="preserve">a two-way ANOVA with a </w:t>
      </w:r>
      <w:proofErr w:type="spellStart"/>
      <w:r>
        <w:rPr>
          <w:lang w:val="en-AU"/>
        </w:rPr>
        <w:t>Sidak</w:t>
      </w:r>
      <w:proofErr w:type="spellEnd"/>
      <w:r w:rsidRPr="00606CE2">
        <w:rPr>
          <w:lang w:val="en-AU"/>
        </w:rPr>
        <w:t xml:space="preserve"> post-test comparing </w:t>
      </w:r>
      <w:r>
        <w:rPr>
          <w:lang w:val="en-AU"/>
        </w:rPr>
        <w:t>matched stimulated conditions its unstimulated condition (s</w:t>
      </w:r>
      <w:r w:rsidRPr="00606CE2">
        <w:rPr>
          <w:lang w:val="en-AU"/>
        </w:rPr>
        <w:t xml:space="preserve">hown </w:t>
      </w:r>
      <w:r>
        <w:rPr>
          <w:lang w:val="en-AU"/>
        </w:rPr>
        <w:t xml:space="preserve">are </w:t>
      </w:r>
      <w:r w:rsidRPr="00606CE2">
        <w:rPr>
          <w:lang w:val="en-AU"/>
        </w:rPr>
        <w:t>the p value</w:t>
      </w:r>
      <w:r>
        <w:rPr>
          <w:lang w:val="en-AU"/>
        </w:rPr>
        <w:t xml:space="preserve"> for the B8xiDTR genotype as the B8xC57 genotype never gave any significant change).</w:t>
      </w:r>
      <w:r w:rsidRPr="00606CE2">
        <w:rPr>
          <w:lang w:val="en-AU"/>
        </w:rPr>
        <w:t xml:space="preserve"> Ns: Non significant; </w:t>
      </w:r>
      <w:r>
        <w:rPr>
          <w:lang w:val="en-AU"/>
        </w:rPr>
        <w:t>*: p&lt;</w:t>
      </w:r>
      <w:proofErr w:type="gramStart"/>
      <w:r>
        <w:rPr>
          <w:lang w:val="en-AU"/>
        </w:rPr>
        <w:t>0.05 ;</w:t>
      </w:r>
      <w:proofErr w:type="gramEnd"/>
      <w:r>
        <w:rPr>
          <w:lang w:val="en-AU"/>
        </w:rPr>
        <w:t xml:space="preserve"> </w:t>
      </w:r>
      <w:r w:rsidRPr="00606CE2">
        <w:rPr>
          <w:lang w:val="en-AU"/>
        </w:rPr>
        <w:t>**** : p&lt;0.0001</w:t>
      </w:r>
    </w:p>
    <w:p w14:paraId="04B773BF" w14:textId="77777777" w:rsidR="00D57E80" w:rsidRDefault="00D57E80">
      <w:pPr>
        <w:rPr>
          <w:lang w:val="en-AU"/>
        </w:rPr>
      </w:pPr>
    </w:p>
    <w:p w14:paraId="59F2E5E1" w14:textId="4A3941E0" w:rsidR="00A31CFC" w:rsidRDefault="005159AA" w:rsidP="00A31CFC">
      <w:pPr>
        <w:rPr>
          <w:lang w:val="en-AU"/>
        </w:rPr>
      </w:pPr>
      <w:r w:rsidRPr="005159AA">
        <w:rPr>
          <w:noProof/>
          <w:lang w:val="en-US"/>
        </w:rPr>
        <w:lastRenderedPageBreak/>
        <w:drawing>
          <wp:inline distT="0" distB="0" distL="0" distR="0" wp14:anchorId="3C107A5A" wp14:editId="0E5ABE0A">
            <wp:extent cx="5727700" cy="3573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09B7" w14:textId="55A720EA" w:rsidR="005159AA" w:rsidRPr="005159AA" w:rsidRDefault="005159AA" w:rsidP="00A31CFC">
      <w:pPr>
        <w:rPr>
          <w:b/>
          <w:lang w:val="en-AU"/>
        </w:rPr>
      </w:pPr>
      <w:r w:rsidRPr="005159AA">
        <w:rPr>
          <w:b/>
          <w:lang w:val="en-AU"/>
        </w:rPr>
        <w:t xml:space="preserve">Supplementary figure </w:t>
      </w:r>
      <w:r w:rsidR="001B2B82">
        <w:rPr>
          <w:b/>
          <w:lang w:val="en-AU"/>
        </w:rPr>
        <w:t>4</w:t>
      </w:r>
      <w:r w:rsidRPr="005159AA">
        <w:rPr>
          <w:b/>
          <w:lang w:val="en-AU"/>
        </w:rPr>
        <w:t xml:space="preserve">: </w:t>
      </w:r>
      <w:proofErr w:type="spellStart"/>
      <w:r w:rsidRPr="005159AA">
        <w:rPr>
          <w:b/>
          <w:lang w:val="en-AU"/>
        </w:rPr>
        <w:t>Nb</w:t>
      </w:r>
      <w:proofErr w:type="spellEnd"/>
      <w:r w:rsidRPr="005159AA">
        <w:rPr>
          <w:b/>
          <w:lang w:val="en-AU"/>
        </w:rPr>
        <w:t xml:space="preserve"> induced </w:t>
      </w:r>
      <w:proofErr w:type="spellStart"/>
      <w:r w:rsidRPr="005159AA">
        <w:rPr>
          <w:b/>
          <w:lang w:val="en-AU"/>
        </w:rPr>
        <w:t>basophilia</w:t>
      </w:r>
      <w:proofErr w:type="spellEnd"/>
      <w:r w:rsidRPr="005159AA">
        <w:rPr>
          <w:b/>
          <w:lang w:val="en-AU"/>
        </w:rPr>
        <w:t xml:space="preserve"> is depletable by DT treatment of B8xiDTR mice</w:t>
      </w:r>
    </w:p>
    <w:p w14:paraId="14564C20" w14:textId="47988315" w:rsidR="005159AA" w:rsidRDefault="005159AA" w:rsidP="00A31CFC">
      <w:pPr>
        <w:rPr>
          <w:lang w:val="en-AU"/>
        </w:rPr>
      </w:pPr>
      <w:r>
        <w:rPr>
          <w:lang w:val="en-AU"/>
        </w:rPr>
        <w:t xml:space="preserve">B8xiDTR or B8xC57 mice were treated with 50ng/g/day of DT beginning at </w:t>
      </w:r>
      <w:r w:rsidR="00315E7E">
        <w:rPr>
          <w:lang w:val="en-AU"/>
        </w:rPr>
        <w:t xml:space="preserve">day </w:t>
      </w:r>
      <w:r>
        <w:rPr>
          <w:lang w:val="en-AU"/>
        </w:rPr>
        <w:t xml:space="preserve">-3 before the injection of 550 iL3 </w:t>
      </w:r>
      <w:r w:rsidRPr="00DA2EC1">
        <w:rPr>
          <w:i/>
          <w:lang w:val="en-AU"/>
        </w:rPr>
        <w:t xml:space="preserve">N. </w:t>
      </w:r>
      <w:proofErr w:type="spellStart"/>
      <w:r w:rsidRPr="00DA2EC1">
        <w:rPr>
          <w:i/>
          <w:lang w:val="en-AU"/>
        </w:rPr>
        <w:t>brasiliensis</w:t>
      </w:r>
      <w:proofErr w:type="spellEnd"/>
      <w:r>
        <w:rPr>
          <w:lang w:val="en-AU"/>
        </w:rPr>
        <w:t xml:space="preserve"> subcutaneously. Blood was harvested at the indicated time points and the number of </w:t>
      </w:r>
      <w:proofErr w:type="spellStart"/>
      <w:r>
        <w:rPr>
          <w:lang w:val="en-AU"/>
        </w:rPr>
        <w:t>eYFP</w:t>
      </w:r>
      <w:proofErr w:type="spellEnd"/>
      <w:r w:rsidRPr="00315E7E">
        <w:rPr>
          <w:vertAlign w:val="superscript"/>
          <w:lang w:val="en-AU"/>
        </w:rPr>
        <w:t>+</w:t>
      </w:r>
      <w:r>
        <w:rPr>
          <w:lang w:val="en-AU"/>
        </w:rPr>
        <w:t xml:space="preserve"> basophils quantified by flow cytometry among peripheral blood leu</w:t>
      </w:r>
      <w:r w:rsidR="006F6382">
        <w:rPr>
          <w:lang w:val="en-AU"/>
        </w:rPr>
        <w:t>k</w:t>
      </w:r>
      <w:r>
        <w:rPr>
          <w:lang w:val="en-AU"/>
        </w:rPr>
        <w:t>ocytes (PBL). n=5. Shown are Means + SEM</w:t>
      </w:r>
    </w:p>
    <w:bookmarkEnd w:id="0"/>
    <w:p w14:paraId="134BBA42" w14:textId="77777777" w:rsidR="00A31CFC" w:rsidRPr="00A31CFC" w:rsidRDefault="00A31CFC">
      <w:pPr>
        <w:rPr>
          <w:lang w:val="en-AU"/>
        </w:rPr>
      </w:pPr>
    </w:p>
    <w:sectPr w:rsidR="00A31CFC" w:rsidRPr="00A31CFC" w:rsidSect="004477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FC"/>
    <w:rsid w:val="00006071"/>
    <w:rsid w:val="000069D2"/>
    <w:rsid w:val="0000721C"/>
    <w:rsid w:val="00027A7E"/>
    <w:rsid w:val="000424DF"/>
    <w:rsid w:val="0006426C"/>
    <w:rsid w:val="000E0A57"/>
    <w:rsid w:val="001004F9"/>
    <w:rsid w:val="0014182B"/>
    <w:rsid w:val="0019048C"/>
    <w:rsid w:val="001B2B82"/>
    <w:rsid w:val="001B48D0"/>
    <w:rsid w:val="001B795F"/>
    <w:rsid w:val="001C2A28"/>
    <w:rsid w:val="00203559"/>
    <w:rsid w:val="002059F1"/>
    <w:rsid w:val="002142BD"/>
    <w:rsid w:val="00217A32"/>
    <w:rsid w:val="002375CC"/>
    <w:rsid w:val="00251B03"/>
    <w:rsid w:val="00257D2C"/>
    <w:rsid w:val="002C261D"/>
    <w:rsid w:val="002F3E1B"/>
    <w:rsid w:val="00304752"/>
    <w:rsid w:val="00315E7E"/>
    <w:rsid w:val="00392CD7"/>
    <w:rsid w:val="003A051E"/>
    <w:rsid w:val="003A3201"/>
    <w:rsid w:val="003C2A89"/>
    <w:rsid w:val="003F409A"/>
    <w:rsid w:val="004371D3"/>
    <w:rsid w:val="00447729"/>
    <w:rsid w:val="00494047"/>
    <w:rsid w:val="00494F95"/>
    <w:rsid w:val="004B0A40"/>
    <w:rsid w:val="004C61D7"/>
    <w:rsid w:val="004C6542"/>
    <w:rsid w:val="00513148"/>
    <w:rsid w:val="005159AA"/>
    <w:rsid w:val="005626FC"/>
    <w:rsid w:val="005845E5"/>
    <w:rsid w:val="0059137B"/>
    <w:rsid w:val="005A5213"/>
    <w:rsid w:val="005A75ED"/>
    <w:rsid w:val="005B697B"/>
    <w:rsid w:val="005C7397"/>
    <w:rsid w:val="005D050A"/>
    <w:rsid w:val="005D3405"/>
    <w:rsid w:val="0061432C"/>
    <w:rsid w:val="006510A1"/>
    <w:rsid w:val="006602C4"/>
    <w:rsid w:val="00670155"/>
    <w:rsid w:val="00680ABB"/>
    <w:rsid w:val="00695F4F"/>
    <w:rsid w:val="006A0080"/>
    <w:rsid w:val="006B20DC"/>
    <w:rsid w:val="006C0655"/>
    <w:rsid w:val="006D2A2B"/>
    <w:rsid w:val="006F4D29"/>
    <w:rsid w:val="006F6382"/>
    <w:rsid w:val="0070050F"/>
    <w:rsid w:val="00744178"/>
    <w:rsid w:val="00745745"/>
    <w:rsid w:val="0076610A"/>
    <w:rsid w:val="00770489"/>
    <w:rsid w:val="00780677"/>
    <w:rsid w:val="00783D07"/>
    <w:rsid w:val="007F4FB1"/>
    <w:rsid w:val="007F72BF"/>
    <w:rsid w:val="008903FD"/>
    <w:rsid w:val="008A7405"/>
    <w:rsid w:val="008C3272"/>
    <w:rsid w:val="008D7513"/>
    <w:rsid w:val="008F0CF4"/>
    <w:rsid w:val="00953C88"/>
    <w:rsid w:val="009911EA"/>
    <w:rsid w:val="009C56A8"/>
    <w:rsid w:val="009C6132"/>
    <w:rsid w:val="009D2266"/>
    <w:rsid w:val="00A218DA"/>
    <w:rsid w:val="00A233DC"/>
    <w:rsid w:val="00A31CFC"/>
    <w:rsid w:val="00A3216E"/>
    <w:rsid w:val="00A4089A"/>
    <w:rsid w:val="00A6086E"/>
    <w:rsid w:val="00A765A8"/>
    <w:rsid w:val="00A867C8"/>
    <w:rsid w:val="00A97A35"/>
    <w:rsid w:val="00AD7733"/>
    <w:rsid w:val="00B15609"/>
    <w:rsid w:val="00B26ED4"/>
    <w:rsid w:val="00B3504D"/>
    <w:rsid w:val="00B36D36"/>
    <w:rsid w:val="00B42607"/>
    <w:rsid w:val="00B736EB"/>
    <w:rsid w:val="00B9292A"/>
    <w:rsid w:val="00BC261D"/>
    <w:rsid w:val="00BD5BB3"/>
    <w:rsid w:val="00BE61B8"/>
    <w:rsid w:val="00BF24C4"/>
    <w:rsid w:val="00C808EA"/>
    <w:rsid w:val="00CA0D82"/>
    <w:rsid w:val="00CB00BE"/>
    <w:rsid w:val="00CB1B49"/>
    <w:rsid w:val="00CB6C2B"/>
    <w:rsid w:val="00CD12E0"/>
    <w:rsid w:val="00D04594"/>
    <w:rsid w:val="00D51EE5"/>
    <w:rsid w:val="00D538A0"/>
    <w:rsid w:val="00D54E4F"/>
    <w:rsid w:val="00D57E80"/>
    <w:rsid w:val="00D85004"/>
    <w:rsid w:val="00D9399A"/>
    <w:rsid w:val="00DA2EC1"/>
    <w:rsid w:val="00DF599A"/>
    <w:rsid w:val="00E11992"/>
    <w:rsid w:val="00E14930"/>
    <w:rsid w:val="00E6358F"/>
    <w:rsid w:val="00E75D16"/>
    <w:rsid w:val="00E76607"/>
    <w:rsid w:val="00E972B7"/>
    <w:rsid w:val="00EB630A"/>
    <w:rsid w:val="00EC2ADE"/>
    <w:rsid w:val="00EE3FD9"/>
    <w:rsid w:val="00EF760E"/>
    <w:rsid w:val="00F43717"/>
    <w:rsid w:val="00F740A9"/>
    <w:rsid w:val="00F751CC"/>
    <w:rsid w:val="00F77C51"/>
    <w:rsid w:val="00F81BE7"/>
    <w:rsid w:val="00F8711B"/>
    <w:rsid w:val="00F9304D"/>
    <w:rsid w:val="00FA7E06"/>
    <w:rsid w:val="00FB3CBE"/>
    <w:rsid w:val="00FE0DE1"/>
    <w:rsid w:val="00FF34B8"/>
    <w:rsid w:val="00FF5884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FD8D0"/>
  <w14:defaultImageDpi w14:val="32767"/>
  <w15:docId w15:val="{C10359CA-FB15-A145-A58E-F4EBE1F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7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C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C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C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D2524-4EBF-E74E-881A-6612F3EC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2019-08-07T02:26:00Z</dcterms:created>
  <dcterms:modified xsi:type="dcterms:W3CDTF">2019-08-07T02:27:00Z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