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4625" w14:textId="311635CC" w:rsidR="00104A43" w:rsidRPr="00E16A02" w:rsidRDefault="00104A43" w:rsidP="00BD4FB8">
      <w:pPr>
        <w:spacing w:after="0" w:line="240" w:lineRule="auto"/>
        <w:rPr>
          <w:b/>
          <w:sz w:val="14"/>
        </w:rPr>
      </w:pPr>
    </w:p>
    <w:tbl>
      <w:tblPr>
        <w:tblpPr w:leftFromText="180" w:rightFromText="180" w:vertAnchor="text" w:horzAnchor="margin" w:tblpY="-71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BD4FB8" w:rsidRPr="0025711C" w14:paraId="130FF043" w14:textId="77777777" w:rsidTr="00BD4FB8">
        <w:trPr>
          <w:trHeight w:val="361"/>
        </w:trPr>
        <w:tc>
          <w:tcPr>
            <w:tcW w:w="15730" w:type="dxa"/>
            <w:gridSpan w:val="12"/>
            <w:tcBorders>
              <w:bottom w:val="single" w:sz="4" w:space="0" w:color="auto"/>
            </w:tcBorders>
            <w:shd w:val="clear" w:color="000000" w:fill="auto"/>
          </w:tcPr>
          <w:p w14:paraId="73BF759D" w14:textId="060ED7C4" w:rsidR="00BD4FB8" w:rsidRPr="00F1659A" w:rsidRDefault="00BD4FB8" w:rsidP="00435564">
            <w:pPr>
              <w:spacing w:after="0" w:line="240" w:lineRule="auto"/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</w:pPr>
            <w:r w:rsidRPr="007B6C1E">
              <w:rPr>
                <w:b/>
              </w:rPr>
              <w:t>Table</w:t>
            </w:r>
            <w:r>
              <w:rPr>
                <w:b/>
              </w:rPr>
              <w:t xml:space="preserve"> </w:t>
            </w:r>
            <w:r w:rsidR="008813C8">
              <w:rPr>
                <w:b/>
              </w:rPr>
              <w:t>S</w:t>
            </w:r>
            <w:r w:rsidR="00435564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.</w:t>
            </w:r>
            <w:r w:rsidRPr="007B6C1E">
              <w:rPr>
                <w:b/>
              </w:rPr>
              <w:t xml:space="preserve"> </w:t>
            </w:r>
            <w:r>
              <w:rPr>
                <w:b/>
              </w:rPr>
              <w:t>Main c</w:t>
            </w:r>
            <w:r w:rsidRPr="007B6C1E">
              <w:rPr>
                <w:b/>
              </w:rPr>
              <w:t xml:space="preserve">haracteristics </w:t>
            </w:r>
            <w:r>
              <w:rPr>
                <w:b/>
              </w:rPr>
              <w:t>of included studies</w:t>
            </w:r>
          </w:p>
        </w:tc>
      </w:tr>
      <w:tr w:rsidR="00104A43" w:rsidRPr="0025711C" w14:paraId="7074E685" w14:textId="77777777" w:rsidTr="00BD4FB8">
        <w:trPr>
          <w:trHeight w:val="361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EB8BE99" w14:textId="1BBE1CF6" w:rsidR="00104A43" w:rsidRPr="00F1659A" w:rsidRDefault="00F1659A" w:rsidP="00C40F7D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val="en-GB" w:eastAsia="de-CH"/>
              </w:rPr>
            </w:pPr>
            <w:r w:rsidRPr="00F1659A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Acquired angioedema with C1</w:t>
            </w:r>
            <w:r w:rsidR="00C40F7D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-</w:t>
            </w:r>
            <w:r w:rsidRPr="00F1659A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inhibitor deficiency</w:t>
            </w:r>
          </w:p>
        </w:tc>
      </w:tr>
      <w:tr w:rsidR="00104A43" w:rsidRPr="0025711C" w14:paraId="41D13989" w14:textId="77777777" w:rsidTr="00E16A02">
        <w:trPr>
          <w:trHeight w:val="4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FBC6E95" w14:textId="77777777" w:rsidR="00104A43" w:rsidRPr="0025711C" w:rsidRDefault="00104A43" w:rsidP="00104A4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AEB241F" w14:textId="77777777" w:rsidR="00104A43" w:rsidRPr="0025711C" w:rsidRDefault="00104A43" w:rsidP="00104A4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9D57281" w14:textId="77777777" w:rsidR="00104A43" w:rsidRPr="0025711C" w:rsidRDefault="00104A43" w:rsidP="00104A4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C96B661" w14:textId="77777777" w:rsidR="00104A43" w:rsidRPr="0025711C" w:rsidRDefault="00104A43" w:rsidP="00104A4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CDF4FEE" w14:textId="77777777" w:rsidR="00104A43" w:rsidRPr="0025711C" w:rsidRDefault="00104A43" w:rsidP="00104A4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E0A02C6" w14:textId="77777777" w:rsidR="00104A43" w:rsidRPr="0025711C" w:rsidRDefault="00104A43" w:rsidP="00B00DCD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119514E" w14:textId="77777777" w:rsidR="00104A43" w:rsidRPr="0025711C" w:rsidRDefault="00104A43" w:rsidP="00B00DCD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350DC0E" w14:textId="77777777" w:rsidR="00104A43" w:rsidRPr="0025711C" w:rsidRDefault="00104A43" w:rsidP="00B00DCD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016B9D6" w14:textId="77777777" w:rsidR="00104A43" w:rsidRPr="0025711C" w:rsidRDefault="00104A43" w:rsidP="00B00DCD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2E41BCA" w14:textId="77777777" w:rsidR="00104A43" w:rsidRPr="0025711C" w:rsidRDefault="00B00DCD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</w:t>
            </w:r>
            <w:r w:rsidR="001D4D68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dverse 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</w:t>
            </w:r>
            <w:r w:rsidR="001D4D68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vents</w:t>
            </w:r>
            <w:r w:rsidR="0073674C"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40ACE14" w14:textId="77777777" w:rsidR="00104A43" w:rsidRPr="0025711C" w:rsidRDefault="0073674C" w:rsidP="0073674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D90A9DC" w14:textId="77777777" w:rsidR="00104A43" w:rsidRPr="0025711C" w:rsidRDefault="0073674C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 w:rsidR="001D4D68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C56CE7" w:rsidRPr="0025711C" w14:paraId="76A06025" w14:textId="77777777" w:rsidTr="00E16A02">
        <w:trPr>
          <w:trHeight w:val="4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E5FA" w14:textId="7AD3764E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Levi et al., 2006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79B8" w14:textId="1D6E90CA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4FC7" w14:textId="35B55200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4729" w14:textId="0817A1D2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primary endpoint defined.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9669" w14:textId="0DA7A446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secondary endpoints defined.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B8E" w14:textId="7355C0A2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6662" w14:textId="3BCBF153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61" w14:textId="19F5DB57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D6B" w14:textId="07EC5873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C124" w14:textId="1109DDF7" w:rsidR="00C56CE7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1 patient with mild diffuse muscle and joint pain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1CD" w14:textId="42950A52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0980" w14:textId="6AB9D177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SAE</w:t>
            </w:r>
          </w:p>
        </w:tc>
      </w:tr>
      <w:tr w:rsidR="00C56CE7" w:rsidRPr="0025711C" w14:paraId="3CA6E867" w14:textId="77777777" w:rsidTr="00E16A02">
        <w:trPr>
          <w:trHeight w:val="4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177D" w14:textId="75A5AEB9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Busse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BB6C" w14:textId="702CF002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1419" w14:textId="07005FDC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four weeks (=one cycle). Repeated for various times.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D249" w14:textId="346A3A63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primary endpoint defined.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EDC5" w14:textId="6A4EBC08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secondary endpoints defined.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1B2" w14:textId="69907777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6F6B" w14:textId="6643F408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28F9" w14:textId="57F5D502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AEC7" w14:textId="0CF9A278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C55C" w14:textId="5FDA88EB" w:rsidR="00C56CE7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35AF" w14:textId="5DC38978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5D8E" w14:textId="317DA23A" w:rsidR="00C56CE7" w:rsidRPr="0025711C" w:rsidRDefault="00C56CE7" w:rsidP="00C56CE7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1E61DE" w:rsidRPr="0025711C" w14:paraId="21B01BAB" w14:textId="77777777" w:rsidTr="003D2AB9">
        <w:trPr>
          <w:trHeight w:val="474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34CBB09" w14:textId="6913D250" w:rsidR="001E61DE" w:rsidRPr="0025711C" w:rsidRDefault="00C56CE7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ANCA</w:t>
            </w:r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- associated</w:t>
            </w:r>
            <w:r w:rsidRPr="0025711C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 vasculitis</w:t>
            </w:r>
          </w:p>
        </w:tc>
      </w:tr>
      <w:tr w:rsidR="001E61DE" w:rsidRPr="0025711C" w14:paraId="1752A5E8" w14:textId="77777777" w:rsidTr="00E16A02">
        <w:trPr>
          <w:trHeight w:val="4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BAB6CD2" w14:textId="128CF972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A7A9519" w14:textId="454A3413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BB6ADA2" w14:textId="4ABC9671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A2FF99D" w14:textId="3FE44937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D87ED1A" w14:textId="33D9867E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29FDBF4" w14:textId="3B095C80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9C613DA" w14:textId="712E7456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EF487E8" w14:textId="1E31FF48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60EB6E8" w14:textId="7F1B2054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D8BC423" w14:textId="4EB4390A" w:rsidR="001E61DE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5F05519" w14:textId="72FD1EA7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FFD6683" w14:textId="738DEDB1" w:rsidR="001E61DE" w:rsidRPr="0025711C" w:rsidRDefault="001E61DE" w:rsidP="001E61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73674C" w:rsidRPr="00C07AD1" w14:paraId="709E2445" w14:textId="77777777" w:rsidTr="00E16A02">
        <w:trPr>
          <w:trHeight w:val="225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03BB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>Stone et al., 2010 (RAVE)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D0F0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>197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3CE9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>375mg/m</w:t>
            </w:r>
            <w:r w:rsidRPr="00EE7DB7">
              <w:rPr>
                <w:sz w:val="18"/>
                <w:vertAlign w:val="superscript"/>
              </w:rPr>
              <w:t>2</w:t>
            </w:r>
            <w:r w:rsidRPr="0073674C">
              <w:rPr>
                <w:sz w:val="18"/>
              </w:rPr>
              <w:t xml:space="preserve"> weekly for 4 weeks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998E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Remission of disease (BVAS/WG of 0) with successful </w:t>
            </w:r>
            <w:r w:rsidR="00EE7DB7">
              <w:rPr>
                <w:sz w:val="18"/>
              </w:rPr>
              <w:t>corticosteroid</w:t>
            </w:r>
            <w:r w:rsidRPr="0073674C">
              <w:rPr>
                <w:sz w:val="18"/>
              </w:rPr>
              <w:t xml:space="preserve"> taper at 6 months</w:t>
            </w:r>
            <w:r w:rsidR="00F06133">
              <w:rPr>
                <w:sz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8713" w14:textId="77777777" w:rsidR="0073674C" w:rsidRPr="0073674C" w:rsidRDefault="0073674C" w:rsidP="000D360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Rates of disease flares (increase in BVAS/WG of 1 point or more), BVAS/WG of 0 during treatment with </w:t>
            </w:r>
            <w:r w:rsidR="00EE7DB7">
              <w:rPr>
                <w:sz w:val="18"/>
              </w:rPr>
              <w:t>corticosteroid</w:t>
            </w:r>
            <w:r w:rsidRPr="0073674C">
              <w:rPr>
                <w:sz w:val="18"/>
              </w:rPr>
              <w:t xml:space="preserve"> at a dose of less than 10mg/d, cumulative </w:t>
            </w:r>
            <w:r w:rsidRPr="000D360C">
              <w:rPr>
                <w:sz w:val="18"/>
              </w:rPr>
              <w:t>glucocorticoid doses</w:t>
            </w:r>
            <w:r w:rsidRPr="0073674C">
              <w:rPr>
                <w:sz w:val="18"/>
              </w:rPr>
              <w:t xml:space="preserve">, rates of </w:t>
            </w:r>
            <w:r w:rsidR="000D360C">
              <w:rPr>
                <w:sz w:val="18"/>
              </w:rPr>
              <w:t>AEs</w:t>
            </w:r>
            <w:r w:rsidRPr="0073674C">
              <w:rPr>
                <w:sz w:val="18"/>
              </w:rPr>
              <w:t xml:space="preserve">, and SF-36 scores.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9701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64% </w:t>
            </w:r>
            <w:r w:rsidR="00B00DCD">
              <w:rPr>
                <w:sz w:val="18"/>
              </w:rPr>
              <w:t>of patients</w:t>
            </w:r>
            <w:r w:rsidRPr="0073674C">
              <w:rPr>
                <w:sz w:val="18"/>
              </w:rPr>
              <w:t xml:space="preserve"> reached disease remission (p=0.09).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E4F1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53% </w:t>
            </w:r>
            <w:r w:rsidR="00B00DCD">
              <w:rPr>
                <w:sz w:val="18"/>
              </w:rPr>
              <w:t>of patients</w:t>
            </w:r>
            <w:r w:rsidRPr="0073674C">
              <w:rPr>
                <w:sz w:val="18"/>
              </w:rPr>
              <w:t xml:space="preserve"> reached disease remission</w:t>
            </w:r>
            <w:r w:rsidR="00F06133">
              <w:rPr>
                <w:sz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DAC1" w14:textId="77777777" w:rsidR="0073674C" w:rsidRPr="0073674C" w:rsidRDefault="00127638" w:rsidP="007367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D27D" w14:textId="77777777" w:rsidR="0073674C" w:rsidRPr="0073674C" w:rsidRDefault="00127638" w:rsidP="007367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DDF9" w14:textId="77777777" w:rsidR="0073674C" w:rsidRPr="0073674C" w:rsidRDefault="0073674C" w:rsidP="007367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1035 </w:t>
            </w:r>
            <w:r w:rsidR="00B00DCD">
              <w:rPr>
                <w:sz w:val="18"/>
                <w:szCs w:val="18"/>
              </w:rPr>
              <w:t>AEs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8E1F" w14:textId="77777777" w:rsidR="0073674C" w:rsidRPr="0073674C" w:rsidRDefault="0073674C" w:rsidP="0073674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QoL</w:t>
            </w:r>
            <w:proofErr w:type="spellEnd"/>
            <w:r w:rsidRPr="0073674C">
              <w:rPr>
                <w:sz w:val="18"/>
                <w:szCs w:val="18"/>
              </w:rPr>
              <w:t xml:space="preserve"> outcomes did not differ significantly.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0E0F" w14:textId="77777777" w:rsidR="0073674C" w:rsidRPr="0073674C" w:rsidRDefault="0073674C" w:rsidP="00F06133">
            <w:pPr>
              <w:spacing w:line="240" w:lineRule="auto"/>
              <w:rPr>
                <w:sz w:val="18"/>
                <w:szCs w:val="18"/>
              </w:rPr>
            </w:pPr>
            <w:r w:rsidRPr="0073674C">
              <w:rPr>
                <w:sz w:val="18"/>
                <w:szCs w:val="18"/>
              </w:rPr>
              <w:t>79 S</w:t>
            </w:r>
            <w:r w:rsidR="00B00DCD">
              <w:rPr>
                <w:sz w:val="18"/>
                <w:szCs w:val="18"/>
              </w:rPr>
              <w:t>AEs</w:t>
            </w:r>
            <w:r w:rsidRPr="0073674C">
              <w:rPr>
                <w:sz w:val="18"/>
                <w:szCs w:val="18"/>
              </w:rPr>
              <w:t xml:space="preserve"> and ≥grade 3 </w:t>
            </w:r>
            <w:r w:rsidR="00B00DCD">
              <w:rPr>
                <w:sz w:val="18"/>
                <w:szCs w:val="18"/>
              </w:rPr>
              <w:t>AEs</w:t>
            </w:r>
            <w:r w:rsidRPr="0073674C">
              <w:rPr>
                <w:sz w:val="18"/>
                <w:szCs w:val="18"/>
              </w:rPr>
              <w:t>. 1 death.</w:t>
            </w:r>
          </w:p>
        </w:tc>
      </w:tr>
    </w:tbl>
    <w:p w14:paraId="7608AE4E" w14:textId="42F58346" w:rsidR="00C56CE7" w:rsidRDefault="00C56CE7" w:rsidP="00C56CE7">
      <w:pPr>
        <w:spacing w:line="240" w:lineRule="auto"/>
      </w:pPr>
      <w:r>
        <w:rPr>
          <w:color w:val="000000"/>
          <w:sz w:val="18"/>
          <w:szCs w:val="18"/>
        </w:rPr>
        <w:t xml:space="preserve">Abbreviations: </w:t>
      </w:r>
      <w:r w:rsidRPr="00084C00">
        <w:rPr>
          <w:color w:val="000000"/>
          <w:sz w:val="18"/>
          <w:szCs w:val="18"/>
        </w:rPr>
        <w:t>ACR</w:t>
      </w:r>
      <w:r>
        <w:rPr>
          <w:rFonts w:eastAsia="Calibri"/>
          <w:sz w:val="18"/>
          <w:szCs w:val="18"/>
        </w:rPr>
        <w:t xml:space="preserve">, American college of Rheumatology; </w:t>
      </w:r>
      <w:r w:rsidRPr="00A00257">
        <w:rPr>
          <w:rFonts w:eastAsia="Calibri"/>
          <w:sz w:val="18"/>
          <w:szCs w:val="18"/>
        </w:rPr>
        <w:t>AE</w:t>
      </w:r>
      <w:r>
        <w:rPr>
          <w:rFonts w:eastAsia="Calibri"/>
          <w:sz w:val="18"/>
          <w:szCs w:val="18"/>
        </w:rPr>
        <w:t>,</w:t>
      </w:r>
      <w:r w:rsidRPr="00A00257">
        <w:rPr>
          <w:rFonts w:eastAsia="Calibri"/>
          <w:sz w:val="18"/>
          <w:szCs w:val="18"/>
        </w:rPr>
        <w:t xml:space="preserve"> adverse event;</w:t>
      </w:r>
      <w:r>
        <w:rPr>
          <w:rFonts w:eastAsia="Calibri"/>
          <w:sz w:val="18"/>
          <w:szCs w:val="18"/>
        </w:rPr>
        <w:t xml:space="preserve"> ALT,</w:t>
      </w:r>
      <w:r w:rsidRPr="00474B8E">
        <w:t xml:space="preserve"> </w:t>
      </w:r>
      <w:r w:rsidRPr="00474B8E">
        <w:rPr>
          <w:rFonts w:eastAsia="Calibri"/>
          <w:sz w:val="18"/>
          <w:szCs w:val="18"/>
        </w:rPr>
        <w:t>alanine aminotransferase</w:t>
      </w:r>
      <w:r>
        <w:rPr>
          <w:rFonts w:eastAsia="Calibri"/>
          <w:sz w:val="18"/>
          <w:szCs w:val="18"/>
        </w:rPr>
        <w:t>; AST,</w:t>
      </w:r>
      <w:r w:rsidRPr="00474B8E">
        <w:t xml:space="preserve"> </w:t>
      </w:r>
      <w:r>
        <w:rPr>
          <w:rFonts w:eastAsia="Calibri"/>
          <w:sz w:val="18"/>
          <w:szCs w:val="18"/>
        </w:rPr>
        <w:t>aspartate aminotransferase;</w:t>
      </w:r>
      <w:r w:rsidRPr="00A00257">
        <w:rPr>
          <w:rFonts w:eastAsia="Calibri"/>
          <w:sz w:val="18"/>
          <w:szCs w:val="18"/>
        </w:rPr>
        <w:t xml:space="preserve"> AZA</w:t>
      </w:r>
      <w:r>
        <w:rPr>
          <w:rFonts w:eastAsia="Calibri"/>
          <w:sz w:val="18"/>
          <w:szCs w:val="18"/>
        </w:rPr>
        <w:t>,</w:t>
      </w:r>
      <w:r w:rsidRPr="00A00257">
        <w:rPr>
          <w:rFonts w:eastAsia="Calibri"/>
          <w:sz w:val="18"/>
          <w:szCs w:val="18"/>
        </w:rPr>
        <w:t xml:space="preserve"> azathioprine; BVAS-WG</w:t>
      </w:r>
      <w:r>
        <w:rPr>
          <w:rFonts w:eastAsia="Calibri"/>
          <w:sz w:val="18"/>
          <w:szCs w:val="18"/>
        </w:rPr>
        <w:t>,</w:t>
      </w:r>
      <w:r w:rsidRPr="00A00257">
        <w:rPr>
          <w:rFonts w:eastAsia="Calibri"/>
          <w:sz w:val="18"/>
          <w:szCs w:val="18"/>
        </w:rPr>
        <w:t xml:space="preserve"> Birmingham vasculitis activity score for Wegener's granulomatosis;</w:t>
      </w:r>
      <w:r>
        <w:rPr>
          <w:rFonts w:eastAsia="Calibri"/>
          <w:sz w:val="18"/>
          <w:szCs w:val="18"/>
        </w:rPr>
        <w:t xml:space="preserve"> </w:t>
      </w:r>
      <w:r w:rsidRPr="00B51B85">
        <w:rPr>
          <w:rFonts w:eastAsia="Calibri"/>
          <w:sz w:val="18"/>
          <w:szCs w:val="18"/>
        </w:rPr>
        <w:t>CHAQ</w:t>
      </w:r>
      <w:r>
        <w:rPr>
          <w:rFonts w:eastAsia="Calibri"/>
          <w:sz w:val="18"/>
          <w:szCs w:val="18"/>
        </w:rPr>
        <w:t>, childhood health assessment questionnaire;</w:t>
      </w:r>
      <w:r w:rsidRPr="00B51B85">
        <w:rPr>
          <w:rFonts w:eastAsia="Calibri"/>
          <w:sz w:val="18"/>
          <w:szCs w:val="18"/>
        </w:rPr>
        <w:t xml:space="preserve"> </w:t>
      </w:r>
      <w:r w:rsidRPr="00652F71">
        <w:rPr>
          <w:rFonts w:eastAsia="Times New Roman" w:cs="Arial"/>
          <w:color w:val="000000"/>
          <w:sz w:val="18"/>
          <w:szCs w:val="18"/>
          <w:lang w:eastAsia="de-CH"/>
        </w:rPr>
        <w:t>CR</w:t>
      </w:r>
      <w:r>
        <w:rPr>
          <w:rFonts w:eastAsia="Times New Roman" w:cs="Arial"/>
          <w:color w:val="000000"/>
          <w:sz w:val="18"/>
          <w:szCs w:val="18"/>
          <w:lang w:eastAsia="de-CH"/>
        </w:rPr>
        <w:t>, complete remission;</w:t>
      </w:r>
      <w:r w:rsidRPr="00A00257">
        <w:rPr>
          <w:rFonts w:eastAsia="Calibri"/>
          <w:sz w:val="18"/>
          <w:szCs w:val="18"/>
        </w:rPr>
        <w:t xml:space="preserve"> </w:t>
      </w:r>
      <w:r w:rsidRPr="00B81BD8">
        <w:rPr>
          <w:color w:val="000000"/>
          <w:sz w:val="18"/>
          <w:szCs w:val="18"/>
        </w:rPr>
        <w:t>CRP</w:t>
      </w:r>
      <w:r>
        <w:rPr>
          <w:color w:val="000000"/>
          <w:sz w:val="18"/>
          <w:szCs w:val="18"/>
        </w:rPr>
        <w:t>,</w:t>
      </w:r>
      <w:r w:rsidRPr="00B81B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C-reactive protein; </w:t>
      </w:r>
      <w:r w:rsidRPr="00363E47">
        <w:rPr>
          <w:color w:val="000000"/>
          <w:sz w:val="18"/>
          <w:szCs w:val="18"/>
        </w:rPr>
        <w:t>CSF</w:t>
      </w:r>
      <w:r>
        <w:rPr>
          <w:color w:val="000000"/>
          <w:sz w:val="18"/>
          <w:szCs w:val="18"/>
        </w:rPr>
        <w:t>, c</w:t>
      </w:r>
      <w:r w:rsidRPr="00637C4B">
        <w:rPr>
          <w:color w:val="000000"/>
          <w:sz w:val="18"/>
          <w:szCs w:val="18"/>
        </w:rPr>
        <w:t>erebrospinal fluid</w:t>
      </w:r>
      <w:r>
        <w:rPr>
          <w:color w:val="000000"/>
          <w:sz w:val="18"/>
          <w:szCs w:val="18"/>
        </w:rPr>
        <w:t>;</w:t>
      </w:r>
      <w:r w:rsidRPr="00A00257">
        <w:rPr>
          <w:sz w:val="18"/>
          <w:szCs w:val="18"/>
        </w:rPr>
        <w:t xml:space="preserve"> CYC</w:t>
      </w:r>
      <w:r>
        <w:rPr>
          <w:sz w:val="18"/>
          <w:szCs w:val="18"/>
        </w:rPr>
        <w:t>,</w:t>
      </w:r>
      <w:r w:rsidRPr="00A00257">
        <w:rPr>
          <w:sz w:val="18"/>
          <w:szCs w:val="18"/>
        </w:rPr>
        <w:t xml:space="preserve"> </w:t>
      </w:r>
      <w:r w:rsidRPr="00A00257">
        <w:rPr>
          <w:rFonts w:eastAsia="Calibri"/>
          <w:sz w:val="18"/>
          <w:szCs w:val="18"/>
        </w:rPr>
        <w:t xml:space="preserve">cyclophosphamide; </w:t>
      </w:r>
      <w:r w:rsidRPr="004104B9">
        <w:rPr>
          <w:color w:val="000000"/>
          <w:sz w:val="18"/>
          <w:szCs w:val="18"/>
        </w:rPr>
        <w:t>DLQI</w:t>
      </w:r>
      <w:r>
        <w:rPr>
          <w:color w:val="000000"/>
          <w:sz w:val="18"/>
          <w:szCs w:val="18"/>
        </w:rPr>
        <w:t>,</w:t>
      </w:r>
      <w:r w:rsidRPr="004104B9">
        <w:rPr>
          <w:color w:val="000000"/>
          <w:sz w:val="18"/>
          <w:szCs w:val="18"/>
        </w:rPr>
        <w:t xml:space="preserve"> dermatology quality of life index</w:t>
      </w:r>
      <w:r>
        <w:rPr>
          <w:color w:val="000000"/>
          <w:sz w:val="18"/>
          <w:szCs w:val="18"/>
        </w:rPr>
        <w:t>;</w:t>
      </w:r>
      <w:r w:rsidRPr="004104B9">
        <w:rPr>
          <w:color w:val="000000"/>
          <w:sz w:val="18"/>
          <w:szCs w:val="18"/>
        </w:rPr>
        <w:t xml:space="preserve"> </w:t>
      </w:r>
      <w:r w:rsidRPr="003F453F">
        <w:rPr>
          <w:sz w:val="18"/>
        </w:rPr>
        <w:t>EDSS</w:t>
      </w:r>
      <w:r>
        <w:rPr>
          <w:sz w:val="18"/>
        </w:rPr>
        <w:t>, expanded disability disease scale;</w:t>
      </w:r>
      <w:r w:rsidRPr="00696233">
        <w:rPr>
          <w:rFonts w:eastAsia="Calibri"/>
          <w:sz w:val="18"/>
          <w:szCs w:val="18"/>
        </w:rPr>
        <w:t xml:space="preserve"> </w:t>
      </w:r>
      <w:proofErr w:type="spellStart"/>
      <w:r w:rsidRPr="00696233">
        <w:rPr>
          <w:rFonts w:eastAsia="Calibri"/>
          <w:sz w:val="18"/>
          <w:szCs w:val="18"/>
        </w:rPr>
        <w:t>eGFR</w:t>
      </w:r>
      <w:proofErr w:type="spellEnd"/>
      <w:r>
        <w:rPr>
          <w:rFonts w:eastAsia="Calibri"/>
          <w:sz w:val="18"/>
          <w:szCs w:val="18"/>
        </w:rPr>
        <w:t>,</w:t>
      </w:r>
      <w:r w:rsidRPr="00696233">
        <w:rPr>
          <w:rFonts w:eastAsia="Calibri"/>
          <w:sz w:val="18"/>
          <w:szCs w:val="18"/>
        </w:rPr>
        <w:t xml:space="preserve"> epidermal growth factor receptor</w:t>
      </w:r>
      <w:r>
        <w:rPr>
          <w:rFonts w:eastAsia="Calibri"/>
          <w:sz w:val="18"/>
          <w:szCs w:val="18"/>
        </w:rPr>
        <w:t>;</w:t>
      </w:r>
      <w:r w:rsidRPr="0069623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ESRD, </w:t>
      </w:r>
      <w:r w:rsidRPr="00A00257">
        <w:rPr>
          <w:rFonts w:eastAsia="Calibri"/>
          <w:sz w:val="18"/>
          <w:szCs w:val="18"/>
        </w:rPr>
        <w:t>end-stage renal disease</w:t>
      </w:r>
      <w:r>
        <w:rPr>
          <w:rFonts w:eastAsia="Calibri"/>
          <w:sz w:val="18"/>
          <w:szCs w:val="18"/>
        </w:rPr>
        <w:t xml:space="preserve">; </w:t>
      </w:r>
      <w:r w:rsidRPr="000369FC">
        <w:rPr>
          <w:sz w:val="18"/>
          <w:szCs w:val="18"/>
        </w:rPr>
        <w:t>FACIT-F</w:t>
      </w:r>
      <w:r>
        <w:rPr>
          <w:sz w:val="18"/>
          <w:szCs w:val="18"/>
        </w:rPr>
        <w:t>,</w:t>
      </w:r>
      <w:r w:rsidRPr="000369FC">
        <w:rPr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 w:rsidRPr="000369FC">
        <w:rPr>
          <w:sz w:val="18"/>
          <w:szCs w:val="18"/>
        </w:rPr>
        <w:t xml:space="preserve">unctional </w:t>
      </w:r>
      <w:r>
        <w:rPr>
          <w:sz w:val="18"/>
          <w:szCs w:val="18"/>
        </w:rPr>
        <w:t>a</w:t>
      </w:r>
      <w:r w:rsidRPr="000369FC">
        <w:rPr>
          <w:sz w:val="18"/>
          <w:szCs w:val="18"/>
        </w:rPr>
        <w:t xml:space="preserve">ssessment of </w:t>
      </w:r>
      <w:r>
        <w:rPr>
          <w:sz w:val="18"/>
          <w:szCs w:val="18"/>
        </w:rPr>
        <w:t>chronic i</w:t>
      </w:r>
      <w:r w:rsidRPr="000369FC">
        <w:rPr>
          <w:sz w:val="18"/>
          <w:szCs w:val="18"/>
        </w:rPr>
        <w:t xml:space="preserve">llness </w:t>
      </w:r>
      <w:r>
        <w:rPr>
          <w:sz w:val="18"/>
          <w:szCs w:val="18"/>
        </w:rPr>
        <w:t>therapy-Fatigue;</w:t>
      </w:r>
      <w:r w:rsidRPr="00503699">
        <w:rPr>
          <w:sz w:val="18"/>
          <w:szCs w:val="18"/>
        </w:rPr>
        <w:t xml:space="preserve"> </w:t>
      </w:r>
      <w:r w:rsidRPr="00070287">
        <w:rPr>
          <w:sz w:val="18"/>
          <w:szCs w:val="18"/>
        </w:rPr>
        <w:t>HAQ-DI</w:t>
      </w:r>
      <w:r>
        <w:rPr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 w:rsidRPr="00C116B7">
        <w:rPr>
          <w:sz w:val="18"/>
          <w:szCs w:val="18"/>
        </w:rPr>
        <w:t>Health Assessment</w:t>
      </w:r>
      <w:r>
        <w:rPr>
          <w:sz w:val="18"/>
          <w:szCs w:val="18"/>
        </w:rPr>
        <w:t xml:space="preserve"> Questionnaire Disability Index; </w:t>
      </w:r>
      <w:r>
        <w:rPr>
          <w:color w:val="000000"/>
          <w:sz w:val="18"/>
          <w:szCs w:val="18"/>
        </w:rPr>
        <w:t xml:space="preserve">IV, intravenous; </w:t>
      </w:r>
      <w:r w:rsidRPr="00517241">
        <w:rPr>
          <w:color w:val="000000"/>
          <w:sz w:val="18"/>
          <w:szCs w:val="18"/>
        </w:rPr>
        <w:t>IVIG</w:t>
      </w:r>
      <w:r>
        <w:rPr>
          <w:color w:val="000000"/>
          <w:sz w:val="18"/>
          <w:szCs w:val="18"/>
        </w:rPr>
        <w:t xml:space="preserve">, </w:t>
      </w:r>
      <w:r w:rsidRPr="005B7412">
        <w:rPr>
          <w:color w:val="000000"/>
          <w:sz w:val="18"/>
          <w:szCs w:val="18"/>
        </w:rPr>
        <w:t>intravenous immunoglobulin</w:t>
      </w:r>
      <w:r>
        <w:rPr>
          <w:color w:val="000000"/>
          <w:sz w:val="18"/>
          <w:szCs w:val="18"/>
        </w:rPr>
        <w:t xml:space="preserve">; </w:t>
      </w:r>
      <w:r>
        <w:rPr>
          <w:rFonts w:eastAsia="Calibri"/>
          <w:sz w:val="18"/>
          <w:szCs w:val="18"/>
        </w:rPr>
        <w:t xml:space="preserve">KS, </w:t>
      </w:r>
      <w:r w:rsidRPr="00456547">
        <w:rPr>
          <w:rFonts w:eastAsia="Calibri"/>
          <w:sz w:val="18"/>
          <w:szCs w:val="18"/>
        </w:rPr>
        <w:t>Kaposi's sarcoma</w:t>
      </w:r>
      <w:r>
        <w:rPr>
          <w:rFonts w:eastAsia="Calibri"/>
          <w:sz w:val="18"/>
          <w:szCs w:val="18"/>
        </w:rPr>
        <w:t>;</w:t>
      </w:r>
      <w:r w:rsidRPr="00456547">
        <w:rPr>
          <w:rFonts w:eastAsia="Calibri"/>
          <w:sz w:val="18"/>
          <w:szCs w:val="18"/>
        </w:rPr>
        <w:t xml:space="preserve"> </w:t>
      </w:r>
      <w:r w:rsidRPr="00456547">
        <w:rPr>
          <w:color w:val="000000"/>
          <w:sz w:val="18"/>
          <w:szCs w:val="18"/>
        </w:rPr>
        <w:t>MCD</w:t>
      </w:r>
      <w:r>
        <w:rPr>
          <w:color w:val="000000"/>
          <w:sz w:val="18"/>
          <w:szCs w:val="18"/>
        </w:rPr>
        <w:t>,</w:t>
      </w:r>
      <w:r w:rsidRPr="0045654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 w:rsidRPr="00212649">
        <w:rPr>
          <w:color w:val="000000"/>
          <w:sz w:val="18"/>
          <w:szCs w:val="18"/>
        </w:rPr>
        <w:t xml:space="preserve">inimal </w:t>
      </w:r>
      <w:r>
        <w:rPr>
          <w:color w:val="000000"/>
          <w:sz w:val="18"/>
          <w:szCs w:val="18"/>
        </w:rPr>
        <w:t>c</w:t>
      </w:r>
      <w:r w:rsidRPr="00212649">
        <w:rPr>
          <w:color w:val="000000"/>
          <w:sz w:val="18"/>
          <w:szCs w:val="18"/>
        </w:rPr>
        <w:t xml:space="preserve">hange </w:t>
      </w:r>
      <w:r>
        <w:rPr>
          <w:color w:val="000000"/>
          <w:sz w:val="18"/>
          <w:szCs w:val="18"/>
        </w:rPr>
        <w:t>d</w:t>
      </w:r>
      <w:r w:rsidRPr="00212649">
        <w:rPr>
          <w:color w:val="000000"/>
          <w:sz w:val="18"/>
          <w:szCs w:val="18"/>
        </w:rPr>
        <w:t>isease</w:t>
      </w:r>
      <w:r w:rsidRPr="00456547">
        <w:rPr>
          <w:color w:val="000000"/>
          <w:sz w:val="18"/>
          <w:szCs w:val="18"/>
        </w:rPr>
        <w:t>;</w:t>
      </w:r>
      <w:r w:rsidRPr="00F271AC">
        <w:t xml:space="preserve"> </w:t>
      </w:r>
      <w:proofErr w:type="spellStart"/>
      <w:r w:rsidRPr="00F271AC">
        <w:rPr>
          <w:color w:val="000000"/>
          <w:sz w:val="18"/>
          <w:szCs w:val="18"/>
        </w:rPr>
        <w:t>mTSS</w:t>
      </w:r>
      <w:proofErr w:type="spellEnd"/>
      <w:r>
        <w:rPr>
          <w:color w:val="000000"/>
          <w:sz w:val="18"/>
          <w:szCs w:val="18"/>
        </w:rPr>
        <w:t>,</w:t>
      </w:r>
      <w:r w:rsidRPr="00F271AC">
        <w:rPr>
          <w:color w:val="000000"/>
          <w:sz w:val="18"/>
          <w:szCs w:val="18"/>
        </w:rPr>
        <w:t xml:space="preserve"> </w:t>
      </w:r>
      <w:proofErr w:type="spellStart"/>
      <w:r w:rsidRPr="00F271AC">
        <w:rPr>
          <w:color w:val="000000"/>
          <w:sz w:val="18"/>
          <w:szCs w:val="18"/>
        </w:rPr>
        <w:t>Genant</w:t>
      </w:r>
      <w:proofErr w:type="spellEnd"/>
      <w:r w:rsidRPr="00F271AC">
        <w:rPr>
          <w:color w:val="000000"/>
          <w:sz w:val="18"/>
          <w:szCs w:val="18"/>
        </w:rPr>
        <w:t>-modified sharp score</w:t>
      </w:r>
      <w:r>
        <w:rPr>
          <w:color w:val="000000"/>
          <w:sz w:val="18"/>
          <w:szCs w:val="18"/>
        </w:rPr>
        <w:t>;</w:t>
      </w:r>
      <w:r w:rsidRPr="00F271AC">
        <w:rPr>
          <w:color w:val="000000"/>
          <w:sz w:val="18"/>
          <w:szCs w:val="18"/>
        </w:rPr>
        <w:t xml:space="preserve"> </w:t>
      </w:r>
      <w:r w:rsidRPr="009A70DC">
        <w:rPr>
          <w:color w:val="000000"/>
          <w:sz w:val="18"/>
          <w:szCs w:val="18"/>
        </w:rPr>
        <w:t>MTX</w:t>
      </w:r>
      <w:r>
        <w:rPr>
          <w:color w:val="000000"/>
          <w:sz w:val="18"/>
          <w:szCs w:val="18"/>
        </w:rPr>
        <w:t xml:space="preserve">, methotrexate; </w:t>
      </w:r>
      <w:r w:rsidRPr="00517241">
        <w:rPr>
          <w:color w:val="000000"/>
          <w:sz w:val="18"/>
          <w:szCs w:val="18"/>
        </w:rPr>
        <w:t>PLEX</w:t>
      </w:r>
      <w:r>
        <w:rPr>
          <w:color w:val="000000"/>
          <w:sz w:val="18"/>
          <w:szCs w:val="18"/>
        </w:rPr>
        <w:t xml:space="preserve">, </w:t>
      </w:r>
      <w:r w:rsidRPr="00517241">
        <w:rPr>
          <w:color w:val="000000"/>
          <w:sz w:val="18"/>
          <w:szCs w:val="18"/>
        </w:rPr>
        <w:t>plasma exchange</w:t>
      </w:r>
      <w:r>
        <w:rPr>
          <w:color w:val="000000"/>
          <w:sz w:val="18"/>
          <w:szCs w:val="18"/>
        </w:rPr>
        <w:t>;</w:t>
      </w:r>
      <w:r w:rsidRPr="009A70DC">
        <w:rPr>
          <w:color w:val="000000"/>
          <w:sz w:val="18"/>
          <w:szCs w:val="18"/>
        </w:rPr>
        <w:t xml:space="preserve"> </w:t>
      </w:r>
      <w:r w:rsidRPr="00652F71">
        <w:rPr>
          <w:rFonts w:eastAsia="Times New Roman" w:cs="Arial"/>
          <w:color w:val="000000"/>
          <w:sz w:val="18"/>
          <w:szCs w:val="18"/>
          <w:lang w:eastAsia="de-CH"/>
        </w:rPr>
        <w:t>PR</w:t>
      </w:r>
      <w:r>
        <w:rPr>
          <w:rFonts w:eastAsia="Times New Roman" w:cs="Arial"/>
          <w:color w:val="000000"/>
          <w:sz w:val="18"/>
          <w:szCs w:val="18"/>
          <w:lang w:eastAsia="de-CH"/>
        </w:rPr>
        <w:t xml:space="preserve">, partial remission; </w:t>
      </w:r>
      <w:proofErr w:type="spellStart"/>
      <w:r w:rsidRPr="007D503B">
        <w:rPr>
          <w:sz w:val="18"/>
        </w:rPr>
        <w:t>PsARC</w:t>
      </w:r>
      <w:proofErr w:type="spellEnd"/>
      <w:r>
        <w:rPr>
          <w:sz w:val="18"/>
        </w:rPr>
        <w:t>,</w:t>
      </w:r>
      <w:r w:rsidRPr="007D503B">
        <w:rPr>
          <w:sz w:val="18"/>
        </w:rPr>
        <w:t xml:space="preserve"> Psoriatic arthritis resp</w:t>
      </w:r>
      <w:r>
        <w:rPr>
          <w:sz w:val="18"/>
        </w:rPr>
        <w:t xml:space="preserve">onse criteria; </w:t>
      </w:r>
      <w:proofErr w:type="spellStart"/>
      <w:r w:rsidRPr="00A00257">
        <w:rPr>
          <w:rFonts w:eastAsia="Calibri"/>
          <w:sz w:val="18"/>
          <w:szCs w:val="18"/>
        </w:rPr>
        <w:t>QoL</w:t>
      </w:r>
      <w:proofErr w:type="spellEnd"/>
      <w:r>
        <w:rPr>
          <w:rFonts w:eastAsia="Calibri"/>
          <w:sz w:val="18"/>
          <w:szCs w:val="18"/>
        </w:rPr>
        <w:t>, quality of life;</w:t>
      </w:r>
      <w:r w:rsidRPr="00A00257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RBV, r</w:t>
      </w:r>
      <w:r w:rsidRPr="004F4958">
        <w:rPr>
          <w:rFonts w:eastAsia="Calibri"/>
          <w:sz w:val="18"/>
          <w:szCs w:val="18"/>
        </w:rPr>
        <w:t>ibavirin</w:t>
      </w:r>
      <w:r>
        <w:rPr>
          <w:rFonts w:eastAsia="Calibri"/>
          <w:sz w:val="18"/>
          <w:szCs w:val="18"/>
        </w:rPr>
        <w:t xml:space="preserve">; </w:t>
      </w:r>
      <w:r w:rsidRPr="00A00257">
        <w:rPr>
          <w:rFonts w:eastAsia="Calibri"/>
          <w:sz w:val="18"/>
          <w:szCs w:val="18"/>
        </w:rPr>
        <w:t>SAE</w:t>
      </w:r>
      <w:r>
        <w:rPr>
          <w:rFonts w:eastAsia="Calibri"/>
          <w:sz w:val="18"/>
          <w:szCs w:val="18"/>
        </w:rPr>
        <w:t>,</w:t>
      </w:r>
      <w:r w:rsidRPr="00A00257">
        <w:rPr>
          <w:rFonts w:eastAsia="Calibri"/>
          <w:sz w:val="18"/>
          <w:szCs w:val="18"/>
        </w:rPr>
        <w:t xml:space="preserve"> serious adverse event</w:t>
      </w:r>
      <w:r>
        <w:rPr>
          <w:rFonts w:eastAsia="Calibri"/>
          <w:sz w:val="18"/>
          <w:szCs w:val="18"/>
        </w:rPr>
        <w:t xml:space="preserve">; </w:t>
      </w:r>
      <w:r w:rsidRPr="00DE668B">
        <w:rPr>
          <w:sz w:val="18"/>
        </w:rPr>
        <w:t>SR</w:t>
      </w:r>
      <w:r>
        <w:rPr>
          <w:sz w:val="18"/>
        </w:rPr>
        <w:t>, s</w:t>
      </w:r>
      <w:r w:rsidRPr="00DE668B">
        <w:rPr>
          <w:sz w:val="18"/>
        </w:rPr>
        <w:t>ustained response</w:t>
      </w:r>
      <w:r>
        <w:rPr>
          <w:sz w:val="18"/>
        </w:rPr>
        <w:t>;</w:t>
      </w:r>
      <w:r w:rsidRPr="00DE668B">
        <w:rPr>
          <w:sz w:val="18"/>
        </w:rPr>
        <w:t xml:space="preserve"> </w:t>
      </w:r>
      <w:r>
        <w:rPr>
          <w:color w:val="000000"/>
          <w:sz w:val="18"/>
          <w:szCs w:val="18"/>
        </w:rPr>
        <w:t xml:space="preserve">TADAI, total adjusted disease activity index; </w:t>
      </w:r>
      <w:r w:rsidRPr="005D02C8">
        <w:rPr>
          <w:sz w:val="18"/>
          <w:szCs w:val="18"/>
        </w:rPr>
        <w:t>VAS</w:t>
      </w:r>
      <w:r>
        <w:rPr>
          <w:sz w:val="18"/>
          <w:szCs w:val="18"/>
        </w:rPr>
        <w:t xml:space="preserve">, </w:t>
      </w:r>
      <w:r w:rsidRPr="005D02C8">
        <w:rPr>
          <w:sz w:val="18"/>
          <w:szCs w:val="18"/>
        </w:rPr>
        <w:t>visual analogue scale</w:t>
      </w:r>
      <w:r>
        <w:rPr>
          <w:sz w:val="18"/>
          <w:szCs w:val="18"/>
        </w:rPr>
        <w:t>.</w:t>
      </w:r>
      <w:r>
        <w:rPr>
          <w:rFonts w:eastAsia="Calibri"/>
          <w:sz w:val="18"/>
          <w:szCs w:val="18"/>
        </w:rPr>
        <w:t xml:space="preserve"> </w:t>
      </w:r>
      <w:r>
        <w:br w:type="page"/>
      </w:r>
    </w:p>
    <w:tbl>
      <w:tblPr>
        <w:tblpPr w:leftFromText="180" w:rightFromText="180" w:vertAnchor="text" w:horzAnchor="margin" w:tblpY="-71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0"/>
        <w:gridCol w:w="1311"/>
        <w:gridCol w:w="1311"/>
        <w:gridCol w:w="1311"/>
        <w:gridCol w:w="1310"/>
        <w:gridCol w:w="1311"/>
        <w:gridCol w:w="1311"/>
        <w:gridCol w:w="1311"/>
      </w:tblGrid>
      <w:tr w:rsidR="00C56CE7" w:rsidRPr="0025711C" w14:paraId="3C1B6175" w14:textId="77777777" w:rsidTr="00E16A02"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89A9A08" w14:textId="7FBAE023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lastRenderedPageBreak/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E13EA5E" w14:textId="3F359840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D12DA3B" w14:textId="061E9AB5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74B1194" w14:textId="5F21C1DB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5EE3640" w14:textId="2D16DFED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EA42D22" w14:textId="61995A1E" w:rsidR="00C56CE7" w:rsidRDefault="00C56CE7" w:rsidP="00C56CE7">
            <w:pPr>
              <w:spacing w:line="240" w:lineRule="auto"/>
              <w:rPr>
                <w:sz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B64632C" w14:textId="532314A1" w:rsidR="00C56CE7" w:rsidRDefault="00C56CE7" w:rsidP="00C56CE7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53D3F17" w14:textId="03DB3544" w:rsidR="00C56CE7" w:rsidRDefault="00C56CE7" w:rsidP="00C56CE7">
            <w:pPr>
              <w:spacing w:line="240" w:lineRule="auto"/>
              <w:rPr>
                <w:sz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9AA205C" w14:textId="0B971DD7" w:rsidR="00C56CE7" w:rsidRDefault="00C56CE7" w:rsidP="00C56CE7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EA83C71" w14:textId="3F60740F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7239EC8" w14:textId="72512AB4" w:rsidR="00C56CE7" w:rsidRDefault="00C56CE7" w:rsidP="00C56CE7">
            <w:pPr>
              <w:spacing w:line="240" w:lineRule="auto"/>
              <w:rPr>
                <w:sz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C8F2F6E" w14:textId="2EE031A1" w:rsidR="00C56CE7" w:rsidRDefault="00C56CE7" w:rsidP="00C56CE7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C56CE7" w:rsidRPr="0025711C" w14:paraId="2BFBFD42" w14:textId="77777777" w:rsidTr="00E16A02">
        <w:trPr>
          <w:trHeight w:val="153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F864" w14:textId="78BC4102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>Specks et al., 2013 (extension of RAVE)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C509" w14:textId="6916EBA6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04B" w14:textId="2F5B3E4F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>375mg/m</w:t>
            </w:r>
            <w:r w:rsidRPr="00EE7DB7">
              <w:rPr>
                <w:sz w:val="18"/>
                <w:vertAlign w:val="superscript"/>
              </w:rPr>
              <w:t>2</w:t>
            </w:r>
            <w:r w:rsidRPr="0073674C">
              <w:rPr>
                <w:sz w:val="18"/>
              </w:rPr>
              <w:t xml:space="preserve"> weekly for 4 weeks, followed by </w:t>
            </w:r>
            <w:r>
              <w:rPr>
                <w:sz w:val="18"/>
              </w:rPr>
              <w:t>placebo.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35A9" w14:textId="5A7231F7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Remission of disease (BVAS/WG of 0) with successful </w:t>
            </w:r>
            <w:r>
              <w:rPr>
                <w:sz w:val="18"/>
              </w:rPr>
              <w:t>corticosteroid</w:t>
            </w:r>
            <w:r w:rsidRPr="0073674C">
              <w:rPr>
                <w:sz w:val="18"/>
              </w:rPr>
              <w:t xml:space="preserve"> taper at 6 months and maintaining remission through 12 and 18 months</w:t>
            </w:r>
            <w:r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7B1F" w14:textId="69F3C5B1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2F3A" w14:textId="47F405E5" w:rsidR="00C56CE7" w:rsidRDefault="00C56CE7" w:rsidP="00C56CE7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39% </w:t>
            </w:r>
            <w:r>
              <w:rPr>
                <w:sz w:val="18"/>
              </w:rPr>
              <w:t>of patients</w:t>
            </w:r>
            <w:r w:rsidRPr="0073674C">
              <w:rPr>
                <w:sz w:val="18"/>
              </w:rPr>
              <w:t xml:space="preserve"> maintained complete remission </w:t>
            </w:r>
            <w:r>
              <w:rPr>
                <w:sz w:val="18"/>
              </w:rPr>
              <w:t>for</w:t>
            </w:r>
            <w:r w:rsidRPr="0073674C">
              <w:rPr>
                <w:sz w:val="18"/>
              </w:rPr>
              <w:t xml:space="preserve"> 18 months</w:t>
            </w:r>
            <w:r>
              <w:rPr>
                <w:sz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8B2D" w14:textId="7792FFEC" w:rsidR="00C56CE7" w:rsidRDefault="00C56CE7" w:rsidP="00C56CE7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33% </w:t>
            </w:r>
            <w:r>
              <w:rPr>
                <w:sz w:val="18"/>
              </w:rPr>
              <w:t>of patients</w:t>
            </w:r>
            <w:r w:rsidRPr="0073674C">
              <w:rPr>
                <w:sz w:val="18"/>
              </w:rPr>
              <w:t xml:space="preserve"> maintained complete remission </w:t>
            </w:r>
            <w:r>
              <w:rPr>
                <w:sz w:val="18"/>
              </w:rPr>
              <w:t>for</w:t>
            </w:r>
            <w:r w:rsidRPr="0073674C">
              <w:rPr>
                <w:sz w:val="18"/>
              </w:rPr>
              <w:t xml:space="preserve"> 18 months</w:t>
            </w:r>
            <w:r>
              <w:rPr>
                <w:sz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25A6" w14:textId="5D7109DA" w:rsidR="00C56CE7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2527" w14:textId="5493D99E" w:rsidR="00C56CE7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675" w14:textId="4710720B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>98 patients (99%) with at least one AE.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A6AD" w14:textId="5CF3DC32" w:rsidR="00C56CE7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EB2D" w14:textId="12535FF4" w:rsidR="00C56CE7" w:rsidRDefault="00C56CE7" w:rsidP="00C56CE7">
            <w:pPr>
              <w:spacing w:line="240" w:lineRule="auto"/>
              <w:rPr>
                <w:sz w:val="18"/>
              </w:rPr>
            </w:pPr>
            <w:r w:rsidRPr="00277AFD">
              <w:rPr>
                <w:sz w:val="18"/>
              </w:rPr>
              <w:t>42 patients with</w:t>
            </w:r>
            <w:r w:rsidRPr="0073674C">
              <w:rPr>
                <w:sz w:val="18"/>
              </w:rPr>
              <w:t xml:space="preserve"> at least one SAE. 2 deaths: sepsis with multi-organ failure and respiratory failure</w:t>
            </w:r>
            <w:r>
              <w:rPr>
                <w:sz w:val="18"/>
              </w:rPr>
              <w:t>.</w:t>
            </w:r>
          </w:p>
        </w:tc>
      </w:tr>
      <w:tr w:rsidR="00C56CE7" w:rsidRPr="0025711C" w14:paraId="0ABFABC1" w14:textId="77777777" w:rsidTr="00E16A02">
        <w:trPr>
          <w:trHeight w:val="1950"/>
        </w:trPr>
        <w:tc>
          <w:tcPr>
            <w:tcW w:w="1310" w:type="dxa"/>
            <w:tcBorders>
              <w:bottom w:val="nil"/>
            </w:tcBorders>
            <w:shd w:val="clear" w:color="auto" w:fill="auto"/>
            <w:hideMark/>
          </w:tcPr>
          <w:p w14:paraId="6D135630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proofErr w:type="spellStart"/>
            <w:r w:rsidRPr="0073674C">
              <w:rPr>
                <w:sz w:val="18"/>
              </w:rPr>
              <w:t>Miloslavsky</w:t>
            </w:r>
            <w:proofErr w:type="spellEnd"/>
            <w:r w:rsidRPr="0073674C">
              <w:rPr>
                <w:sz w:val="18"/>
              </w:rPr>
              <w:t xml:space="preserve"> et al., 2014 (open-label extension of RAVE)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19DE5FFC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>26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0314F36F" w14:textId="77777777" w:rsidR="0073674C" w:rsidRPr="0073674C" w:rsidRDefault="0073674C" w:rsidP="000D360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Patients with a severe relapse between months 6 and 18 received open-label RTX in combination with IV </w:t>
            </w:r>
            <w:r w:rsidR="000D360C">
              <w:rPr>
                <w:sz w:val="18"/>
              </w:rPr>
              <w:t>corticosteroid.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55CB953B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Remission of disease (BVAS/WG of 0) and </w:t>
            </w:r>
            <w:r w:rsidR="00EE7DB7">
              <w:rPr>
                <w:sz w:val="18"/>
              </w:rPr>
              <w:t>corticosteroid</w:t>
            </w:r>
            <w:r w:rsidRPr="0073674C">
              <w:rPr>
                <w:sz w:val="18"/>
              </w:rPr>
              <w:t xml:space="preserve"> dose of 0 at any time following retreatment with RTX and glucocorticoids. 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  <w:hideMark/>
          </w:tcPr>
          <w:p w14:paraId="7E28E335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Complete response (BVAS/WG of 0 with </w:t>
            </w:r>
            <w:r w:rsidR="00EE7DB7">
              <w:rPr>
                <w:sz w:val="18"/>
              </w:rPr>
              <w:t>corticosteroid</w:t>
            </w:r>
            <w:r w:rsidRPr="0073674C">
              <w:rPr>
                <w:sz w:val="18"/>
              </w:rPr>
              <w:t xml:space="preserve"> of maximum 10mg/d), number of disease relapses, severe relapses</w:t>
            </w:r>
            <w:r w:rsidR="00F06133">
              <w:rPr>
                <w:sz w:val="18"/>
              </w:rPr>
              <w:t>.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01A152E2" w14:textId="77777777" w:rsidR="0073674C" w:rsidRPr="0073674C" w:rsidRDefault="00127638" w:rsidP="007367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24F54780" w14:textId="77777777" w:rsidR="0073674C" w:rsidRPr="0073674C" w:rsidRDefault="00E85462" w:rsidP="007367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70C4B118" w14:textId="77777777" w:rsidR="0073674C" w:rsidRPr="0073674C" w:rsidRDefault="00127638" w:rsidP="007367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  <w:hideMark/>
          </w:tcPr>
          <w:p w14:paraId="44CAE8E1" w14:textId="77777777" w:rsidR="0073674C" w:rsidRPr="0073674C" w:rsidRDefault="000D360C" w:rsidP="007367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3754EB69" w14:textId="77777777" w:rsidR="0073674C" w:rsidRPr="0073674C" w:rsidRDefault="0073674C" w:rsidP="0073674C">
            <w:pPr>
              <w:spacing w:line="240" w:lineRule="auto"/>
              <w:rPr>
                <w:sz w:val="18"/>
              </w:rPr>
            </w:pPr>
            <w:r w:rsidRPr="0073674C">
              <w:rPr>
                <w:sz w:val="18"/>
              </w:rPr>
              <w:t xml:space="preserve">156 </w:t>
            </w:r>
            <w:r w:rsidR="00B00DCD">
              <w:rPr>
                <w:sz w:val="18"/>
              </w:rPr>
              <w:t>AEs</w:t>
            </w:r>
            <w:r w:rsidRPr="0073674C">
              <w:rPr>
                <w:sz w:val="18"/>
              </w:rPr>
              <w:t>: 85 in 14 patients previously treated with RTX and 71 in 9 patients previously treated with CYC/AZA</w:t>
            </w:r>
            <w:r w:rsidR="00F06133">
              <w:rPr>
                <w:sz w:val="18"/>
              </w:rPr>
              <w:t>.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4FD7F5A8" w14:textId="77777777" w:rsidR="0073674C" w:rsidRPr="0073674C" w:rsidRDefault="00127638" w:rsidP="007367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  <w:hideMark/>
          </w:tcPr>
          <w:p w14:paraId="2AF8180E" w14:textId="77777777" w:rsidR="0073674C" w:rsidRPr="0073674C" w:rsidRDefault="00127638" w:rsidP="007367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</w:tr>
      <w:tr w:rsidR="00C56CE7" w:rsidRPr="0025711C" w14:paraId="4693A597" w14:textId="77777777" w:rsidTr="00E16A02">
        <w:trPr>
          <w:trHeight w:val="1930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21C26EF" w14:textId="4B80B8E8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de </w:t>
            </w:r>
            <w:proofErr w:type="spellStart"/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Menthon</w:t>
            </w:r>
            <w:proofErr w:type="spellEnd"/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et al., 2011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7D0E6BFF" w14:textId="2442700E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17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2D52194A" w14:textId="23D17F69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375mg/m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de-CH"/>
              </w:rPr>
              <w:t>2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was given on days 1, 8, 15, and 22. Patients with a response, received further infusions at 4, 8, and 12 months.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41A0E4E7" w14:textId="3711AD12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Number of PR of clinical manifesta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tions and BVAS decrease of &gt;50% or CR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of active 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asculitis manifestation, BVAS=0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obtained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after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12 month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47A5486" w14:textId="3C2961C8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Treatment tolerance, side effects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74097404" w14:textId="1A99121F" w:rsidR="00C56CE7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62.5%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of patients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achieved either CR or PR.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29B4A767" w14:textId="7D58E847" w:rsidR="00C56CE7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33%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of patients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achieved either CR or PR.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1286EE44" w14:textId="56D3F4C3" w:rsidR="00C56CE7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No information.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D6F63FE" w14:textId="1C61B82E" w:rsidR="00C56CE7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No information.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155BF772" w14:textId="6BE3804B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No allergic reactions and no severe infections. No significant difference in side effects was observed. 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043080AC" w14:textId="11BDB74F" w:rsidR="00C56CE7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No information.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53C4F90F" w14:textId="362E0121" w:rsidR="00C56CE7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1 death (sudden death at home after 4th infusion). No clear information about 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AEs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</w:tr>
      <w:tr w:rsidR="00C56CE7" w:rsidRPr="0025711C" w14:paraId="6E1AA7B0" w14:textId="77777777" w:rsidTr="00E16A02">
        <w:trPr>
          <w:trHeight w:val="2441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F65133E" w14:textId="04DFE0C8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proofErr w:type="spellStart"/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lastRenderedPageBreak/>
              <w:t>Guillevin</w:t>
            </w:r>
            <w:proofErr w:type="spellEnd"/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et al., 2014 (MAINRITSAN)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03A000F4" w14:textId="1BBF10C8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115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2C51326F" w14:textId="0BF37E02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500mg on days 0 and 14 and at 6, 12, and 18 months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4208A317" w14:textId="1735D2CB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Percentage of patients with major relapse at month 28 (reappearance or worsening of disease with a BVAS &gt;0 and involvement of at least one major organ, a life-threatening manifestation, or both).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065903B" w14:textId="06E474D7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Rates of minor relapses (reappearance or worsening of disease with a BVAS &gt;0, not corresponding to a major relapse but requiring mild treatment intensification), rates of adverse events, mortality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335B1056" w14:textId="05630D56" w:rsidR="00C56CE7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5%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of patients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experienced a major relapse (p=0.002)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478E721B" w14:textId="44035CAE" w:rsidR="00C56CE7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29%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of patients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experienced a major relapse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3EBC5EDC" w14:textId="50076124" w:rsidR="00C56CE7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11%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of patients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with a minor relapse (p=0.43).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B8FEAB9" w14:textId="46268B6D" w:rsidR="00C56CE7" w:rsidRDefault="00C56CE7" w:rsidP="00C56CE7">
            <w:pPr>
              <w:spacing w:line="240" w:lineRule="auto"/>
              <w:rPr>
                <w:sz w:val="18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16%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of patients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with a minor relapse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3B2C9C04" w14:textId="4FBFBD46" w:rsidR="00C56CE7" w:rsidRPr="0073674C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No information.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396A1301" w14:textId="09CCF6C2" w:rsidR="00C56CE7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No information.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3567E721" w14:textId="1723192A" w:rsidR="00C56CE7" w:rsidRDefault="00C56CE7" w:rsidP="00C56CE7">
            <w:pPr>
              <w:spacing w:line="240" w:lineRule="auto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No information on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AEs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 No deaths.</w:t>
            </w:r>
          </w:p>
        </w:tc>
      </w:tr>
      <w:tr w:rsidR="00E16A02" w:rsidRPr="0025711C" w14:paraId="21DEC974" w14:textId="77777777" w:rsidTr="003D2AB9">
        <w:trPr>
          <w:trHeight w:val="24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D44A" w14:textId="4066C88F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Charles et al., 2018 (MAINRITSAN2)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D70D" w14:textId="4228E825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162 (117 with GPA, 45 with MPA)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E217" w14:textId="365EB73F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500mg at randomization and every 3 months thereafter if ANCA status differed fro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m previous control or CD19</w:t>
            </w:r>
            <w:r w:rsidRPr="0022071A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de-CH"/>
              </w:rPr>
              <w:t>+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B cell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count exceeded 0/mm3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7A6D" w14:textId="6AA8C3A0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Number of relapses at month 28 (relapse = BVAS &gt;0)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7AFE" w14:textId="6765C5DC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Number of major relapses (life-threatening or involving at least one major organ), number of minor relapses, association of ANCA evolution/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CD19</w:t>
            </w:r>
            <w:r w:rsidRPr="0022071A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de-CH"/>
              </w:rPr>
              <w:t>+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B cell</w:t>
            </w: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count with relapses, glucocorticoid duration, glucocorticoid cumulative dose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427B" w14:textId="466488F9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17.3% with a relapse (p=0.22)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4B36" w14:textId="19E7A28F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9.9% with a relapse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5159" w14:textId="66540337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Relapse-free survival rate: 83.8%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167" w14:textId="400C48D2" w:rsidR="00E16A02" w:rsidRPr="00652F71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Relapse-free survival rate: 86.4%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8FD0" w14:textId="32527316" w:rsidR="00E16A02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69 patients (85.2%) with at least one AE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FEC5" w14:textId="2015E1D2" w:rsidR="00E16A02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AE18" w14:textId="0284EC11" w:rsidR="00E16A02" w:rsidRDefault="00E16A02" w:rsidP="00E16A0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652F71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26 patients (32.1%) with at least one SAE. 1 patient died (bronchospasm).</w:t>
            </w:r>
          </w:p>
        </w:tc>
      </w:tr>
    </w:tbl>
    <w:p w14:paraId="26D5875A" w14:textId="77777777" w:rsidR="00104A43" w:rsidRDefault="00104A43" w:rsidP="00104A43">
      <w:r>
        <w:br w:type="page"/>
      </w:r>
    </w:p>
    <w:tbl>
      <w:tblPr>
        <w:tblpPr w:leftFromText="180" w:rightFromText="180" w:vertAnchor="text" w:horzAnchor="margin" w:tblpY="-71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1D4D68" w:rsidRPr="0025711C" w14:paraId="11E6280F" w14:textId="77777777" w:rsidTr="00E16A02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8B657C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lastRenderedPageBreak/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652E74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57E80A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11A70EC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E6AB09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E04E30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C855615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24450B9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1D9B50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802B5F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0CB30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13DFB8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652F71" w:rsidRPr="0025711C" w14:paraId="287D9E58" w14:textId="77777777" w:rsidTr="00E16A02">
        <w:trPr>
          <w:trHeight w:val="76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70A9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Jones et al., 2010 (RITUXVAS)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D97C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5EF0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F06133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 with 2 IV CYC pulses of 15mg/kg with the first and the third RTX infusion.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DE73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Sustained remission (BVAS of 0 for at least 6 months) and rates of SAE (CTCAE grade ≥3) at 2 years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C3A3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Time to remission, change in BVAS between 0 and 3 months, change in GFR, change in </w:t>
            </w:r>
            <w:r w:rsidR="00474B8E">
              <w:rPr>
                <w:color w:val="000000"/>
                <w:sz w:val="18"/>
                <w:szCs w:val="18"/>
              </w:rPr>
              <w:t>corticosteroid</w:t>
            </w:r>
            <w:r>
              <w:rPr>
                <w:color w:val="000000"/>
                <w:sz w:val="18"/>
                <w:szCs w:val="18"/>
              </w:rPr>
              <w:t xml:space="preserve"> dose, score on the SF-36 questionnaire, score on the Vasculitis Damage Index.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003B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76% </w:t>
            </w:r>
            <w:r w:rsidR="00B00DCD">
              <w:rPr>
                <w:color w:val="000000"/>
                <w:sz w:val="18"/>
                <w:szCs w:val="18"/>
              </w:rPr>
              <w:t>of patients</w:t>
            </w:r>
            <w:r>
              <w:rPr>
                <w:color w:val="000000"/>
                <w:sz w:val="18"/>
                <w:szCs w:val="18"/>
              </w:rPr>
              <w:t xml:space="preserve"> reached sustained remission (p=0.68)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C43C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82% </w:t>
            </w:r>
            <w:r w:rsidR="00B00DCD">
              <w:rPr>
                <w:color w:val="000000"/>
                <w:sz w:val="18"/>
                <w:szCs w:val="18"/>
              </w:rPr>
              <w:t>of patients</w:t>
            </w:r>
            <w:r>
              <w:rPr>
                <w:color w:val="000000"/>
                <w:sz w:val="18"/>
                <w:szCs w:val="18"/>
              </w:rPr>
              <w:t xml:space="preserve"> reached sustained remission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F276" w14:textId="77777777" w:rsidR="00652F71" w:rsidRPr="00AA2F72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A2F72">
              <w:rPr>
                <w:color w:val="000000"/>
                <w:sz w:val="18"/>
                <w:szCs w:val="18"/>
              </w:rPr>
              <w:t xml:space="preserve">91% </w:t>
            </w:r>
            <w:r w:rsidR="00B00DCD" w:rsidRPr="00AA2F72">
              <w:rPr>
                <w:color w:val="000000"/>
                <w:sz w:val="18"/>
                <w:szCs w:val="18"/>
              </w:rPr>
              <w:t>of patients</w:t>
            </w:r>
            <w:r w:rsidRPr="00AA2F72">
              <w:rPr>
                <w:color w:val="000000"/>
                <w:sz w:val="18"/>
                <w:szCs w:val="18"/>
              </w:rPr>
              <w:t xml:space="preserve"> reached remission</w:t>
            </w:r>
            <w:r w:rsidR="00F06133" w:rsidRPr="00AA2F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6957" w14:textId="77777777" w:rsidR="00652F71" w:rsidRPr="00AA2F72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A2F72">
              <w:rPr>
                <w:color w:val="000000"/>
                <w:sz w:val="18"/>
                <w:szCs w:val="18"/>
              </w:rPr>
              <w:t xml:space="preserve">91% </w:t>
            </w:r>
            <w:r w:rsidR="00B00DCD" w:rsidRPr="00AA2F72">
              <w:rPr>
                <w:color w:val="000000"/>
                <w:sz w:val="18"/>
                <w:szCs w:val="18"/>
              </w:rPr>
              <w:t>of patients</w:t>
            </w:r>
            <w:r w:rsidRPr="00AA2F72">
              <w:rPr>
                <w:color w:val="000000"/>
                <w:sz w:val="18"/>
                <w:szCs w:val="18"/>
              </w:rPr>
              <w:t xml:space="preserve"> reached remission.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0B98" w14:textId="77777777" w:rsidR="00652F71" w:rsidRPr="00AA2F72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A2F72">
              <w:rPr>
                <w:color w:val="000000"/>
                <w:sz w:val="18"/>
                <w:szCs w:val="18"/>
              </w:rPr>
              <w:t>25 patients (76%) experienced at least 1 AE</w:t>
            </w:r>
            <w:r w:rsidR="00F06133" w:rsidRPr="00AA2F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89A7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change in the score on the physical component of the SF-36 did not differ significantly. The control group showed a significant better outcome in the mental component of the SF-36 (p=0.04)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B7CB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patients (48%) with at least one SAE. 6 deaths: 3 due to infections, 1 due to cardiovascular disease, 2 due to complications of end-stage renal failure.</w:t>
            </w:r>
          </w:p>
        </w:tc>
      </w:tr>
      <w:tr w:rsidR="00652F71" w:rsidRPr="0025711C" w14:paraId="3F9F9752" w14:textId="77777777" w:rsidTr="00E16A02">
        <w:trPr>
          <w:trHeight w:val="76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6743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Jones et al., 2015 (extension of RITUXVAS)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789D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01DE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F0613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weekly for 4 weeks with 2 IV CYC pulses of 15mg/kg with the first and the third RTX infusion.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6B87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Composite of death, ESRD, relapse at 24 months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F7A0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 to death, ESRD and relapse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B04F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42% reached the primary endpoint (p=1.00)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91DA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36% reached the primary endpoint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3928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Cumulative ESRD and relapse-free survival at 24 months: 58% (p=0.37). Cumulative survival rate at 24 months: 82% (p=0.56)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68A8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Cumulative ESRD and relapse-free survival at 24 months: 73%. Cumulative survival rate at 24 months: 73%.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C68D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patients (82%) with at least one AE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010A" w14:textId="77777777" w:rsidR="00652F71" w:rsidRDefault="00127638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B32E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patients (61%) with at least one SAE. 6 deaths.</w:t>
            </w:r>
          </w:p>
        </w:tc>
      </w:tr>
      <w:tr w:rsidR="00652F71" w:rsidRPr="0025711C" w14:paraId="703353CA" w14:textId="77777777" w:rsidTr="00E16A02">
        <w:trPr>
          <w:trHeight w:val="76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F3B0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Berden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2012 (</w:t>
            </w:r>
            <w:proofErr w:type="spellStart"/>
            <w:r>
              <w:rPr>
                <w:color w:val="000000"/>
                <w:sz w:val="18"/>
                <w:szCs w:val="18"/>
              </w:rPr>
              <w:t>substudy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of RITUXVAS)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A20C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6A8B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F06133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 with 2 IV CYC pulses of 15mg/kg with the first and the third RTX infusion.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B93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eGFR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during follow up (6, 12, and 24 months)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5184" w14:textId="77777777" w:rsidR="00652F71" w:rsidRDefault="00652F71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 to clinical remission (BVAS score of 0 for at least 2 months and absence of clinical disease activity)</w:t>
            </w:r>
            <w:r w:rsidR="00F0613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09FE" w14:textId="77777777" w:rsidR="00652F71" w:rsidRDefault="00127638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5BB2" w14:textId="77777777" w:rsidR="00652F71" w:rsidRDefault="00127638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9068" w14:textId="77777777" w:rsidR="00652F71" w:rsidRDefault="00127638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054" w14:textId="77777777" w:rsidR="00652F71" w:rsidRDefault="00127638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0B98" w14:textId="77777777" w:rsidR="00652F71" w:rsidRDefault="00127638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A155" w14:textId="77777777" w:rsidR="00652F71" w:rsidRDefault="00127638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0EEC" w14:textId="77777777" w:rsidR="00652F71" w:rsidRDefault="00127638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</w:tbl>
    <w:p w14:paraId="25975E43" w14:textId="77777777" w:rsidR="004C5FEB" w:rsidRDefault="004C5FEB">
      <w:r>
        <w:br w:type="page"/>
      </w:r>
    </w:p>
    <w:tbl>
      <w:tblPr>
        <w:tblpPr w:leftFromText="180" w:rightFromText="180" w:vertAnchor="text" w:horzAnchor="margin" w:tblpY="-71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09"/>
        <w:gridCol w:w="1308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5"/>
      </w:tblGrid>
      <w:tr w:rsidR="004C5FEB" w:rsidRPr="0025711C" w14:paraId="128A52C0" w14:textId="77777777" w:rsidTr="00E16A02">
        <w:trPr>
          <w:trHeight w:val="313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DF81FB" w14:textId="2C954BAD" w:rsidR="004C5FEB" w:rsidRDefault="004C5FEB" w:rsidP="00652F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104A43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lastRenderedPageBreak/>
              <w:t>Antiphospholipid syndrome</w:t>
            </w:r>
          </w:p>
        </w:tc>
      </w:tr>
      <w:tr w:rsidR="00E16A02" w:rsidRPr="0025711C" w14:paraId="17B1EC3B" w14:textId="77777777" w:rsidTr="00E16A02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EAF4F7" w14:textId="2E83B07A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8C46E16" w14:textId="0D160443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2C03157" w14:textId="20AE488F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23186F0" w14:textId="59225959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125EBC" w14:textId="15CA80CA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8C92FF6" w14:textId="14BB9243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941A5CA" w14:textId="7AE6D5C0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68223C7" w14:textId="04A3168C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9A36AA0" w14:textId="7FA4ACA2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3E5416" w14:textId="6B7FB065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B2CD9A2" w14:textId="1C9F021D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2A60F9D" w14:textId="1B20C9E9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4C5FEB" w:rsidRPr="0025711C" w14:paraId="39477B6D" w14:textId="77777777" w:rsidTr="00E16A02">
        <w:trPr>
          <w:trHeight w:val="76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D90D" w14:textId="78C0EBCD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2F71">
              <w:rPr>
                <w:sz w:val="18"/>
                <w:szCs w:val="18"/>
              </w:rPr>
              <w:t>Erkan</w:t>
            </w:r>
            <w:proofErr w:type="spellEnd"/>
            <w:r w:rsidRPr="00652F71">
              <w:rPr>
                <w:sz w:val="18"/>
                <w:szCs w:val="18"/>
              </w:rPr>
              <w:t xml:space="preserve"> et al., 2013 (RITAPS)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81A4" w14:textId="1C23094B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52F71">
              <w:rPr>
                <w:sz w:val="18"/>
                <w:szCs w:val="18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5A14" w14:textId="0728326E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52F71">
              <w:rPr>
                <w:sz w:val="18"/>
                <w:szCs w:val="18"/>
              </w:rPr>
              <w:t>1000mg on days 1 and 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8185" w14:textId="2C235192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52F71">
              <w:rPr>
                <w:sz w:val="18"/>
                <w:szCs w:val="18"/>
              </w:rPr>
              <w:t>Safety and tolerability up to 12 months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6D08" w14:textId="61FD1CF0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A2F72">
              <w:rPr>
                <w:sz w:val="18"/>
                <w:szCs w:val="18"/>
              </w:rPr>
              <w:t xml:space="preserve">Efficacy for non-criteria manifestations of </w:t>
            </w:r>
            <w:r w:rsidRPr="00AA2F72">
              <w:t xml:space="preserve"> </w:t>
            </w:r>
            <w:r w:rsidRPr="00670946">
              <w:rPr>
                <w:sz w:val="18"/>
                <w:szCs w:val="18"/>
              </w:rPr>
              <w:t>antiphospholipid antibody</w:t>
            </w:r>
            <w:r w:rsidRPr="00AA2F72">
              <w:rPr>
                <w:sz w:val="18"/>
                <w:szCs w:val="18"/>
              </w:rPr>
              <w:t xml:space="preserve"> for up to 6 months and effect on antiphospholipid antibody profile for up to 12 months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C212" w14:textId="464C074B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52F71">
              <w:rPr>
                <w:sz w:val="18"/>
                <w:szCs w:val="18"/>
              </w:rPr>
              <w:t>See adverse events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082D" w14:textId="6DC0957F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control.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85CF" w14:textId="10340D65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1968" w14:textId="37F290AB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control.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A85D" w14:textId="6FA4B3B4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52F71">
              <w:rPr>
                <w:sz w:val="18"/>
                <w:szCs w:val="18"/>
              </w:rPr>
              <w:t xml:space="preserve">49 </w:t>
            </w:r>
            <w:r>
              <w:rPr>
                <w:sz w:val="18"/>
                <w:szCs w:val="18"/>
              </w:rPr>
              <w:t>AEs</w:t>
            </w:r>
            <w:r w:rsidRPr="00652F71">
              <w:rPr>
                <w:sz w:val="18"/>
                <w:szCs w:val="18"/>
              </w:rPr>
              <w:t xml:space="preserve">: 8 within the first 24 hours, 41 more 24h after the infusion.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BBC0" w14:textId="1C8EFA74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52F71">
              <w:rPr>
                <w:sz w:val="18"/>
                <w:szCs w:val="18"/>
              </w:rPr>
              <w:t xml:space="preserve">No significant change in the SF-36 scores and PGA score at 24 weeks.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5E8F" w14:textId="342AE392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52F71">
              <w:rPr>
                <w:sz w:val="18"/>
                <w:szCs w:val="18"/>
              </w:rPr>
              <w:t>12 S</w:t>
            </w:r>
            <w:r>
              <w:rPr>
                <w:sz w:val="18"/>
                <w:szCs w:val="18"/>
              </w:rPr>
              <w:t>AEs</w:t>
            </w:r>
            <w:r w:rsidRPr="00652F71">
              <w:rPr>
                <w:sz w:val="18"/>
                <w:szCs w:val="18"/>
              </w:rPr>
              <w:t xml:space="preserve">: 5 neurologic, 3 infectious, 2 vascular, 1 cardiac and 1 allergic. </w:t>
            </w:r>
            <w:r>
              <w:rPr>
                <w:sz w:val="18"/>
                <w:szCs w:val="18"/>
              </w:rPr>
              <w:t>No information on</w:t>
            </w:r>
            <w:r w:rsidRPr="00652F71">
              <w:rPr>
                <w:sz w:val="18"/>
                <w:szCs w:val="18"/>
              </w:rPr>
              <w:t xml:space="preserve"> deaths.</w:t>
            </w:r>
          </w:p>
        </w:tc>
      </w:tr>
      <w:tr w:rsidR="000D27FC" w:rsidRPr="0025711C" w14:paraId="3D792373" w14:textId="77777777" w:rsidTr="00E16A02">
        <w:trPr>
          <w:gridAfter w:val="1"/>
          <w:wAfter w:w="15" w:type="dxa"/>
          <w:trHeight w:val="414"/>
        </w:trPr>
        <w:tc>
          <w:tcPr>
            <w:tcW w:w="15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870E11F" w14:textId="74BDA17B" w:rsidR="000D27FC" w:rsidRDefault="004C5FEB" w:rsidP="001047C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A</w:t>
            </w:r>
            <w:r w:rsidR="000D27FC" w:rsidRPr="000D27FC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utoimmune </w:t>
            </w:r>
            <w:proofErr w:type="spellStart"/>
            <w:r w:rsidR="000D27FC" w:rsidRPr="000D27FC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haemolytic</w:t>
            </w:r>
            <w:proofErr w:type="spellEnd"/>
            <w:r w:rsidR="000D27FC" w:rsidRPr="000D27FC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 </w:t>
            </w:r>
            <w:proofErr w:type="spellStart"/>
            <w:r w:rsidR="000D27FC" w:rsidRPr="000D27FC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anaemia</w:t>
            </w:r>
            <w:proofErr w:type="spellEnd"/>
            <w:r w:rsidR="000D27FC" w:rsidRPr="000D27FC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 </w:t>
            </w:r>
          </w:p>
        </w:tc>
      </w:tr>
      <w:tr w:rsidR="001D4D68" w:rsidRPr="0025711C" w14:paraId="68E261FD" w14:textId="77777777" w:rsidTr="00E16A02">
        <w:trPr>
          <w:gridAfter w:val="1"/>
          <w:wAfter w:w="15" w:type="dxa"/>
          <w:trHeight w:val="41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B51CDA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C4BD94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4DAA566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3080D8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6FBB4D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15613F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E48E5D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DA62D5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B2734D6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A22A65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E555FE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C4E09F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22071A" w:rsidRPr="0025711C" w14:paraId="5459BCA8" w14:textId="77777777" w:rsidTr="00E16A02">
        <w:trPr>
          <w:gridAfter w:val="1"/>
          <w:wAfter w:w="15" w:type="dxa"/>
          <w:trHeight w:val="268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0565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proofErr w:type="spellStart"/>
            <w:r w:rsidRPr="00256CBE">
              <w:rPr>
                <w:sz w:val="18"/>
              </w:rPr>
              <w:t>Birgens</w:t>
            </w:r>
            <w:proofErr w:type="spellEnd"/>
            <w:r w:rsidRPr="00256CBE">
              <w:rPr>
                <w:sz w:val="18"/>
              </w:rPr>
              <w:t xml:space="preserve"> et al., 2013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CF67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88D9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375mg/m</w:t>
            </w:r>
            <w:r w:rsidRPr="007439A8">
              <w:rPr>
                <w:sz w:val="18"/>
                <w:vertAlign w:val="superscript"/>
              </w:rPr>
              <w:t>2</w:t>
            </w:r>
            <w:r w:rsidRPr="00256CBE">
              <w:rPr>
                <w:sz w:val="18"/>
              </w:rPr>
              <w:t xml:space="preserve"> weekly for 4 weeks in combination with </w:t>
            </w:r>
            <w:r w:rsidR="00474B8E">
              <w:rPr>
                <w:sz w:val="18"/>
              </w:rPr>
              <w:t>corticosteroid</w:t>
            </w:r>
            <w:r w:rsidR="00D97FD7">
              <w:rPr>
                <w:sz w:val="18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ABED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 xml:space="preserve">Treatment response after 3, 6, and 12 months: CR (normalization in </w:t>
            </w:r>
            <w:proofErr w:type="spellStart"/>
            <w:r w:rsidRPr="00256CBE">
              <w:rPr>
                <w:sz w:val="18"/>
              </w:rPr>
              <w:t>haemoglobin</w:t>
            </w:r>
            <w:proofErr w:type="spellEnd"/>
            <w:r w:rsidRPr="00256CBE">
              <w:rPr>
                <w:sz w:val="18"/>
              </w:rPr>
              <w:t xml:space="preserve"> concentration without any ongoing immunosuppressive treatment and without any biochemical signs of </w:t>
            </w:r>
            <w:proofErr w:type="spellStart"/>
            <w:r w:rsidRPr="00256CBE">
              <w:rPr>
                <w:sz w:val="18"/>
              </w:rPr>
              <w:t>haemolytic</w:t>
            </w:r>
            <w:proofErr w:type="spellEnd"/>
            <w:r w:rsidRPr="00256CBE">
              <w:rPr>
                <w:sz w:val="18"/>
              </w:rPr>
              <w:t xml:space="preserve"> activity), PR (similar to CR but requiring low-dose </w:t>
            </w:r>
            <w:r w:rsidR="00474B8E">
              <w:rPr>
                <w:sz w:val="18"/>
              </w:rPr>
              <w:t>corticosteroid</w:t>
            </w:r>
            <w:r w:rsidRPr="00256CBE">
              <w:rPr>
                <w:sz w:val="18"/>
              </w:rPr>
              <w:t xml:space="preserve"> (&lt;10mg/d), or appearing as </w:t>
            </w:r>
            <w:r w:rsidRPr="00256CBE">
              <w:rPr>
                <w:sz w:val="18"/>
              </w:rPr>
              <w:lastRenderedPageBreak/>
              <w:t xml:space="preserve">compensated </w:t>
            </w:r>
            <w:proofErr w:type="spellStart"/>
            <w:r w:rsidRPr="00256CBE">
              <w:rPr>
                <w:sz w:val="18"/>
              </w:rPr>
              <w:t>haemolytic</w:t>
            </w:r>
            <w:proofErr w:type="spellEnd"/>
            <w:r w:rsidRPr="00256CBE">
              <w:rPr>
                <w:sz w:val="18"/>
              </w:rPr>
              <w:t xml:space="preserve"> </w:t>
            </w:r>
            <w:proofErr w:type="spellStart"/>
            <w:r w:rsidRPr="00256CBE">
              <w:rPr>
                <w:sz w:val="18"/>
              </w:rPr>
              <w:t>anaemia</w:t>
            </w:r>
            <w:proofErr w:type="spellEnd"/>
            <w:r w:rsidRPr="00256CBE">
              <w:rPr>
                <w:sz w:val="18"/>
              </w:rPr>
              <w:t xml:space="preserve"> entailing a stable, acceptable </w:t>
            </w:r>
            <w:proofErr w:type="spellStart"/>
            <w:r w:rsidRPr="00256CBE">
              <w:rPr>
                <w:sz w:val="18"/>
              </w:rPr>
              <w:t>haemoglobin</w:t>
            </w:r>
            <w:proofErr w:type="spellEnd"/>
            <w:r w:rsidRPr="00256CBE">
              <w:rPr>
                <w:sz w:val="18"/>
              </w:rPr>
              <w:t xml:space="preserve"> level without any need of treatment ex</w:t>
            </w:r>
            <w:r w:rsidR="00474B8E">
              <w:rPr>
                <w:sz w:val="18"/>
              </w:rPr>
              <w:t>c</w:t>
            </w:r>
            <w:r w:rsidRPr="00256CBE">
              <w:rPr>
                <w:sz w:val="18"/>
              </w:rPr>
              <w:t xml:space="preserve">ept low-dose </w:t>
            </w:r>
            <w:r w:rsidR="00EE7DB7">
              <w:rPr>
                <w:sz w:val="18"/>
              </w:rPr>
              <w:t>corticosteroid</w:t>
            </w:r>
            <w:r w:rsidRPr="00256CBE">
              <w:rPr>
                <w:sz w:val="18"/>
              </w:rPr>
              <w:t>).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5452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lastRenderedPageBreak/>
              <w:t>Relapse-free survival, red blood cell tran</w:t>
            </w:r>
            <w:r w:rsidR="00B00DCD">
              <w:rPr>
                <w:sz w:val="18"/>
              </w:rPr>
              <w:t>s</w:t>
            </w:r>
            <w:r w:rsidRPr="00256CBE">
              <w:rPr>
                <w:sz w:val="18"/>
              </w:rPr>
              <w:t>fusion requirement, need for splenectomy, and safety profiles</w:t>
            </w:r>
            <w:r w:rsidR="00D97FD7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DAF5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 xml:space="preserve">3 months: CR or PR response in about 50% </w:t>
            </w:r>
            <w:r w:rsidR="00B00DCD">
              <w:rPr>
                <w:sz w:val="18"/>
              </w:rPr>
              <w:t>of patients</w:t>
            </w:r>
            <w:r w:rsidRPr="00256CBE">
              <w:rPr>
                <w:sz w:val="18"/>
              </w:rPr>
              <w:t xml:space="preserve"> (p=0.7). 6 months: CR in 63% (p=0.07). 12 months: CR in 75% </w:t>
            </w:r>
            <w:r w:rsidR="00B00DCD">
              <w:rPr>
                <w:sz w:val="18"/>
              </w:rPr>
              <w:t>of patients</w:t>
            </w:r>
            <w:r w:rsidRPr="00256CBE">
              <w:rPr>
                <w:sz w:val="18"/>
              </w:rPr>
              <w:t xml:space="preserve"> (p&lt;0.003)</w:t>
            </w:r>
            <w:r w:rsidR="00D97FD7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B01D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 xml:space="preserve">3 months: CR or PR response in 50% </w:t>
            </w:r>
            <w:r w:rsidR="00B00DCD">
              <w:rPr>
                <w:sz w:val="18"/>
              </w:rPr>
              <w:t>of patients</w:t>
            </w:r>
            <w:r w:rsidRPr="00256CBE">
              <w:rPr>
                <w:sz w:val="18"/>
              </w:rPr>
              <w:t xml:space="preserve">. 6 months: CR in 39%. 12 months: CR in 36% </w:t>
            </w:r>
            <w:r w:rsidR="00B00DCD">
              <w:rPr>
                <w:sz w:val="18"/>
              </w:rPr>
              <w:t>of patients</w:t>
            </w:r>
            <w:r w:rsidRPr="00256CBE">
              <w:rPr>
                <w:sz w:val="18"/>
              </w:rPr>
              <w:t xml:space="preserve">.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0A79" w14:textId="77777777" w:rsidR="00256CBE" w:rsidRPr="00256CBE" w:rsidRDefault="00127638" w:rsidP="00474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97CD" w14:textId="77777777" w:rsidR="00256CBE" w:rsidRPr="00256CBE" w:rsidRDefault="00127638" w:rsidP="00474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</w:t>
            </w:r>
            <w:r w:rsidR="00EE16A4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7721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 xml:space="preserve">No significant difference in the </w:t>
            </w:r>
            <w:r w:rsidR="00474B8E" w:rsidRPr="00256CBE">
              <w:rPr>
                <w:sz w:val="18"/>
              </w:rPr>
              <w:t>occurrence</w:t>
            </w:r>
            <w:r w:rsidRPr="00256CBE">
              <w:rPr>
                <w:sz w:val="18"/>
              </w:rPr>
              <w:t xml:space="preserve"> of </w:t>
            </w:r>
            <w:r w:rsidR="00B00DCD">
              <w:rPr>
                <w:sz w:val="18"/>
              </w:rPr>
              <w:t>AEs</w:t>
            </w:r>
            <w:r w:rsidR="00D97FD7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F6F1" w14:textId="77777777" w:rsidR="00256CBE" w:rsidRPr="00256CBE" w:rsidRDefault="00127638" w:rsidP="00474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601B" w14:textId="77777777" w:rsidR="00256CBE" w:rsidRPr="00256CBE" w:rsidRDefault="00256CBE" w:rsidP="00B00DCD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 xml:space="preserve">9 patients with an SAE (5 non-fatal and 4 with fatal outcome). </w:t>
            </w:r>
          </w:p>
        </w:tc>
      </w:tr>
      <w:tr w:rsidR="004C5FEB" w:rsidRPr="0025711C" w14:paraId="7F9F5BCE" w14:textId="77777777" w:rsidTr="00E16A02">
        <w:trPr>
          <w:gridAfter w:val="1"/>
          <w:wAfter w:w="15" w:type="dxa"/>
          <w:trHeight w:val="7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1C85756" w14:textId="73988502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CB3AA2" w14:textId="3D3381AE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954221" w14:textId="7C02D609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116A769" w14:textId="13DA11B5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D211C31" w14:textId="2FE5F8BD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A4374B8" w14:textId="2484360A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8E191E1" w14:textId="7F19ED21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A6592E" w14:textId="20AB007A" w:rsidR="004C5FEB" w:rsidRDefault="004C5FEB" w:rsidP="004C5FEB">
            <w:pPr>
              <w:spacing w:line="240" w:lineRule="auto"/>
              <w:rPr>
                <w:sz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8B7F786" w14:textId="5B3E1AF7" w:rsidR="004C5FEB" w:rsidRDefault="004C5FEB" w:rsidP="004C5FEB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49FCA43" w14:textId="789D5CFB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11F4C79" w14:textId="4804EE90" w:rsidR="004C5FEB" w:rsidRDefault="004C5FEB" w:rsidP="004C5FEB">
            <w:pPr>
              <w:spacing w:line="240" w:lineRule="auto"/>
              <w:rPr>
                <w:sz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8C59984" w14:textId="0040DB04" w:rsidR="004C5FEB" w:rsidRPr="00256CBE" w:rsidRDefault="004C5FEB" w:rsidP="004C5FEB">
            <w:pPr>
              <w:spacing w:line="240" w:lineRule="auto"/>
              <w:rPr>
                <w:sz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22071A" w:rsidRPr="0025711C" w14:paraId="7147FEBF" w14:textId="77777777" w:rsidTr="00E16A02">
        <w:trPr>
          <w:gridAfter w:val="1"/>
          <w:wAfter w:w="15" w:type="dxa"/>
          <w:trHeight w:val="97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5280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Michel et al., 2016 (RAIHA)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A754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2F83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1000mg on days 1 and 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80F2" w14:textId="30C451F1" w:rsidR="00256CBE" w:rsidRPr="00256CBE" w:rsidRDefault="00256CBE" w:rsidP="00670946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 xml:space="preserve">Overall response rate (CR + PR) at 1 year: CR = </w:t>
            </w:r>
            <w:r w:rsidR="00670946">
              <w:t xml:space="preserve"> </w:t>
            </w:r>
            <w:r w:rsidR="00670946" w:rsidRPr="00670946">
              <w:rPr>
                <w:sz w:val="18"/>
              </w:rPr>
              <w:t xml:space="preserve">hemoglobin </w:t>
            </w:r>
            <w:r w:rsidRPr="00256CBE">
              <w:rPr>
                <w:sz w:val="18"/>
              </w:rPr>
              <w:t xml:space="preserve">level ≥11g/dl or 12 g/dl without features of ongoing </w:t>
            </w:r>
            <w:proofErr w:type="spellStart"/>
            <w:r w:rsidR="0022071A" w:rsidRPr="00256CBE">
              <w:rPr>
                <w:sz w:val="18"/>
              </w:rPr>
              <w:t>haemolysis</w:t>
            </w:r>
            <w:proofErr w:type="spellEnd"/>
            <w:r w:rsidRPr="00256CBE">
              <w:rPr>
                <w:sz w:val="18"/>
              </w:rPr>
              <w:t>, wit</w:t>
            </w:r>
            <w:r w:rsidR="0022071A">
              <w:rPr>
                <w:sz w:val="18"/>
              </w:rPr>
              <w:t xml:space="preserve">hout any ongoing treatment for </w:t>
            </w:r>
            <w:r w:rsidRPr="00256CBE">
              <w:rPr>
                <w:sz w:val="18"/>
              </w:rPr>
              <w:t>AIHA on 2 diff</w:t>
            </w:r>
            <w:r w:rsidR="00474B8E">
              <w:rPr>
                <w:sz w:val="18"/>
              </w:rPr>
              <w:t>e</w:t>
            </w:r>
            <w:r w:rsidRPr="00256CBE">
              <w:rPr>
                <w:sz w:val="18"/>
              </w:rPr>
              <w:t xml:space="preserve">rent occasions 4 weeks apart in the absence of any recent transfusion. PR = </w:t>
            </w:r>
            <w:r w:rsidR="00637C4B" w:rsidRPr="00670946">
              <w:rPr>
                <w:sz w:val="18"/>
              </w:rPr>
              <w:t>hemoglobin</w:t>
            </w:r>
            <w:r w:rsidR="00637C4B" w:rsidRPr="00256CBE" w:rsidDel="00637C4B">
              <w:rPr>
                <w:sz w:val="18"/>
              </w:rPr>
              <w:t xml:space="preserve"> </w:t>
            </w:r>
            <w:r w:rsidRPr="00256CBE">
              <w:rPr>
                <w:sz w:val="18"/>
              </w:rPr>
              <w:t xml:space="preserve">level ≥10g/dl with at least a 2g increase from baseline without any other treatment than </w:t>
            </w:r>
            <w:r w:rsidR="00EE7DB7">
              <w:rPr>
                <w:sz w:val="18"/>
              </w:rPr>
              <w:lastRenderedPageBreak/>
              <w:t>corticosteroid</w:t>
            </w:r>
            <w:r w:rsidRPr="00256CBE">
              <w:rPr>
                <w:sz w:val="18"/>
              </w:rPr>
              <w:t xml:space="preserve"> ≤10mg/d or recent transfusion</w:t>
            </w:r>
            <w:r w:rsidR="00474B8E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7AE9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lastRenderedPageBreak/>
              <w:t xml:space="preserve">PR, cumulative dose of steroids, number of transfusions and hospitalizations at 1 year, incidence and severity of </w:t>
            </w:r>
            <w:r w:rsidR="00B00DCD">
              <w:rPr>
                <w:sz w:val="18"/>
              </w:rPr>
              <w:t>AEs</w:t>
            </w:r>
            <w:r w:rsidRPr="00256CBE">
              <w:rPr>
                <w:sz w:val="18"/>
              </w:rPr>
              <w:t>, CR/PR at 2 years</w:t>
            </w:r>
            <w:r w:rsidR="00474B8E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22ED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Overall response rate: 75% (11 CR, 1 PR) (p=0.032)</w:t>
            </w:r>
            <w:r w:rsidR="0022071A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8F54" w14:textId="77777777" w:rsidR="00256CBE" w:rsidRPr="00256CBE" w:rsidRDefault="00256CBE" w:rsidP="00256CBE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Overall response rate: 31% (CR 5)</w:t>
            </w:r>
            <w:r w:rsidR="0022071A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9F5" w14:textId="77777777" w:rsidR="00256CBE" w:rsidRPr="00256CBE" w:rsidRDefault="00127638" w:rsidP="00474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F792" w14:textId="77777777" w:rsidR="00256CBE" w:rsidRPr="00256CBE" w:rsidRDefault="00127638" w:rsidP="00474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8563" w14:textId="77777777" w:rsidR="00256CBE" w:rsidRPr="00256CBE" w:rsidRDefault="00127638" w:rsidP="00474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0FCA" w14:textId="77777777" w:rsidR="00256CBE" w:rsidRPr="00256CBE" w:rsidRDefault="00127638" w:rsidP="00474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96A4" w14:textId="77777777" w:rsidR="00256CBE" w:rsidRPr="00256CBE" w:rsidRDefault="00256CBE" w:rsidP="009A70DC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4 nonfatal S</w:t>
            </w:r>
            <w:r w:rsidR="00B00DCD">
              <w:rPr>
                <w:sz w:val="18"/>
              </w:rPr>
              <w:t>AEs</w:t>
            </w:r>
            <w:r w:rsidRPr="00256CBE">
              <w:rPr>
                <w:sz w:val="18"/>
              </w:rPr>
              <w:t xml:space="preserve"> in 3 patients. No deaths.</w:t>
            </w:r>
          </w:p>
        </w:tc>
      </w:tr>
      <w:tr w:rsidR="001732EA" w:rsidRPr="0025711C" w14:paraId="3EE8FA9F" w14:textId="77777777" w:rsidTr="00E16A02">
        <w:trPr>
          <w:gridAfter w:val="1"/>
          <w:wAfter w:w="15" w:type="dxa"/>
          <w:trHeight w:val="354"/>
        </w:trPr>
        <w:tc>
          <w:tcPr>
            <w:tcW w:w="15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04D840" w14:textId="77777777" w:rsidR="001732EA" w:rsidRPr="001732EA" w:rsidRDefault="001732EA" w:rsidP="001732EA">
            <w:pPr>
              <w:spacing w:after="0" w:line="240" w:lineRule="auto"/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</w:pPr>
            <w:r w:rsidRPr="001732EA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Autoimmune hepatitis</w:t>
            </w:r>
          </w:p>
        </w:tc>
      </w:tr>
      <w:tr w:rsidR="001D4D68" w:rsidRPr="0025711C" w14:paraId="24F2D1B9" w14:textId="77777777" w:rsidTr="00E16A02">
        <w:trPr>
          <w:gridAfter w:val="1"/>
          <w:wAfter w:w="15" w:type="dxa"/>
          <w:trHeight w:val="47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AE38AD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652353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AD07A6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AF4080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EE4A2C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445628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4E2357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5297D8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3C099F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EDEE23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797F5E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BC2383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22071A" w:rsidRPr="0025711C" w14:paraId="2F10F160" w14:textId="77777777" w:rsidTr="00E16A02">
        <w:trPr>
          <w:gridAfter w:val="1"/>
          <w:wAfter w:w="15" w:type="dxa"/>
          <w:trHeight w:val="126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DD7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6CBE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256CBE">
              <w:rPr>
                <w:color w:val="000000"/>
                <w:sz w:val="18"/>
                <w:szCs w:val="18"/>
              </w:rPr>
              <w:t xml:space="preserve"> et al., 2013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9D75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6EDE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1000mg on days 1 and 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FA90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Safety (lack of infusion reactions or SAE) over 72 weeks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3DD3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 xml:space="preserve">Efficacy at week 24: change in ALT, AST, bilirubin, </w:t>
            </w:r>
            <w:proofErr w:type="spellStart"/>
            <w:r w:rsidRPr="00256CBE">
              <w:rPr>
                <w:color w:val="000000"/>
                <w:sz w:val="18"/>
                <w:szCs w:val="18"/>
              </w:rPr>
              <w:t>gammaglobulin</w:t>
            </w:r>
            <w:proofErr w:type="spellEnd"/>
            <w:r w:rsidRPr="00256CBE">
              <w:rPr>
                <w:color w:val="000000"/>
                <w:sz w:val="18"/>
                <w:szCs w:val="18"/>
              </w:rPr>
              <w:t xml:space="preserve"> and IgG levels as well as FSS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CDDA" w14:textId="77777777" w:rsidR="00256CBE" w:rsidRPr="00256CBE" w:rsidRDefault="00127638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E3F5" w14:textId="77777777" w:rsidR="00256CBE" w:rsidRPr="00256CB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1DF3" w14:textId="77777777" w:rsidR="00256CBE" w:rsidRPr="00256CBE" w:rsidRDefault="00127638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B4FE" w14:textId="77777777" w:rsidR="00256CBE" w:rsidRPr="00256CB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3338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Mild unilateral conjunctivitis and dental abscess in one patient. One patient developed jaundice and elevated ALT levels which was considered as a disease flare.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8EA3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significant change in the nine-point fatigue severity scale.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CBE5" w14:textId="77777777" w:rsidR="00256CBE" w:rsidRPr="00256CBE" w:rsidRDefault="00256CBE" w:rsidP="0022071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SAE</w:t>
            </w:r>
            <w:r w:rsidR="009A70DC">
              <w:rPr>
                <w:color w:val="000000"/>
                <w:sz w:val="18"/>
                <w:szCs w:val="18"/>
              </w:rPr>
              <w:t>s</w:t>
            </w:r>
            <w:r w:rsidRPr="00256CBE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256CBE" w:rsidRPr="0025711C" w14:paraId="41D0BE71" w14:textId="77777777" w:rsidTr="00E16A02">
        <w:trPr>
          <w:gridAfter w:val="1"/>
          <w:wAfter w:w="15" w:type="dxa"/>
          <w:trHeight w:val="382"/>
        </w:trPr>
        <w:tc>
          <w:tcPr>
            <w:tcW w:w="15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08B9E8" w14:textId="77777777" w:rsidR="00256CBE" w:rsidRPr="00256CBE" w:rsidRDefault="00B80208" w:rsidP="001732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Behçet</w:t>
            </w:r>
            <w:r w:rsidR="001047C8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’s</w:t>
            </w:r>
            <w:proofErr w:type="spellEnd"/>
            <w:r w:rsidR="00256CBE" w:rsidRPr="006408EA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 disease</w:t>
            </w:r>
          </w:p>
        </w:tc>
      </w:tr>
      <w:tr w:rsidR="004C5FEB" w:rsidRPr="0025711C" w14:paraId="0C30C26D" w14:textId="77777777" w:rsidTr="00E16A02">
        <w:trPr>
          <w:gridAfter w:val="1"/>
          <w:wAfter w:w="15" w:type="dxa"/>
          <w:trHeight w:val="72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569451C" w14:textId="77EE978B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28D397D" w14:textId="1738B146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EE31C9E" w14:textId="74F594FB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9CDB9AE" w14:textId="0C615720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45931B5" w14:textId="0D581682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CD4E35D" w14:textId="07642F54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E23553B" w14:textId="2978628A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C89883B" w14:textId="0A690461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33C2A6E" w14:textId="79D9B236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634A67C" w14:textId="2F96AB91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CE3CBCB" w14:textId="4240AD85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A0E2866" w14:textId="464DAAF9" w:rsidR="004C5FEB" w:rsidRDefault="004C5FEB" w:rsidP="004C5F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22071A" w:rsidRPr="0025711C" w14:paraId="0159B4EB" w14:textId="77777777" w:rsidTr="00E16A02">
        <w:trPr>
          <w:gridAfter w:val="1"/>
          <w:wAfter w:w="15" w:type="dxa"/>
          <w:trHeight w:val="92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C1A2" w14:textId="77777777" w:rsid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Davatchi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0963" w14:textId="77777777" w:rsid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1B3F" w14:textId="77777777" w:rsid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1000mg on days 1 and 15 in combination with MTX and </w:t>
            </w:r>
            <w:r w:rsidR="00474B8E">
              <w:rPr>
                <w:color w:val="000000"/>
                <w:sz w:val="18"/>
                <w:szCs w:val="18"/>
              </w:rPr>
              <w:t>corticosteroid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008D" w14:textId="77777777" w:rsidR="00256CBE" w:rsidRDefault="00256CBE" w:rsidP="009A70D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Overall state of patient's eyes calculated by TADAI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F1B1" w14:textId="77777777" w:rsid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Visual acuity, posterior uveitis, and retinal vasculitis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16A7" w14:textId="77777777" w:rsidR="00256CBE" w:rsidRDefault="00127638" w:rsidP="0022071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C82E" w14:textId="77777777" w:rsidR="00256CBE" w:rsidRDefault="00127638" w:rsidP="0022071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5970" w14:textId="77777777" w:rsidR="00256CBE" w:rsidRDefault="00127638" w:rsidP="0022071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F787" w14:textId="77777777" w:rsidR="00256CBE" w:rsidRDefault="00127638" w:rsidP="0022071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C7B7" w14:textId="77777777" w:rsid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patients with conjunctivitis, 1 patient with pneumonia, and 1 patient with herpes zoster. Further side effects comprised infusion related reactions (1 mild </w:t>
            </w:r>
            <w:proofErr w:type="spellStart"/>
            <w:r>
              <w:rPr>
                <w:color w:val="000000"/>
                <w:sz w:val="18"/>
                <w:szCs w:val="18"/>
              </w:rPr>
              <w:t>urticaria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1 flushing and 1 severe allergic reaction).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90DF" w14:textId="77777777" w:rsidR="00256CBE" w:rsidRDefault="00127638" w:rsidP="0022071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893E" w14:textId="77777777" w:rsidR="00256CBE" w:rsidRDefault="00127638" w:rsidP="0022071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</w:tbl>
    <w:p w14:paraId="697E40FC" w14:textId="7E2E1D34" w:rsidR="00256CBE" w:rsidRDefault="00256CBE"/>
    <w:tbl>
      <w:tblPr>
        <w:tblpPr w:leftFromText="180" w:rightFromText="180" w:vertAnchor="text" w:horzAnchor="margin" w:tblpY="323"/>
        <w:tblW w:w="15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309"/>
        <w:gridCol w:w="1310"/>
        <w:gridCol w:w="1309"/>
        <w:gridCol w:w="1310"/>
        <w:gridCol w:w="1310"/>
        <w:gridCol w:w="1309"/>
        <w:gridCol w:w="1310"/>
        <w:gridCol w:w="1309"/>
        <w:gridCol w:w="1310"/>
        <w:gridCol w:w="1310"/>
      </w:tblGrid>
      <w:tr w:rsidR="00256CBE" w:rsidRPr="0025711C" w14:paraId="4A3B2FF2" w14:textId="77777777" w:rsidTr="00C66FDE">
        <w:trPr>
          <w:trHeight w:val="461"/>
        </w:trPr>
        <w:tc>
          <w:tcPr>
            <w:tcW w:w="15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8FE46F" w14:textId="77777777" w:rsidR="00256CBE" w:rsidRPr="00256CBE" w:rsidRDefault="00256CBE" w:rsidP="0022071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256CBE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lastRenderedPageBreak/>
              <w:t>Bullous pemphigoid</w:t>
            </w:r>
          </w:p>
        </w:tc>
      </w:tr>
      <w:tr w:rsidR="001D4D68" w:rsidRPr="0025711C" w14:paraId="0361F603" w14:textId="77777777" w:rsidTr="00E16A02">
        <w:trPr>
          <w:trHeight w:val="45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BAB248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FA5A2D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065E53C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017E65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FEBA21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DB739E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9364F8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396CA3C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AD93CE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B036E32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DA7580C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7E97CB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F21B53" w:rsidRPr="0025711C" w14:paraId="7FD1C585" w14:textId="77777777" w:rsidTr="00E16A02">
        <w:trPr>
          <w:trHeight w:val="77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84CA" w14:textId="77777777" w:rsidR="00256CBE" w:rsidRPr="00256CBE" w:rsidRDefault="00256CBE" w:rsidP="0022071A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Hall et al., 2013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1FF5" w14:textId="77777777" w:rsidR="00256CBE" w:rsidRPr="00256CBE" w:rsidRDefault="00256CBE" w:rsidP="0022071A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ED66" w14:textId="77777777" w:rsidR="00256CBE" w:rsidRPr="00256CBE" w:rsidRDefault="00256CBE" w:rsidP="0022071A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1000mg on days 0 and 14</w:t>
            </w:r>
            <w:r w:rsidR="0022071A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0B0B" w14:textId="77777777" w:rsidR="00256CBE" w:rsidRPr="00256CBE" w:rsidRDefault="00256CBE" w:rsidP="0022071A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No primary endpoint defined</w:t>
            </w:r>
            <w:r w:rsidR="0022071A">
              <w:rPr>
                <w:sz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6630" w14:textId="77777777" w:rsidR="00256CBE" w:rsidRPr="00256CBE" w:rsidRDefault="00256CBE" w:rsidP="0022071A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>No secondary endpoints defined</w:t>
            </w:r>
            <w:r w:rsidR="0022071A">
              <w:rPr>
                <w:sz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F3F7" w14:textId="77777777" w:rsidR="00256CBE" w:rsidRPr="00256CBE" w:rsidRDefault="00127638" w:rsidP="0022071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0ADF" w14:textId="77777777" w:rsidR="00256CBE" w:rsidRPr="00256CBE" w:rsidRDefault="00E85462" w:rsidP="0022071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D312" w14:textId="77777777" w:rsidR="00256CBE" w:rsidRPr="00256CBE" w:rsidRDefault="00127638" w:rsidP="0022071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D03" w14:textId="77777777" w:rsidR="00256CBE" w:rsidRPr="00256CBE" w:rsidRDefault="00E85462" w:rsidP="0022071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8CE7" w14:textId="77777777" w:rsidR="00256CBE" w:rsidRPr="00256CBE" w:rsidRDefault="00127638" w:rsidP="0022071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5854" w14:textId="77777777" w:rsidR="00256CBE" w:rsidRPr="00256CBE" w:rsidRDefault="00127638" w:rsidP="0022071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6342" w14:textId="77777777" w:rsidR="00256CBE" w:rsidRPr="00256CBE" w:rsidRDefault="00256CBE" w:rsidP="0022071A">
            <w:pPr>
              <w:spacing w:line="240" w:lineRule="auto"/>
              <w:rPr>
                <w:sz w:val="18"/>
              </w:rPr>
            </w:pPr>
            <w:r w:rsidRPr="00256CBE">
              <w:rPr>
                <w:sz w:val="18"/>
              </w:rPr>
              <w:t xml:space="preserve">No SAE. </w:t>
            </w:r>
          </w:p>
        </w:tc>
      </w:tr>
    </w:tbl>
    <w:tbl>
      <w:tblPr>
        <w:tblpPr w:leftFromText="180" w:rightFromText="180" w:vertAnchor="text" w:horzAnchor="margin" w:tblpY="2055"/>
        <w:tblW w:w="15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309"/>
        <w:gridCol w:w="1310"/>
        <w:gridCol w:w="1309"/>
        <w:gridCol w:w="1310"/>
        <w:gridCol w:w="1310"/>
        <w:gridCol w:w="1309"/>
        <w:gridCol w:w="1310"/>
        <w:gridCol w:w="1309"/>
        <w:gridCol w:w="1310"/>
        <w:gridCol w:w="1310"/>
      </w:tblGrid>
      <w:tr w:rsidR="00C66FDE" w:rsidRPr="0025711C" w14:paraId="6BB46128" w14:textId="77777777" w:rsidTr="00C66FDE">
        <w:trPr>
          <w:trHeight w:val="279"/>
        </w:trPr>
        <w:tc>
          <w:tcPr>
            <w:tcW w:w="15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1E079FC" w14:textId="77777777" w:rsidR="00C66FDE" w:rsidRPr="0022071A" w:rsidRDefault="00C66FDE" w:rsidP="00C66FDE">
            <w:pPr>
              <w:spacing w:after="0" w:line="240" w:lineRule="auto"/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Castleman’s</w:t>
            </w:r>
            <w:proofErr w:type="spellEnd"/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 disease</w:t>
            </w:r>
          </w:p>
        </w:tc>
      </w:tr>
      <w:tr w:rsidR="00C66FDE" w:rsidRPr="0025711C" w14:paraId="7CE9265B" w14:textId="77777777" w:rsidTr="00E16A02">
        <w:trPr>
          <w:trHeight w:val="41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200269C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AD5D183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7D37A30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7036DFC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99F41A1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DA5723D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F1C6335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F16A1F3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24FBBDF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7E736A0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C275F15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D7782FE" w14:textId="77777777" w:rsidR="00C66FDE" w:rsidRPr="0025711C" w:rsidRDefault="00C66FDE" w:rsidP="00C66FDE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C66FDE" w:rsidRPr="0025711C" w14:paraId="0B4C3A12" w14:textId="77777777" w:rsidTr="00E16A02">
        <w:trPr>
          <w:trHeight w:val="1333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7A54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Marcelin et al., 2003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B95C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FE3F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256CBE">
              <w:rPr>
                <w:color w:val="000000"/>
                <w:sz w:val="18"/>
                <w:szCs w:val="18"/>
              </w:rPr>
              <w:t xml:space="preserve"> weekly for 4 weeks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B297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primary endpoint defined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46DD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secondary endpoints defined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576F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44A4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4995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924C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5E27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 xml:space="preserve">2 patients with aggravation of </w:t>
            </w: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D16A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1C8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</w:t>
            </w:r>
            <w:r>
              <w:rPr>
                <w:color w:val="000000"/>
                <w:sz w:val="18"/>
                <w:szCs w:val="18"/>
              </w:rPr>
              <w:t>AEs</w:t>
            </w:r>
            <w:r w:rsidRPr="00256CBE">
              <w:rPr>
                <w:color w:val="000000"/>
                <w:sz w:val="18"/>
                <w:szCs w:val="18"/>
              </w:rPr>
              <w:t xml:space="preserve">. 2 deaths due to severe hematologic autoimmune disorders associated </w:t>
            </w:r>
            <w:r>
              <w:rPr>
                <w:color w:val="000000"/>
                <w:sz w:val="18"/>
                <w:szCs w:val="18"/>
              </w:rPr>
              <w:t>with MCD.</w:t>
            </w:r>
          </w:p>
        </w:tc>
      </w:tr>
      <w:tr w:rsidR="00C66FDE" w:rsidRPr="0025711C" w14:paraId="15D1B90E" w14:textId="77777777" w:rsidTr="00E16A02">
        <w:trPr>
          <w:trHeight w:val="133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71CD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Ide et al., 2006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6DDC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6716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256CBE">
              <w:rPr>
                <w:color w:val="000000"/>
                <w:sz w:val="18"/>
                <w:szCs w:val="18"/>
              </w:rPr>
              <w:t xml:space="preserve"> weekly for 4 or 8 weeks, followed by oral </w:t>
            </w:r>
            <w:r>
              <w:rPr>
                <w:color w:val="000000"/>
                <w:sz w:val="18"/>
                <w:szCs w:val="18"/>
              </w:rPr>
              <w:t>corticosteroid</w:t>
            </w:r>
            <w:r w:rsidRPr="00256CBE">
              <w:rPr>
                <w:color w:val="000000"/>
                <w:sz w:val="18"/>
                <w:szCs w:val="18"/>
              </w:rPr>
              <w:t xml:space="preserve"> and/or alkylating agents for maintenance therapy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B2D9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1269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2F58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1DB4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8152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F53D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05D1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adverse events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8E6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67ED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</w:t>
            </w:r>
            <w:r>
              <w:rPr>
                <w:color w:val="000000"/>
                <w:sz w:val="18"/>
                <w:szCs w:val="18"/>
              </w:rPr>
              <w:t>AEs.</w:t>
            </w:r>
          </w:p>
        </w:tc>
      </w:tr>
      <w:tr w:rsidR="00C66FDE" w:rsidRPr="0025711C" w14:paraId="7D1A369B" w14:textId="77777777" w:rsidTr="00E16A02">
        <w:trPr>
          <w:trHeight w:val="133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0C47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Bower et al., 2007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D07E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3D4D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256CBE">
              <w:rPr>
                <w:color w:val="000000"/>
                <w:sz w:val="18"/>
                <w:szCs w:val="18"/>
              </w:rPr>
              <w:t xml:space="preserve"> weekly for 4 weeks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9068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D307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8716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4524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2A27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FD38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527E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4/11 patients had aggravation of KS. No further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7D13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F872" w14:textId="77777777" w:rsidR="00C66FDE" w:rsidRPr="00256CBE" w:rsidRDefault="00C66FDE" w:rsidP="00C66F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 xml:space="preserve">1 death due to progressive disease. </w:t>
            </w:r>
          </w:p>
        </w:tc>
      </w:tr>
    </w:tbl>
    <w:p w14:paraId="0CDE15D2" w14:textId="0095AB28" w:rsidR="0022071A" w:rsidRDefault="0022071A">
      <w:r>
        <w:br w:type="page"/>
      </w:r>
    </w:p>
    <w:tbl>
      <w:tblPr>
        <w:tblpPr w:leftFromText="180" w:rightFromText="180" w:vertAnchor="text" w:horzAnchor="margin" w:tblpY="-71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1A36BF" w:rsidRPr="0025711C" w14:paraId="55011EBE" w14:textId="77777777" w:rsidTr="00E16A02">
        <w:trPr>
          <w:trHeight w:val="41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EF7C0A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lastRenderedPageBreak/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1A5A1D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A3E047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83E9A95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4BD0CE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3A61F9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717AE5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28907F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E028072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1064B5C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986003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4C3C24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256CBE" w:rsidRPr="0025711C" w14:paraId="743D1169" w14:textId="77777777" w:rsidTr="00E16A02">
        <w:trPr>
          <w:trHeight w:val="133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5004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Gerard et al., 2007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8000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2B9C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256CBE">
              <w:rPr>
                <w:color w:val="000000"/>
                <w:sz w:val="18"/>
                <w:szCs w:val="18"/>
              </w:rPr>
              <w:t xml:space="preserve"> weekly for 4 weeks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CE92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 xml:space="preserve">Sustained remission rate at day 60 (absence of MCD relapse) off chemotherapy. Mild symptoms were accepted if the symptoms did not require chemotherapy and if they resolved before day 29).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9B24" w14:textId="1FB30391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 xml:space="preserve">Persistence of SR at day 365, disease-free survival, event-free </w:t>
            </w:r>
            <w:r w:rsidR="0022071A" w:rsidRPr="00256CBE">
              <w:rPr>
                <w:color w:val="000000"/>
                <w:sz w:val="18"/>
                <w:szCs w:val="18"/>
              </w:rPr>
              <w:t>survival</w:t>
            </w:r>
            <w:r w:rsidRPr="00256CBE">
              <w:rPr>
                <w:color w:val="000000"/>
                <w:sz w:val="18"/>
                <w:szCs w:val="18"/>
              </w:rPr>
              <w:t xml:space="preserve">, overall survival, </w:t>
            </w:r>
            <w:r w:rsidR="0022071A" w:rsidRPr="00256CBE">
              <w:rPr>
                <w:color w:val="000000"/>
                <w:sz w:val="18"/>
                <w:szCs w:val="18"/>
              </w:rPr>
              <w:t>occurrence</w:t>
            </w:r>
            <w:r w:rsidRPr="00256CBE">
              <w:rPr>
                <w:color w:val="000000"/>
                <w:sz w:val="18"/>
                <w:szCs w:val="18"/>
              </w:rPr>
              <w:t xml:space="preserve"> of lymphoma, </w:t>
            </w:r>
            <w:r w:rsidR="0022071A" w:rsidRPr="00256CBE">
              <w:rPr>
                <w:color w:val="000000"/>
                <w:sz w:val="18"/>
                <w:szCs w:val="18"/>
              </w:rPr>
              <w:t>occurrence</w:t>
            </w:r>
            <w:r w:rsidRPr="00256CBE">
              <w:rPr>
                <w:color w:val="000000"/>
                <w:sz w:val="18"/>
                <w:szCs w:val="18"/>
              </w:rPr>
              <w:t xml:space="preserve"> or exacerbation of KS, safety, evolution of </w:t>
            </w:r>
            <w:r w:rsidR="00EF5A30">
              <w:t xml:space="preserve"> </w:t>
            </w:r>
            <w:r w:rsidR="00EF5A30" w:rsidRPr="00EF5A30">
              <w:rPr>
                <w:color w:val="000000"/>
                <w:sz w:val="18"/>
                <w:szCs w:val="18"/>
              </w:rPr>
              <w:t xml:space="preserve">human herpesvirus </w:t>
            </w:r>
            <w:r w:rsidRPr="00256CBE">
              <w:rPr>
                <w:color w:val="000000"/>
                <w:sz w:val="18"/>
                <w:szCs w:val="18"/>
              </w:rPr>
              <w:t xml:space="preserve">-8 viral load and </w:t>
            </w:r>
            <w:r w:rsidR="0022071A">
              <w:rPr>
                <w:color w:val="000000"/>
                <w:sz w:val="18"/>
                <w:szCs w:val="18"/>
              </w:rPr>
              <w:t>B cell</w:t>
            </w:r>
            <w:r w:rsidRPr="00256CBE">
              <w:rPr>
                <w:color w:val="000000"/>
                <w:sz w:val="18"/>
                <w:szCs w:val="18"/>
              </w:rPr>
              <w:t xml:space="preserve"> count.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A7B0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92.0%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158D" w14:textId="77777777" w:rsidR="00256CBE" w:rsidRPr="00256CB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C3ED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 xml:space="preserve">Overall </w:t>
            </w:r>
            <w:r w:rsidR="0022071A" w:rsidRPr="00256CBE">
              <w:rPr>
                <w:color w:val="000000"/>
                <w:sz w:val="18"/>
                <w:szCs w:val="18"/>
              </w:rPr>
              <w:t>survival</w:t>
            </w:r>
            <w:r w:rsidRPr="00256CBE">
              <w:rPr>
                <w:color w:val="000000"/>
                <w:sz w:val="18"/>
                <w:szCs w:val="18"/>
              </w:rPr>
              <w:t xml:space="preserve"> rate after 1 year: 92%. Event</w:t>
            </w:r>
            <w:r w:rsidR="0022071A">
              <w:rPr>
                <w:color w:val="000000"/>
                <w:sz w:val="18"/>
                <w:szCs w:val="18"/>
              </w:rPr>
              <w:t>-</w:t>
            </w:r>
            <w:r w:rsidRPr="00256CBE">
              <w:rPr>
                <w:color w:val="000000"/>
                <w:sz w:val="18"/>
                <w:szCs w:val="18"/>
              </w:rPr>
              <w:t xml:space="preserve">free survival after 1 year: 71%. Disease-free survival after 1 year: 77%. Sustained remission after 1 year: 71%.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1EC2" w14:textId="77777777" w:rsidR="00256CBE" w:rsidRPr="00256CB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D324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 xml:space="preserve">9 patients experienced an RTX related AE. Most common: chills, fever, headache, pruritus, rash, dizziness, hypotension, and infections. 8 patients experienced exacerbation of KS lesion.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DDAD" w14:textId="77777777" w:rsidR="00256CBE" w:rsidRPr="00256CBE" w:rsidRDefault="002B7D4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0844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 xml:space="preserve">2 deaths: One due to progressive disease and one due to acute respiratory failure of undetermined origin. </w:t>
            </w:r>
          </w:p>
        </w:tc>
      </w:tr>
      <w:tr w:rsidR="00256CBE" w:rsidRPr="0025711C" w14:paraId="3A3EED35" w14:textId="77777777" w:rsidTr="00E16A02">
        <w:trPr>
          <w:trHeight w:val="5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DAF5" w14:textId="77777777" w:rsidR="00256CBE" w:rsidRPr="00DD007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Powles et al., 2007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E5E9" w14:textId="77777777" w:rsidR="00256CBE" w:rsidRPr="00DD007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ED9D" w14:textId="77777777" w:rsidR="00256CBE" w:rsidRPr="00DD007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Unknown dosing regimen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954C" w14:textId="77777777" w:rsidR="00256CBE" w:rsidRPr="00DD007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68B6" w14:textId="77777777" w:rsidR="00256CBE" w:rsidRPr="00DD007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01BC" w14:textId="77777777" w:rsidR="00256CBE" w:rsidRPr="00DD007E" w:rsidRDefault="002B7D4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4743" w14:textId="77777777" w:rsidR="00256CBE" w:rsidRPr="00DD007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B780" w14:textId="77777777" w:rsidR="00256CBE" w:rsidRPr="00DD007E" w:rsidRDefault="002B7D4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5B06" w14:textId="77777777" w:rsidR="00256CBE" w:rsidRPr="00DD007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F7DB" w14:textId="77777777" w:rsidR="00256CBE" w:rsidRPr="00DD007E" w:rsidRDefault="002B7D4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5E01" w14:textId="77777777" w:rsidR="00256CBE" w:rsidRPr="00DD007E" w:rsidRDefault="002B7D4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3736" w14:textId="77777777" w:rsidR="00256CBE" w:rsidRPr="00DD007E" w:rsidRDefault="002B7D4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D007E"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256CBE" w:rsidRPr="0025711C" w14:paraId="2ED85596" w14:textId="77777777" w:rsidTr="00E16A02">
        <w:trPr>
          <w:trHeight w:val="8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D4E3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6CBE">
              <w:rPr>
                <w:color w:val="000000"/>
                <w:sz w:val="18"/>
                <w:szCs w:val="18"/>
              </w:rPr>
              <w:t>Bestawros</w:t>
            </w:r>
            <w:proofErr w:type="spellEnd"/>
            <w:r w:rsidRPr="00256CBE">
              <w:rPr>
                <w:color w:val="000000"/>
                <w:sz w:val="18"/>
                <w:szCs w:val="18"/>
              </w:rPr>
              <w:t xml:space="preserve"> et al., 2008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B8A6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63EA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256CBE">
              <w:rPr>
                <w:color w:val="000000"/>
                <w:sz w:val="18"/>
                <w:szCs w:val="18"/>
              </w:rPr>
              <w:t xml:space="preserve"> weekly for 4 weeks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D6E9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6663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B137" w14:textId="77777777" w:rsidR="00256CBE" w:rsidRPr="00256CBE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863C" w14:textId="77777777" w:rsidR="00256CBE" w:rsidRPr="00256CB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A447" w14:textId="77777777" w:rsidR="00256CBE" w:rsidRPr="00256CBE" w:rsidRDefault="00127638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AFE" w14:textId="77777777" w:rsidR="00256CBE" w:rsidRPr="00256CB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FE35" w14:textId="77777777" w:rsidR="00256CBE" w:rsidRPr="00256CBE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3296" w14:textId="77777777" w:rsidR="00256CBE" w:rsidRPr="00256CBE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  <w:r w:rsidR="00EE16A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7DBC" w14:textId="77777777" w:rsidR="00256CBE" w:rsidRPr="00256CBE" w:rsidRDefault="00256CBE" w:rsidP="004F495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1 d</w:t>
            </w:r>
            <w:r w:rsidR="004F4958">
              <w:rPr>
                <w:color w:val="000000"/>
                <w:sz w:val="18"/>
                <w:szCs w:val="18"/>
              </w:rPr>
              <w:t>eath due to progressive disease.</w:t>
            </w:r>
          </w:p>
        </w:tc>
      </w:tr>
      <w:tr w:rsidR="00256CBE" w:rsidRPr="0025711C" w14:paraId="057C83F1" w14:textId="77777777" w:rsidTr="00E16A02">
        <w:trPr>
          <w:trHeight w:val="81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2F7D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6CBE">
              <w:rPr>
                <w:color w:val="000000"/>
                <w:sz w:val="18"/>
                <w:szCs w:val="18"/>
              </w:rPr>
              <w:t>Peker</w:t>
            </w:r>
            <w:proofErr w:type="spellEnd"/>
            <w:r w:rsidRPr="00256CBE">
              <w:rPr>
                <w:color w:val="000000"/>
                <w:sz w:val="18"/>
                <w:szCs w:val="18"/>
              </w:rPr>
              <w:t xml:space="preserve"> et al., 2012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99A4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EA24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Unknown dosing regimen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3E71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6D50" w14:textId="77777777" w:rsidR="00256CBE" w:rsidRPr="00256CBE" w:rsidRDefault="00256CBE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6CBE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5DFE" w14:textId="77777777" w:rsidR="00256CBE" w:rsidRPr="00256CBE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180" w14:textId="77777777" w:rsidR="00256CBE" w:rsidRPr="00256CB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1860" w14:textId="77777777" w:rsidR="00256CBE" w:rsidRPr="00256CBE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02A7" w14:textId="77777777" w:rsidR="00256CBE" w:rsidRPr="00256CBE" w:rsidRDefault="00E85462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8A2C" w14:textId="77777777" w:rsidR="00256CBE" w:rsidRPr="00256CBE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9B17" w14:textId="77777777" w:rsidR="00256CBE" w:rsidRPr="00256CBE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AAC7" w14:textId="77777777" w:rsidR="00256CBE" w:rsidRPr="00256CBE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  <w:r w:rsidR="00EE16A4">
              <w:rPr>
                <w:color w:val="000000"/>
                <w:sz w:val="18"/>
                <w:szCs w:val="18"/>
              </w:rPr>
              <w:t>.</w:t>
            </w:r>
          </w:p>
        </w:tc>
      </w:tr>
      <w:tr w:rsidR="001A36BF" w:rsidRPr="0025711C" w14:paraId="40016BBE" w14:textId="77777777" w:rsidTr="00E16A02">
        <w:trPr>
          <w:trHeight w:val="133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5A64" w14:textId="77777777" w:rsidR="00DE668B" w:rsidRPr="00D46D7A" w:rsidRDefault="00DE668B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D46D7A">
              <w:rPr>
                <w:color w:val="000000"/>
                <w:sz w:val="18"/>
                <w:szCs w:val="18"/>
              </w:rPr>
              <w:t>Uldrick</w:t>
            </w:r>
            <w:proofErr w:type="spellEnd"/>
            <w:r w:rsidRPr="00D46D7A">
              <w:rPr>
                <w:color w:val="000000"/>
                <w:sz w:val="18"/>
                <w:szCs w:val="18"/>
              </w:rPr>
              <w:t>, T.S., 2014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DC1" w14:textId="76884DC2" w:rsidR="001A36BF" w:rsidRPr="00B52A8F" w:rsidRDefault="00A26F44" w:rsidP="00637C4B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1D45" w14:textId="6951DF27" w:rsidR="001A36BF" w:rsidRPr="00B52A8F" w:rsidRDefault="003105EF" w:rsidP="001A36BF">
            <w:pPr>
              <w:tabs>
                <w:tab w:val="left" w:pos="81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RTX</w:t>
            </w:r>
            <w:r w:rsidR="001A36BF" w:rsidRPr="003105EF">
              <w:rPr>
                <w:sz w:val="18"/>
                <w:szCs w:val="18"/>
              </w:rPr>
              <w:t xml:space="preserve"> 375mg/m2 every 3 weeks up to 2 cycles beyond resolution of symptoms and marked improvement in biochemical abnormalities. Followed by a consolidation therapy with </w:t>
            </w:r>
            <w:r w:rsidR="001A36BF" w:rsidRPr="003105EF">
              <w:rPr>
                <w:sz w:val="18"/>
                <w:szCs w:val="18"/>
              </w:rPr>
              <w:lastRenderedPageBreak/>
              <w:t xml:space="preserve">either interferon-alpha or AZT in combination with </w:t>
            </w:r>
            <w:proofErr w:type="spellStart"/>
            <w:r w:rsidR="001A36BF" w:rsidRPr="003105EF">
              <w:rPr>
                <w:sz w:val="18"/>
                <w:szCs w:val="18"/>
              </w:rPr>
              <w:t>valganciclovir</w:t>
            </w:r>
            <w:proofErr w:type="spellEnd"/>
            <w:r w:rsidR="001A36BF" w:rsidRPr="003105E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B6D6" w14:textId="38F364C3" w:rsidR="00DE668B" w:rsidRPr="00D050DB" w:rsidRDefault="001A36BF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52A8F">
              <w:rPr>
                <w:color w:val="000000"/>
                <w:sz w:val="18"/>
                <w:szCs w:val="18"/>
              </w:rPr>
              <w:lastRenderedPageBreak/>
              <w:t>No primary endpoint defined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F042" w14:textId="5E000595" w:rsidR="00DE668B" w:rsidRPr="00D46D7A" w:rsidRDefault="001A36BF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B7412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7504" w14:textId="3D09DF46" w:rsidR="00DE668B" w:rsidRPr="00D46D7A" w:rsidRDefault="001A36BF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46D7A">
              <w:rPr>
                <w:color w:val="000000"/>
                <w:sz w:val="18"/>
                <w:szCs w:val="18"/>
              </w:rPr>
              <w:t xml:space="preserve">15/17 (88%) patients achieved a complete response </w:t>
            </w:r>
          </w:p>
          <w:p w14:paraId="04114F60" w14:textId="77777777" w:rsidR="001A36BF" w:rsidRPr="00D46D7A" w:rsidRDefault="001A36BF" w:rsidP="001A36BF">
            <w:pPr>
              <w:rPr>
                <w:color w:val="000000"/>
                <w:sz w:val="18"/>
                <w:szCs w:val="18"/>
              </w:rPr>
            </w:pPr>
          </w:p>
          <w:p w14:paraId="06B5D684" w14:textId="1255E3D0" w:rsidR="001A36BF" w:rsidRPr="00D46D7A" w:rsidRDefault="001A36BF" w:rsidP="001A3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44D2" w14:textId="447D5103" w:rsidR="00DE668B" w:rsidRPr="00D46D7A" w:rsidRDefault="001A36BF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46D7A">
              <w:rPr>
                <w:color w:val="000000"/>
                <w:sz w:val="18"/>
                <w:szCs w:val="18"/>
              </w:rPr>
              <w:t>No control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EEF9" w14:textId="2368AD3E" w:rsidR="00DE668B" w:rsidRPr="00B81BD8" w:rsidRDefault="001A36BF" w:rsidP="00637C4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46D7A">
              <w:rPr>
                <w:color w:val="000000"/>
                <w:sz w:val="18"/>
                <w:szCs w:val="18"/>
              </w:rPr>
              <w:t xml:space="preserve">Patients received a median of 4 cycles (range 3-9). 15 received consolidation therapy. Event-free survival: 81.6% at 12 months and 69% at 24 months. Overall survival: 93.8% at 1 year, </w:t>
            </w:r>
            <w:r w:rsidRPr="00D46D7A">
              <w:rPr>
                <w:color w:val="000000"/>
                <w:sz w:val="18"/>
                <w:szCs w:val="18"/>
              </w:rPr>
              <w:lastRenderedPageBreak/>
              <w:t xml:space="preserve">87.5% at 2 years, 81% at 3 years. Significant improvement of KSHV viral load, IL-6, IL-10, hemoglobin, albumin, and </w:t>
            </w:r>
            <w:r w:rsidR="00B81BD8">
              <w:rPr>
                <w:color w:val="000000"/>
                <w:sz w:val="18"/>
                <w:szCs w:val="18"/>
              </w:rPr>
              <w:t>C-reactive protein (</w:t>
            </w:r>
            <w:r w:rsidRPr="00B81BD8">
              <w:rPr>
                <w:color w:val="000000"/>
                <w:sz w:val="18"/>
                <w:szCs w:val="18"/>
              </w:rPr>
              <w:t>CRP</w:t>
            </w:r>
            <w:r w:rsidR="00B81BD8">
              <w:rPr>
                <w:color w:val="000000"/>
                <w:sz w:val="18"/>
                <w:szCs w:val="18"/>
              </w:rPr>
              <w:t>)</w:t>
            </w:r>
            <w:r w:rsidRPr="00B81BD8">
              <w:rPr>
                <w:color w:val="000000"/>
                <w:sz w:val="18"/>
                <w:szCs w:val="18"/>
              </w:rPr>
              <w:t xml:space="preserve">. Increase in CD4 cells (p=0.07), marked decrease in CD19 </w:t>
            </w:r>
            <w:r w:rsidR="00637C4B">
              <w:rPr>
                <w:color w:val="000000"/>
                <w:sz w:val="18"/>
                <w:szCs w:val="18"/>
              </w:rPr>
              <w:t>B</w:t>
            </w:r>
            <w:r w:rsidR="00637C4B" w:rsidRPr="00B81BD8">
              <w:rPr>
                <w:color w:val="000000"/>
                <w:sz w:val="18"/>
                <w:szCs w:val="18"/>
              </w:rPr>
              <w:t xml:space="preserve"> </w:t>
            </w:r>
            <w:r w:rsidRPr="00B81BD8">
              <w:rPr>
                <w:color w:val="000000"/>
                <w:sz w:val="18"/>
                <w:szCs w:val="18"/>
              </w:rPr>
              <w:t xml:space="preserve">cells.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B99F" w14:textId="48228CB9" w:rsidR="00DE668B" w:rsidRPr="00D46D7A" w:rsidRDefault="001A36BF" w:rsidP="00256CB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B7412">
              <w:rPr>
                <w:color w:val="000000"/>
                <w:sz w:val="18"/>
                <w:szCs w:val="18"/>
              </w:rPr>
              <w:lastRenderedPageBreak/>
              <w:t xml:space="preserve">No </w:t>
            </w:r>
            <w:r w:rsidRPr="00D46D7A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E9A4" w14:textId="37951C5B" w:rsidR="001A36BF" w:rsidRPr="00D46D7A" w:rsidRDefault="001A36BF" w:rsidP="001A36BF">
            <w:pPr>
              <w:tabs>
                <w:tab w:val="left" w:pos="1080"/>
              </w:tabs>
              <w:spacing w:line="240" w:lineRule="auto"/>
              <w:rPr>
                <w:sz w:val="18"/>
                <w:szCs w:val="18"/>
              </w:rPr>
            </w:pPr>
            <w:r w:rsidRPr="00D46D7A">
              <w:rPr>
                <w:sz w:val="18"/>
                <w:szCs w:val="18"/>
              </w:rPr>
              <w:t>Overall R-Dox was well tolerated. Most common AE: infusion reaction (70% of patients).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3375" w14:textId="7980ECDB" w:rsidR="00DE668B" w:rsidRPr="006418C9" w:rsidRDefault="001A36BF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46D7A">
              <w:rPr>
                <w:color w:val="000000"/>
                <w:sz w:val="18"/>
                <w:szCs w:val="18"/>
              </w:rPr>
              <w:t>No inf</w:t>
            </w:r>
            <w:r w:rsidRPr="006418C9">
              <w:rPr>
                <w:color w:val="000000"/>
                <w:sz w:val="18"/>
                <w:szCs w:val="18"/>
              </w:rPr>
              <w:t>ormation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0B83" w14:textId="689772E0" w:rsidR="00DE668B" w:rsidRPr="00D050DB" w:rsidRDefault="001A36BF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37C4B">
              <w:rPr>
                <w:rStyle w:val="CommentReference"/>
                <w:sz w:val="18"/>
              </w:rPr>
              <w:t>No information.</w:t>
            </w:r>
          </w:p>
        </w:tc>
      </w:tr>
      <w:tr w:rsidR="00A40E56" w:rsidRPr="0025711C" w14:paraId="48172802" w14:textId="77777777" w:rsidTr="00456547">
        <w:trPr>
          <w:trHeight w:val="424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89D0AC" w14:textId="77777777" w:rsidR="00A40E56" w:rsidRPr="00456547" w:rsidRDefault="00456547" w:rsidP="00256CBE">
            <w:pPr>
              <w:spacing w:after="0" w:line="240" w:lineRule="auto"/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Cryoglobulinemia</w:t>
            </w:r>
            <w:proofErr w:type="spellEnd"/>
          </w:p>
        </w:tc>
      </w:tr>
      <w:tr w:rsidR="001D4D68" w:rsidRPr="0025711C" w14:paraId="0B16A5AC" w14:textId="77777777" w:rsidTr="00E16A02">
        <w:trPr>
          <w:trHeight w:val="5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B66A02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B1BDB2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6B43EB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BD6C59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966831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CC0491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7C116F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59A646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F0BCF5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31E0E59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319730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25FAA5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456547" w:rsidRPr="0025711C" w14:paraId="65430320" w14:textId="77777777" w:rsidTr="00E16A02">
        <w:trPr>
          <w:trHeight w:val="126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77B2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F21B53">
              <w:rPr>
                <w:color w:val="000000"/>
                <w:sz w:val="18"/>
                <w:szCs w:val="18"/>
              </w:rPr>
              <w:t>Dammacco</w:t>
            </w:r>
            <w:proofErr w:type="spellEnd"/>
            <w:r w:rsidRPr="00F21B53">
              <w:rPr>
                <w:color w:val="000000"/>
                <w:sz w:val="18"/>
                <w:szCs w:val="18"/>
              </w:rPr>
              <w:t xml:space="preserve"> et al., 2010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B0E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776E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21B53">
              <w:rPr>
                <w:color w:val="000000"/>
                <w:sz w:val="18"/>
                <w:szCs w:val="18"/>
              </w:rPr>
              <w:t xml:space="preserve"> weekly for 4 weeks followed by 2 5-monthly infusions accompanied by Peg-IFN-alpha2a weekly in combination with RBV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C4DF" w14:textId="66549C3A" w:rsidR="00F21B53" w:rsidRPr="00F21B53" w:rsidRDefault="00F21B53" w:rsidP="006418C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Proportion of patients with a complete response (disappearance or remarkable improvement of clinical features, disappearance of </w:t>
            </w:r>
            <w:proofErr w:type="spellStart"/>
            <w:r w:rsidRPr="00F21B53">
              <w:rPr>
                <w:color w:val="000000"/>
                <w:sz w:val="18"/>
                <w:szCs w:val="18"/>
              </w:rPr>
              <w:t>cryoglobulins</w:t>
            </w:r>
            <w:proofErr w:type="spellEnd"/>
            <w:r w:rsidRPr="00F21B53">
              <w:rPr>
                <w:color w:val="000000"/>
                <w:sz w:val="18"/>
                <w:szCs w:val="18"/>
              </w:rPr>
              <w:t xml:space="preserve">, </w:t>
            </w:r>
            <w:r w:rsidR="00456547" w:rsidRPr="00F21B53">
              <w:rPr>
                <w:color w:val="000000"/>
                <w:sz w:val="18"/>
                <w:szCs w:val="18"/>
              </w:rPr>
              <w:t>detectability</w:t>
            </w:r>
            <w:r w:rsidRPr="00F21B53">
              <w:rPr>
                <w:color w:val="000000"/>
                <w:sz w:val="18"/>
                <w:szCs w:val="18"/>
              </w:rPr>
              <w:t xml:space="preserve"> of serum </w:t>
            </w:r>
            <w:r w:rsidR="006418C9" w:rsidRPr="006418C9">
              <w:rPr>
                <w:color w:val="000000"/>
                <w:sz w:val="18"/>
                <w:szCs w:val="18"/>
              </w:rPr>
              <w:t>Hepatitis C virus RNA</w:t>
            </w:r>
            <w:r w:rsidRPr="00F21B53">
              <w:rPr>
                <w:color w:val="000000"/>
                <w:sz w:val="18"/>
                <w:szCs w:val="18"/>
              </w:rPr>
              <w:t xml:space="preserve">, and disappearance of </w:t>
            </w:r>
            <w:r w:rsidR="0022071A">
              <w:rPr>
                <w:color w:val="000000"/>
                <w:sz w:val="18"/>
                <w:szCs w:val="18"/>
              </w:rPr>
              <w:t>B cell</w:t>
            </w:r>
            <w:r w:rsidRPr="00F21B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1B53">
              <w:rPr>
                <w:color w:val="000000"/>
                <w:sz w:val="18"/>
                <w:szCs w:val="18"/>
              </w:rPr>
              <w:t>clonalities</w:t>
            </w:r>
            <w:proofErr w:type="spellEnd"/>
            <w:r w:rsidRPr="00F21B53">
              <w:rPr>
                <w:color w:val="000000"/>
                <w:sz w:val="18"/>
                <w:szCs w:val="18"/>
              </w:rPr>
              <w:t xml:space="preserve"> from the blood) after 1 year.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A06B" w14:textId="77777777" w:rsidR="00F21B53" w:rsidRPr="00F21B53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D0A8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54.5% </w:t>
            </w:r>
            <w:r w:rsidR="00B00DCD">
              <w:rPr>
                <w:color w:val="000000"/>
                <w:sz w:val="18"/>
                <w:szCs w:val="18"/>
              </w:rPr>
              <w:t>of patients</w:t>
            </w:r>
            <w:r w:rsidR="00456547">
              <w:rPr>
                <w:color w:val="000000"/>
                <w:sz w:val="18"/>
                <w:szCs w:val="18"/>
              </w:rPr>
              <w:t xml:space="preserve"> </w:t>
            </w:r>
            <w:r w:rsidRPr="00F21B53">
              <w:rPr>
                <w:color w:val="000000"/>
                <w:sz w:val="18"/>
                <w:szCs w:val="18"/>
              </w:rPr>
              <w:t>(p&lt;0.05)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A82D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33.3% </w:t>
            </w:r>
            <w:r w:rsidR="00B00DCD">
              <w:rPr>
                <w:color w:val="000000"/>
                <w:sz w:val="18"/>
                <w:szCs w:val="18"/>
              </w:rPr>
              <w:t>of patients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C847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Response maintenance rate after 36 months: 83.3% (p&lt;0.01)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FE13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Response maintenance rate after 36 months: 40%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CDCF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3 patients with a mild AE after first infusion. 2 patients with fever after third and fourth infusion.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4CCC" w14:textId="77777777" w:rsidR="00F21B53" w:rsidRPr="00F21B53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1CB5" w14:textId="77777777" w:rsidR="00F21B53" w:rsidRPr="00F21B53" w:rsidRDefault="00F21B53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No deaths.</w:t>
            </w:r>
          </w:p>
        </w:tc>
      </w:tr>
      <w:tr w:rsidR="00456547" w:rsidRPr="0025711C" w14:paraId="784AFBE8" w14:textId="77777777" w:rsidTr="00E16A02">
        <w:trPr>
          <w:trHeight w:val="126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C561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lastRenderedPageBreak/>
              <w:t>De Vita et al., 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0383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9A4B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1000mg on days 0 and 14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2A0E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Proportion of patients continuing taking their initial therapy after 12 months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29D5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Proportion of patients continuing taking their initial therapy after 3 months, 6 months, a</w:t>
            </w:r>
            <w:r w:rsidR="004F4958">
              <w:rPr>
                <w:color w:val="000000"/>
                <w:sz w:val="18"/>
                <w:szCs w:val="18"/>
              </w:rPr>
              <w:t>nd 24 months, BVAS</w:t>
            </w:r>
            <w:r w:rsidRPr="00F21B53">
              <w:rPr>
                <w:color w:val="000000"/>
                <w:sz w:val="18"/>
                <w:szCs w:val="18"/>
              </w:rPr>
              <w:t>, CV manifestations, duration of treatment response, efficacy of retreatment, and side effects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CCEA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64.3% (p&lt;0.0001)</w:t>
            </w:r>
            <w:r w:rsidR="008142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DC4A" w14:textId="77777777" w:rsidR="00F21B53" w:rsidRPr="00F21B53" w:rsidRDefault="00F21B53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3.5%</w:t>
            </w:r>
            <w:r w:rsidR="00456547">
              <w:rPr>
                <w:color w:val="000000"/>
                <w:sz w:val="18"/>
                <w:szCs w:val="18"/>
              </w:rPr>
              <w:t xml:space="preserve"> of patients.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CDF5" w14:textId="77777777" w:rsidR="00F21B53" w:rsidRPr="00F21B53" w:rsidRDefault="00F21B53" w:rsidP="00B8020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Survival of treatment af</w:t>
            </w:r>
            <w:r w:rsidR="00B80208">
              <w:rPr>
                <w:color w:val="000000"/>
                <w:sz w:val="18"/>
                <w:szCs w:val="18"/>
              </w:rPr>
              <w:t xml:space="preserve">ter 3 months: 92.9% (p&lt;0.0001), 6 months: 71.4% (p&lt;0.0001) </w:t>
            </w:r>
            <w:r w:rsidRPr="00F21B53">
              <w:rPr>
                <w:color w:val="000000"/>
                <w:sz w:val="18"/>
                <w:szCs w:val="18"/>
              </w:rPr>
              <w:t>24 months: 60.7% (p&lt;0.0001)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305C" w14:textId="77777777" w:rsidR="00F21B53" w:rsidRPr="00F21B53" w:rsidRDefault="00F21B53" w:rsidP="00B8020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Survival of treatment after 3 months: 13.8%. 6 months: 3.5%. 24 months: 3.5%</w:t>
            </w:r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F2BD" w14:textId="77777777" w:rsidR="00F21B53" w:rsidRPr="00F21B53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3B24" w14:textId="77777777" w:rsidR="00F21B53" w:rsidRPr="00F21B53" w:rsidRDefault="00127638" w:rsidP="0045654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  <w:r w:rsidR="00EE16A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EEF" w14:textId="77777777" w:rsidR="00F21B53" w:rsidRPr="00F21B53" w:rsidRDefault="00F21B53" w:rsidP="00F21B5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11 SAE (3 infections, 5 cardiovascular events, 1 acute liver failure, 1 gastrointestinal bleeding, 1 hemorrhagic </w:t>
            </w:r>
            <w:proofErr w:type="spellStart"/>
            <w:r w:rsidRPr="00F21B53">
              <w:rPr>
                <w:color w:val="000000"/>
                <w:sz w:val="18"/>
                <w:szCs w:val="18"/>
              </w:rPr>
              <w:t>alveolitis</w:t>
            </w:r>
            <w:proofErr w:type="spellEnd"/>
            <w:r w:rsidRPr="00F21B53">
              <w:rPr>
                <w:color w:val="000000"/>
                <w:sz w:val="18"/>
                <w:szCs w:val="18"/>
              </w:rPr>
              <w:t xml:space="preserve">), 5 deaths: 1 acute liver failure, 1 myocardial infarction, 2 heart failure and 1 hemorrhagic </w:t>
            </w:r>
            <w:proofErr w:type="spellStart"/>
            <w:r w:rsidRPr="00F21B53">
              <w:rPr>
                <w:color w:val="000000"/>
                <w:sz w:val="18"/>
                <w:szCs w:val="18"/>
              </w:rPr>
              <w:t>alveolitis</w:t>
            </w:r>
            <w:proofErr w:type="spellEnd"/>
            <w:r w:rsidR="00456547">
              <w:rPr>
                <w:color w:val="000000"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3604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E16A02" w:rsidRPr="0025711C" w14:paraId="132C512A" w14:textId="77777777" w:rsidTr="00E16A02">
        <w:trPr>
          <w:trHeight w:val="56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2B790B7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73776B2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5D1900A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38F8F65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57D05A2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84E0015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365CC25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35568DA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EA462FD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3765E0C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F02DFE7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C549030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456547" w:rsidRPr="0025711C" w14:paraId="27FEEA99" w14:textId="77777777" w:rsidTr="00E16A02">
        <w:trPr>
          <w:trHeight w:val="197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5ED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F21B53">
              <w:rPr>
                <w:color w:val="000000"/>
                <w:sz w:val="18"/>
                <w:szCs w:val="18"/>
              </w:rPr>
              <w:t>Quartuccio</w:t>
            </w:r>
            <w:proofErr w:type="spellEnd"/>
            <w:r w:rsidRPr="00F21B53">
              <w:rPr>
                <w:color w:val="000000"/>
                <w:sz w:val="18"/>
                <w:szCs w:val="18"/>
              </w:rPr>
              <w:t xml:space="preserve"> et al., 2015 (Follow-up of De Vita et al., 2012)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CB61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309D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1000mg given two weeks apart in case of clinical relapse</w:t>
            </w:r>
            <w:r w:rsidR="008142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D1EC" w14:textId="77777777" w:rsidR="00F21B53" w:rsidRPr="00F21B53" w:rsidRDefault="002B7D4E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313D" w14:textId="77777777" w:rsidR="00F21B53" w:rsidRPr="00F21B53" w:rsidRDefault="002B7D4E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B738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57.1% in remission, 23.8% with partial response, 19% with active disease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2D1" w14:textId="77777777" w:rsidR="00F21B53" w:rsidRPr="00F21B53" w:rsidRDefault="000D360C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CBD" w14:textId="77777777" w:rsidR="00F21B53" w:rsidRPr="00F21B53" w:rsidRDefault="002B7D4E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7D11" w14:textId="77777777" w:rsidR="00F21B53" w:rsidRPr="00F21B53" w:rsidRDefault="000D360C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F049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9/30 patients had at least one AE.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E4C7" w14:textId="77777777" w:rsidR="00F21B53" w:rsidRPr="00F21B53" w:rsidRDefault="002B7D4E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9257" w14:textId="661C090E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6 deaths: 2 intestinal vasculitis, 2 heart failure, 1 liver failure in </w:t>
            </w:r>
            <w:r w:rsidR="00E75F7F">
              <w:t>h</w:t>
            </w:r>
            <w:r w:rsidR="00E75F7F" w:rsidRPr="00E75F7F">
              <w:rPr>
                <w:color w:val="000000"/>
                <w:sz w:val="18"/>
                <w:szCs w:val="18"/>
              </w:rPr>
              <w:t>epatocellular carcinoma</w:t>
            </w:r>
            <w:r w:rsidR="00E75F7F" w:rsidRPr="00E75F7F" w:rsidDel="00E75F7F">
              <w:rPr>
                <w:color w:val="000000"/>
                <w:sz w:val="18"/>
                <w:szCs w:val="18"/>
              </w:rPr>
              <w:t xml:space="preserve"> </w:t>
            </w:r>
            <w:r w:rsidRPr="00F21B53">
              <w:rPr>
                <w:color w:val="000000"/>
                <w:sz w:val="18"/>
                <w:szCs w:val="18"/>
              </w:rPr>
              <w:t xml:space="preserve">and 1 </w:t>
            </w:r>
            <w:r w:rsidR="002B7D4E" w:rsidRPr="00F21B53">
              <w:rPr>
                <w:color w:val="000000"/>
                <w:sz w:val="18"/>
                <w:szCs w:val="18"/>
              </w:rPr>
              <w:t>unknown</w:t>
            </w:r>
            <w:r w:rsidRPr="00F21B53">
              <w:rPr>
                <w:color w:val="000000"/>
                <w:sz w:val="18"/>
                <w:szCs w:val="18"/>
              </w:rPr>
              <w:t xml:space="preserve"> cause. </w:t>
            </w:r>
          </w:p>
        </w:tc>
      </w:tr>
      <w:tr w:rsidR="00456547" w:rsidRPr="0025711C" w14:paraId="1A93B840" w14:textId="77777777" w:rsidTr="00E16A02">
        <w:trPr>
          <w:trHeight w:val="85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C4FF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F21B53">
              <w:rPr>
                <w:color w:val="000000"/>
                <w:sz w:val="18"/>
                <w:szCs w:val="18"/>
              </w:rPr>
              <w:t>Sneller</w:t>
            </w:r>
            <w:proofErr w:type="spellEnd"/>
            <w:r w:rsidRPr="00F21B53">
              <w:rPr>
                <w:color w:val="000000"/>
                <w:sz w:val="18"/>
                <w:szCs w:val="18"/>
              </w:rPr>
              <w:t xml:space="preserve"> et al., 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D89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0732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21B53">
              <w:rPr>
                <w:color w:val="000000"/>
                <w:sz w:val="18"/>
                <w:szCs w:val="18"/>
              </w:rPr>
              <w:t xml:space="preserve"> weekly for 4 weeks</w:t>
            </w:r>
            <w:r w:rsidR="008142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EEB0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Number of patients in remission (BVAS of 0) at 6 months.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DADD" w14:textId="4853A6E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Duration of remission, </w:t>
            </w:r>
            <w:r w:rsidR="00DD007E">
              <w:rPr>
                <w:color w:val="000000"/>
                <w:sz w:val="18"/>
                <w:szCs w:val="18"/>
              </w:rPr>
              <w:t>SAEs</w:t>
            </w:r>
            <w:r w:rsidR="008142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0CC1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83.3% </w:t>
            </w:r>
            <w:r w:rsidR="00B00DCD">
              <w:rPr>
                <w:color w:val="000000"/>
                <w:sz w:val="18"/>
                <w:szCs w:val="18"/>
              </w:rPr>
              <w:t>of patients</w:t>
            </w:r>
            <w:r w:rsidRPr="00F21B53">
              <w:rPr>
                <w:color w:val="000000"/>
                <w:sz w:val="18"/>
                <w:szCs w:val="18"/>
              </w:rPr>
              <w:t xml:space="preserve"> (p&lt;0.001)</w:t>
            </w:r>
            <w:r w:rsidR="008142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11FE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 xml:space="preserve">8.3% </w:t>
            </w:r>
            <w:r w:rsidR="00B00DCD">
              <w:rPr>
                <w:color w:val="000000"/>
                <w:sz w:val="18"/>
                <w:szCs w:val="18"/>
              </w:rPr>
              <w:t>of patients</w:t>
            </w:r>
            <w:r w:rsidR="008142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1ADD" w14:textId="77777777" w:rsidR="00F21B53" w:rsidRPr="00F21B53" w:rsidRDefault="002B7D4E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3EBE" w14:textId="77777777" w:rsidR="00F21B53" w:rsidRPr="00F21B53" w:rsidRDefault="002B7D4E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A2D" w14:textId="77777777" w:rsidR="00F21B53" w:rsidRPr="00F21B53" w:rsidRDefault="002B7D4E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014D" w14:textId="77777777" w:rsidR="00F21B53" w:rsidRPr="00F21B53" w:rsidRDefault="002B7D4E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E8D2" w14:textId="77777777" w:rsidR="00F21B53" w:rsidRPr="00F21B53" w:rsidRDefault="00F21B53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1B53">
              <w:rPr>
                <w:color w:val="000000"/>
                <w:sz w:val="18"/>
                <w:szCs w:val="18"/>
              </w:rPr>
              <w:t>1 SAE: grade 4 fever. No deaths.</w:t>
            </w:r>
          </w:p>
        </w:tc>
      </w:tr>
      <w:tr w:rsidR="00084C00" w:rsidRPr="0025711C" w14:paraId="7AB435D4" w14:textId="77777777" w:rsidTr="00E16A02">
        <w:trPr>
          <w:trHeight w:val="283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1041AC" w14:textId="77777777" w:rsidR="00084C00" w:rsidRPr="00F21B53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Goodpasture</w:t>
            </w:r>
            <w:r w:rsidR="001047C8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’s</w:t>
            </w:r>
            <w:proofErr w:type="spellEnd"/>
            <w:r w:rsidRPr="007E0ACB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 syndrome</w:t>
            </w:r>
          </w:p>
        </w:tc>
      </w:tr>
      <w:tr w:rsidR="00E16A02" w:rsidRPr="0025711C" w14:paraId="25CB1AEB" w14:textId="77777777" w:rsidTr="00E16A02">
        <w:trPr>
          <w:trHeight w:val="4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81F7C1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B0A9D21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13AB1C3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3C25737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198967F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D264D9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373A316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6445D0E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7B2C8AA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C8EEC9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7D645F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08051B4" w14:textId="77777777" w:rsidR="001D4D68" w:rsidRPr="0025711C" w:rsidRDefault="001D4D68" w:rsidP="00E16A02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084C00" w:rsidRPr="0025711C" w14:paraId="236B0D7B" w14:textId="77777777" w:rsidTr="00E16A02">
        <w:trPr>
          <w:trHeight w:val="12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6982" w14:textId="77777777" w:rsidR="00084C00" w:rsidRPr="006212BD" w:rsidRDefault="00084C00" w:rsidP="00E16A02">
            <w:pPr>
              <w:spacing w:after="0" w:line="240" w:lineRule="auto"/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</w:pPr>
            <w:r w:rsidRPr="006212BD">
              <w:rPr>
                <w:color w:val="000000"/>
                <w:sz w:val="18"/>
                <w:szCs w:val="18"/>
              </w:rPr>
              <w:lastRenderedPageBreak/>
              <w:t>Shah et al., 2012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8CA6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8FDA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DF4FB7">
              <w:rPr>
                <w:color w:val="000000"/>
                <w:sz w:val="18"/>
                <w:szCs w:val="18"/>
              </w:rPr>
              <w:t xml:space="preserve"> weekly for 4 weeks (2 weeks respectively in Case 3)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65FB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021C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C14A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1AE9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2D32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94C2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95CB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No complications </w:t>
            </w:r>
            <w:r>
              <w:rPr>
                <w:color w:val="000000"/>
                <w:sz w:val="18"/>
                <w:szCs w:val="18"/>
              </w:rPr>
              <w:t>occurred</w:t>
            </w:r>
            <w:r w:rsidRPr="00DF4FB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52E0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5C2D" w14:textId="77777777" w:rsidR="00084C00" w:rsidRPr="00DF4FB7" w:rsidRDefault="00084C00" w:rsidP="00E16A0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No deaths.</w:t>
            </w:r>
          </w:p>
        </w:tc>
      </w:tr>
    </w:tbl>
    <w:tbl>
      <w:tblPr>
        <w:tblpPr w:leftFromText="180" w:rightFromText="180" w:vertAnchor="text" w:horzAnchor="margin" w:tblpY="-71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E06344" w:rsidRPr="0025711C" w14:paraId="6F10A9AE" w14:textId="77777777" w:rsidTr="00E16A02">
        <w:trPr>
          <w:trHeight w:val="418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0DD9101" w14:textId="77777777" w:rsidR="00E06344" w:rsidRPr="00DF4FB7" w:rsidRDefault="00E06344" w:rsidP="001047C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G</w:t>
            </w:r>
            <w:r w:rsidRPr="006212BD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rave's </w:t>
            </w:r>
            <w:r w:rsidR="001047C8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disease</w:t>
            </w:r>
          </w:p>
        </w:tc>
      </w:tr>
      <w:tr w:rsidR="001D4D68" w:rsidRPr="0025711C" w14:paraId="1D656956" w14:textId="77777777" w:rsidTr="00E16A02">
        <w:trPr>
          <w:trHeight w:val="14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4A5BA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8AA7DE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AD6409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9E3619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22EFA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5012A2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0E7C99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2C7BB2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92221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132E90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922AA8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1F5CA7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E06344" w:rsidRPr="0025711C" w14:paraId="447C0A50" w14:textId="77777777" w:rsidTr="00E16A02">
        <w:trPr>
          <w:trHeight w:val="367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D8DD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Salvi et al., 2015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8136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AFCF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1000mg given twice two weeks apart. After 12 patients the treatment protocol was changed to RTX 500mg given once.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8512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Reduction in clinical activity score of 2 points or to less than 3 at 24 weeks.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DA88" w14:textId="1FB78A00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Changes of </w:t>
            </w:r>
            <w:proofErr w:type="spellStart"/>
            <w:r w:rsidRPr="00DF4FB7">
              <w:rPr>
                <w:color w:val="000000"/>
                <w:sz w:val="18"/>
                <w:szCs w:val="18"/>
              </w:rPr>
              <w:t>proptosis</w:t>
            </w:r>
            <w:proofErr w:type="spellEnd"/>
            <w:r w:rsidRPr="00DF4FB7">
              <w:rPr>
                <w:color w:val="000000"/>
                <w:sz w:val="18"/>
                <w:szCs w:val="18"/>
              </w:rPr>
              <w:t xml:space="preserve">, lid fissure, diplopia, and eye muscle motility, as well as </w:t>
            </w:r>
            <w:proofErr w:type="spellStart"/>
            <w:r w:rsidR="00FD2E65">
              <w:rPr>
                <w:color w:val="000000"/>
                <w:sz w:val="18"/>
                <w:szCs w:val="18"/>
              </w:rPr>
              <w:t>QoL</w:t>
            </w:r>
            <w:proofErr w:type="spellEnd"/>
            <w:r w:rsidRPr="00DF4FB7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68D3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Disease inactivation (CAS&lt;3): 100% (p=0.43)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4331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Disease inactivation (CAS&lt;3):  68.7%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6ECA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19DF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3571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13/15 patients (86.6%)experienced an AE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D0B8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Significant improvement on the appearance scale and on the visual functioning scale at weeks 52 and 76 for the RTX group. </w:t>
            </w:r>
            <w:proofErr w:type="spellStart"/>
            <w:proofErr w:type="gramStart"/>
            <w:r w:rsidRPr="00DF4FB7">
              <w:rPr>
                <w:color w:val="000000"/>
                <w:sz w:val="18"/>
                <w:szCs w:val="18"/>
              </w:rPr>
              <w:t>ivMP</w:t>
            </w:r>
            <w:proofErr w:type="spellEnd"/>
            <w:proofErr w:type="gramEnd"/>
            <w:r w:rsidRPr="00DF4FB7">
              <w:rPr>
                <w:color w:val="000000"/>
                <w:sz w:val="18"/>
                <w:szCs w:val="18"/>
              </w:rPr>
              <w:t xml:space="preserve"> patients only showed a significant improvement at 12 weeks in the appearance scale.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042D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E06344" w:rsidRPr="0025711C" w14:paraId="53E5B15E" w14:textId="77777777" w:rsidTr="00E16A02">
        <w:trPr>
          <w:trHeight w:val="367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8257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Stan et al., 2015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374B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2379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1000mg given twice two weeks apart.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89BC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Reduction in clinical activity score at 24 weeks.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D4A7" w14:textId="0C60329B" w:rsidR="00E06344" w:rsidRPr="00DF4FB7" w:rsidRDefault="00E06344" w:rsidP="00DD007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Success rates, failure rates, proportions showing </w:t>
            </w:r>
            <w:r w:rsidR="00DD007E" w:rsidRPr="00DF4FB7">
              <w:rPr>
                <w:color w:val="000000"/>
                <w:sz w:val="18"/>
                <w:szCs w:val="18"/>
              </w:rPr>
              <w:t>clinically</w:t>
            </w:r>
            <w:r w:rsidRPr="00DF4FB7">
              <w:rPr>
                <w:color w:val="000000"/>
                <w:sz w:val="18"/>
                <w:szCs w:val="18"/>
              </w:rPr>
              <w:t xml:space="preserve"> significant improvement in </w:t>
            </w:r>
            <w:proofErr w:type="spellStart"/>
            <w:r w:rsidRPr="00DF4FB7">
              <w:rPr>
                <w:color w:val="000000"/>
                <w:sz w:val="18"/>
                <w:szCs w:val="18"/>
              </w:rPr>
              <w:t>proptosis</w:t>
            </w:r>
            <w:proofErr w:type="spellEnd"/>
            <w:r w:rsidRPr="00DF4FB7">
              <w:rPr>
                <w:color w:val="000000"/>
                <w:sz w:val="18"/>
                <w:szCs w:val="18"/>
              </w:rPr>
              <w:t xml:space="preserve">, lid fissure width, diplopia score, </w:t>
            </w:r>
            <w:proofErr w:type="spellStart"/>
            <w:r w:rsidRPr="00DF4FB7">
              <w:rPr>
                <w:color w:val="000000"/>
                <w:sz w:val="18"/>
                <w:szCs w:val="18"/>
              </w:rPr>
              <w:t>lagophthalmos</w:t>
            </w:r>
            <w:proofErr w:type="spellEnd"/>
            <w:r w:rsidRPr="00DF4FB7">
              <w:rPr>
                <w:color w:val="000000"/>
                <w:sz w:val="18"/>
                <w:szCs w:val="18"/>
              </w:rPr>
              <w:t xml:space="preserve">, and disease </w:t>
            </w:r>
            <w:r w:rsidR="00DD007E" w:rsidRPr="00DF4FB7">
              <w:rPr>
                <w:color w:val="000000"/>
                <w:sz w:val="18"/>
                <w:szCs w:val="18"/>
              </w:rPr>
              <w:t>severity</w:t>
            </w:r>
            <w:r w:rsidRPr="00DF4FB7">
              <w:rPr>
                <w:color w:val="000000"/>
                <w:sz w:val="18"/>
                <w:szCs w:val="18"/>
              </w:rPr>
              <w:t xml:space="preserve">, as well as </w:t>
            </w:r>
            <w:proofErr w:type="spellStart"/>
            <w:r w:rsidR="00DD007E">
              <w:rPr>
                <w:color w:val="000000"/>
                <w:sz w:val="18"/>
                <w:szCs w:val="18"/>
              </w:rPr>
              <w:t>QoL</w:t>
            </w:r>
            <w:proofErr w:type="spellEnd"/>
            <w:r w:rsidRPr="00DF4FB7">
              <w:rPr>
                <w:color w:val="000000"/>
                <w:sz w:val="18"/>
                <w:szCs w:val="18"/>
              </w:rPr>
              <w:t xml:space="preserve"> and orbital fat/muscle volume.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DF1D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A36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28D1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69% </w:t>
            </w:r>
            <w:r>
              <w:rPr>
                <w:color w:val="000000"/>
                <w:sz w:val="18"/>
                <w:szCs w:val="18"/>
              </w:rPr>
              <w:t>of patients</w:t>
            </w:r>
            <w:r w:rsidRPr="00DF4FB7">
              <w:rPr>
                <w:color w:val="000000"/>
                <w:sz w:val="18"/>
                <w:szCs w:val="18"/>
              </w:rPr>
              <w:t xml:space="preserve"> failed therapy (p=0.75)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B38A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75% </w:t>
            </w:r>
            <w:r>
              <w:rPr>
                <w:color w:val="000000"/>
                <w:sz w:val="18"/>
                <w:szCs w:val="18"/>
              </w:rPr>
              <w:t>of patients</w:t>
            </w:r>
            <w:r w:rsidRPr="00DF4FB7">
              <w:rPr>
                <w:color w:val="000000"/>
                <w:sz w:val="18"/>
                <w:szCs w:val="18"/>
              </w:rPr>
              <w:t xml:space="preserve"> failed therapy.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9843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>8/13 patients (61.5%) with at least one AE.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282B" w14:textId="56B4E3CB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F4FB7">
              <w:rPr>
                <w:color w:val="000000"/>
                <w:sz w:val="18"/>
                <w:szCs w:val="18"/>
              </w:rPr>
              <w:t xml:space="preserve">No significant differences in the QOL scores (SF-12 for physical and mental health) or their changes between the RTX and </w:t>
            </w:r>
            <w:r w:rsidR="00070287">
              <w:rPr>
                <w:color w:val="000000"/>
                <w:sz w:val="18"/>
                <w:szCs w:val="18"/>
              </w:rPr>
              <w:t>placebo</w:t>
            </w:r>
            <w:r w:rsidRPr="00DF4FB7">
              <w:rPr>
                <w:color w:val="000000"/>
                <w:sz w:val="18"/>
                <w:szCs w:val="18"/>
              </w:rPr>
              <w:t xml:space="preserve"> group.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CDC3" w14:textId="77777777" w:rsidR="00E06344" w:rsidRPr="00DF4FB7" w:rsidRDefault="00E06344" w:rsidP="00E0634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</w:tbl>
    <w:tbl>
      <w:tblPr>
        <w:tblpPr w:leftFromText="180" w:rightFromText="180" w:vertAnchor="text" w:horzAnchor="page" w:tblpX="701" w:tblpY="-707"/>
        <w:tblW w:w="15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08"/>
        <w:gridCol w:w="1309"/>
        <w:gridCol w:w="1308"/>
        <w:gridCol w:w="1308"/>
        <w:gridCol w:w="1309"/>
        <w:gridCol w:w="1308"/>
        <w:gridCol w:w="1308"/>
        <w:gridCol w:w="1309"/>
        <w:gridCol w:w="1308"/>
        <w:gridCol w:w="1308"/>
        <w:gridCol w:w="1309"/>
      </w:tblGrid>
      <w:tr w:rsidR="00384893" w:rsidRPr="00E06344" w14:paraId="6EB14FC5" w14:textId="77777777" w:rsidTr="00384893">
        <w:trPr>
          <w:trHeight w:val="420"/>
        </w:trPr>
        <w:tc>
          <w:tcPr>
            <w:tcW w:w="15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6607D3C" w14:textId="77777777" w:rsidR="00384893" w:rsidRPr="00084C00" w:rsidRDefault="00384893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rFonts w:eastAsia="Times New Roman"/>
                <w:b/>
                <w:bCs/>
                <w:color w:val="006100"/>
                <w:szCs w:val="20"/>
                <w:lang w:eastAsia="de-CH"/>
              </w:rPr>
              <w:lastRenderedPageBreak/>
              <w:t>IgA nephropathy</w:t>
            </w:r>
          </w:p>
        </w:tc>
      </w:tr>
      <w:tr w:rsidR="001D4D68" w:rsidRPr="0025711C" w14:paraId="54D6F682" w14:textId="77777777" w:rsidTr="00E16A02">
        <w:trPr>
          <w:trHeight w:val="41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34E24D7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7E811B8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FC6980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A685367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5472A7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5BF6182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A0CA758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7CC31E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7564253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33B1742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F8262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6DC8495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E06344" w:rsidRPr="0025711C" w14:paraId="64A6C0C5" w14:textId="77777777" w:rsidTr="00E16A02">
        <w:trPr>
          <w:trHeight w:val="126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C3C6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Lafayette et al., 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6803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EFD7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 xml:space="preserve">1000mg on weeks 0 and 2 with a repeated course at 6 months.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E026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 xml:space="preserve">Change in proteinuria and </w:t>
            </w:r>
            <w:proofErr w:type="spellStart"/>
            <w:r w:rsidRPr="00084C00">
              <w:rPr>
                <w:sz w:val="18"/>
              </w:rPr>
              <w:t>eGFR</w:t>
            </w:r>
            <w:proofErr w:type="spellEnd"/>
            <w:r w:rsidRPr="00084C00">
              <w:rPr>
                <w:sz w:val="18"/>
              </w:rPr>
              <w:t xml:space="preserve"> from baseline to 12 months.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F1DC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Safety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7FE1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B76C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9E85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0EC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4A46" w14:textId="77777777" w:rsidR="00E06344" w:rsidRPr="00084C00" w:rsidRDefault="0073646F" w:rsidP="0073646F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AEs</w:t>
            </w:r>
            <w:r w:rsidR="00E06344" w:rsidRPr="00084C00">
              <w:rPr>
                <w:sz w:val="18"/>
              </w:rPr>
              <w:t xml:space="preserve"> were more common in the </w:t>
            </w:r>
            <w:r>
              <w:rPr>
                <w:sz w:val="18"/>
              </w:rPr>
              <w:t xml:space="preserve">RTX </w:t>
            </w:r>
            <w:r w:rsidR="00E06344" w:rsidRPr="00084C00">
              <w:rPr>
                <w:sz w:val="18"/>
              </w:rPr>
              <w:t>group.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1F6B" w14:textId="77777777" w:rsidR="00E06344" w:rsidRPr="00084C00" w:rsidRDefault="00E06344" w:rsidP="00384893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2A5A" w14:textId="6EB33305" w:rsidR="00E06344" w:rsidRPr="00084C00" w:rsidRDefault="00E06344" w:rsidP="00FD2E65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No SAEs. No information</w:t>
            </w:r>
            <w:r w:rsidR="00FD2E65">
              <w:rPr>
                <w:sz w:val="18"/>
              </w:rPr>
              <w:t xml:space="preserve"> on</w:t>
            </w:r>
            <w:r w:rsidRPr="00084C00">
              <w:rPr>
                <w:sz w:val="18"/>
              </w:rPr>
              <w:t xml:space="preserve"> death</w:t>
            </w:r>
            <w:r w:rsidR="00FD2E65">
              <w:rPr>
                <w:sz w:val="18"/>
              </w:rPr>
              <w:t>s</w:t>
            </w:r>
            <w:r w:rsidRPr="00084C00">
              <w:rPr>
                <w:sz w:val="18"/>
              </w:rPr>
              <w:t>.</w:t>
            </w:r>
          </w:p>
        </w:tc>
      </w:tr>
      <w:tr w:rsidR="00B545A7" w:rsidRPr="0025711C" w14:paraId="282A94BA" w14:textId="77777777" w:rsidTr="00384893">
        <w:trPr>
          <w:trHeight w:val="272"/>
        </w:trPr>
        <w:tc>
          <w:tcPr>
            <w:tcW w:w="15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3E2BFE" w14:textId="77777777" w:rsidR="00B545A7" w:rsidRPr="00084C00" w:rsidRDefault="00B545A7" w:rsidP="00384893">
            <w:pPr>
              <w:spacing w:after="0" w:line="240" w:lineRule="auto"/>
              <w:rPr>
                <w:rFonts w:eastAsia="Times New Roman"/>
                <w:b/>
                <w:bCs/>
                <w:color w:val="006100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bCs/>
                <w:color w:val="006100"/>
                <w:szCs w:val="20"/>
                <w:lang w:eastAsia="de-CH"/>
              </w:rPr>
              <w:t>IgG4 related diseases</w:t>
            </w:r>
          </w:p>
        </w:tc>
      </w:tr>
      <w:tr w:rsidR="001D4D68" w:rsidRPr="0025711C" w14:paraId="50FCB61F" w14:textId="77777777" w:rsidTr="00E16A02">
        <w:trPr>
          <w:trHeight w:val="55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4987B51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8BF7A6F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4C8F461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C53F0F8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B506217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CFD9E9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E7730B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7355E11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5666953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4E3630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259ECA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ED809CC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B545A7" w:rsidRPr="0025711C" w14:paraId="45D804B8" w14:textId="77777777" w:rsidTr="00E16A02">
        <w:trPr>
          <w:trHeight w:val="12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9A08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84C00">
              <w:rPr>
                <w:color w:val="000000"/>
                <w:sz w:val="18"/>
                <w:szCs w:val="18"/>
              </w:rPr>
              <w:t>Khosroshahi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et al., 2010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E56B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22C6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1000mg twice given two weeks apart (except patient 3: interval was 1 month)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C4CC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88CB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C6E8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B974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4B2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B41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BAE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274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901A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No information. </w:t>
            </w:r>
          </w:p>
        </w:tc>
      </w:tr>
      <w:tr w:rsidR="00B545A7" w:rsidRPr="0025711C" w14:paraId="2C96206E" w14:textId="77777777" w:rsidTr="00E16A02">
        <w:trPr>
          <w:trHeight w:val="12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E76E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84C00">
              <w:rPr>
                <w:color w:val="000000"/>
                <w:sz w:val="18"/>
                <w:szCs w:val="18"/>
              </w:rPr>
              <w:t>Khosroshahi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et al., 2012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1F9B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6370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1000mg twice given two weeks apart.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8944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DC7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0098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90% of patients experienced substantial clinical improvement within 1 month of therapy.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B73D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67D7" w14:textId="38F0B61F" w:rsidR="00B545A7" w:rsidRPr="00084C00" w:rsidRDefault="00B545A7" w:rsidP="00637C4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90% of patients achieved disease response defined as improvement in IgG4-</w:t>
            </w:r>
            <w:r w:rsidR="00637C4B">
              <w:rPr>
                <w:color w:val="000000"/>
                <w:sz w:val="18"/>
                <w:szCs w:val="18"/>
              </w:rPr>
              <w:t xml:space="preserve">related disease </w:t>
            </w:r>
            <w:r w:rsidRPr="00084C00">
              <w:rPr>
                <w:color w:val="000000"/>
                <w:sz w:val="18"/>
                <w:szCs w:val="18"/>
              </w:rPr>
              <w:t xml:space="preserve">Activity Index &gt;2points.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844A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D4E9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2 major AEs: one patient with flare of asthma requiring hospitalization and one patient with reactivation of HBV. No further information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DA2B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7032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B545A7" w:rsidRPr="0025711C" w14:paraId="3558C70A" w14:textId="77777777" w:rsidTr="00E16A02">
        <w:trPr>
          <w:trHeight w:val="56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F5E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Carruthers et al., 2015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6B05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4DB9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1000mg twice given 2 weeks apart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80CE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Decline of the IgG4-RD Responder Index ≥2 points by month 6, no disease flares before month 6, and no glucocorticoid use between months 2 and 6.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4D6E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2B3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77% of patients achieved the primary endpoint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596C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4724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3826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DE3F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0BEC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Significant decrease in PGA (p&lt;0.00001). 23/30 patients achieved a PGA score of 0.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5272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6 hospitalizations: </w:t>
            </w:r>
            <w:proofErr w:type="spellStart"/>
            <w:r w:rsidRPr="00084C00">
              <w:rPr>
                <w:color w:val="000000"/>
                <w:sz w:val="18"/>
                <w:szCs w:val="18"/>
              </w:rPr>
              <w:t>Klebsiella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urinary tract infection, Legionella </w:t>
            </w:r>
            <w:proofErr w:type="spellStart"/>
            <w:r w:rsidRPr="00084C00">
              <w:rPr>
                <w:color w:val="000000"/>
                <w:sz w:val="18"/>
                <w:szCs w:val="18"/>
              </w:rPr>
              <w:t>pneumophila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pneumonia, cold agglutinin-mediated </w:t>
            </w:r>
            <w:proofErr w:type="spellStart"/>
            <w:r w:rsidRPr="00084C00">
              <w:rPr>
                <w:color w:val="000000"/>
                <w:sz w:val="18"/>
                <w:szCs w:val="18"/>
              </w:rPr>
              <w:t>haemolytic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C00">
              <w:rPr>
                <w:color w:val="000000"/>
                <w:sz w:val="18"/>
                <w:szCs w:val="18"/>
              </w:rPr>
              <w:t>anaemia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(no relation to RTX), </w:t>
            </w:r>
            <w:proofErr w:type="spellStart"/>
            <w:r w:rsidRPr="00084C00">
              <w:rPr>
                <w:color w:val="000000"/>
                <w:sz w:val="18"/>
                <w:szCs w:val="18"/>
              </w:rPr>
              <w:t>amaurosis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C00">
              <w:rPr>
                <w:color w:val="000000"/>
                <w:sz w:val="18"/>
                <w:szCs w:val="18"/>
              </w:rPr>
              <w:lastRenderedPageBreak/>
              <w:t>fugax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, unstable angina (no relation to RTX), transitional cell cancer of the bladder (no relation to RTX), and orbital </w:t>
            </w:r>
            <w:proofErr w:type="spellStart"/>
            <w:r w:rsidRPr="00084C00">
              <w:rPr>
                <w:color w:val="000000"/>
                <w:sz w:val="18"/>
                <w:szCs w:val="18"/>
              </w:rPr>
              <w:t>pseudotumor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B545A7" w:rsidRPr="0025711C" w14:paraId="5871C7C5" w14:textId="77777777" w:rsidTr="00E16A02">
        <w:trPr>
          <w:trHeight w:val="126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AC7E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lastRenderedPageBreak/>
              <w:t>Yamamoto et al., 2015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19CA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472E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500mg at the onset of relapse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7FAA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8F7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0C03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897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491B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58E5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F2A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One patient experienced an AE: herpes zoster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CF20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C0C9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SAE, no death</w:t>
            </w:r>
          </w:p>
        </w:tc>
      </w:tr>
      <w:tr w:rsidR="00B545A7" w:rsidRPr="0025711C" w14:paraId="720CA977" w14:textId="77777777" w:rsidTr="00E16A02">
        <w:trPr>
          <w:trHeight w:val="126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A803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84C00">
              <w:rPr>
                <w:color w:val="000000"/>
                <w:sz w:val="18"/>
                <w:szCs w:val="18"/>
              </w:rPr>
              <w:t>Quattrocchio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et al., 2018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2D98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408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375mg/m</w:t>
            </w:r>
            <w:r w:rsidRPr="00084C0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084C00">
              <w:rPr>
                <w:color w:val="000000"/>
                <w:sz w:val="18"/>
                <w:szCs w:val="18"/>
              </w:rPr>
              <w:t xml:space="preserve"> weekly for 4 weeks. Two more doses were given 1 and 2 months after the last infusion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C924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59CD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D148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9FC2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9ED5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248C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0086" w14:textId="2877DF90" w:rsidR="00B545A7" w:rsidRPr="00084C00" w:rsidRDefault="00B545A7" w:rsidP="00DD007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2 patients developed steroid-i</w:t>
            </w:r>
            <w:r w:rsidR="00DD007E">
              <w:rPr>
                <w:color w:val="000000"/>
                <w:sz w:val="18"/>
                <w:szCs w:val="18"/>
              </w:rPr>
              <w:t>nduced diabetes mellitus and another</w:t>
            </w:r>
            <w:r w:rsidRPr="00084C00">
              <w:rPr>
                <w:color w:val="000000"/>
                <w:sz w:val="18"/>
                <w:szCs w:val="18"/>
              </w:rPr>
              <w:t xml:space="preserve"> patient bronchopneumonia.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03A7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D185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</w:tr>
    </w:tbl>
    <w:p w14:paraId="6ACE2560" w14:textId="77777777" w:rsidR="00892A2B" w:rsidRDefault="00892A2B">
      <w:r>
        <w:br w:type="page"/>
      </w:r>
    </w:p>
    <w:tbl>
      <w:tblPr>
        <w:tblpPr w:leftFromText="180" w:rightFromText="180" w:vertAnchor="text" w:horzAnchor="page" w:tblpX="701" w:tblpY="-707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B545A7" w:rsidRPr="0025711C" w14:paraId="2B70E591" w14:textId="77777777" w:rsidTr="0011024C">
        <w:trPr>
          <w:trHeight w:val="378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17CCA7E" w14:textId="77777777" w:rsidR="00B545A7" w:rsidRPr="00084C00" w:rsidRDefault="00B545A7" w:rsidP="003848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rFonts w:eastAsia="Times New Roman"/>
                <w:b/>
                <w:bCs/>
                <w:color w:val="006100"/>
                <w:szCs w:val="20"/>
                <w:lang w:eastAsia="de-CH"/>
              </w:rPr>
              <w:lastRenderedPageBreak/>
              <w:t xml:space="preserve">Immune thrombocytopenia </w:t>
            </w:r>
          </w:p>
        </w:tc>
      </w:tr>
      <w:tr w:rsidR="001D4D68" w:rsidRPr="0025711C" w14:paraId="1823EE61" w14:textId="77777777" w:rsidTr="00E16A02">
        <w:trPr>
          <w:trHeight w:val="61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523C272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7E75B6D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1AB5C26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FADD0C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3FED486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22BF73D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B8C1D8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F1377D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5EA7CD7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C43A6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601ED7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FEE855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B545A7" w:rsidRPr="00084C00" w14:paraId="6C77BDD7" w14:textId="77777777" w:rsidTr="00E16A02">
        <w:trPr>
          <w:trHeight w:val="223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CF7D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Hasan et al., 2009 (only considering Part 2)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B67F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CF93" w14:textId="0244204C" w:rsidR="00B545A7" w:rsidRPr="00084C00" w:rsidRDefault="00B545A7" w:rsidP="004B3F4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750mg/m</w:t>
            </w:r>
            <w:r w:rsidRPr="00084C0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084C00">
              <w:rPr>
                <w:color w:val="000000"/>
                <w:sz w:val="18"/>
                <w:szCs w:val="18"/>
              </w:rPr>
              <w:t xml:space="preserve"> weekly for 4 weeks (</w:t>
            </w:r>
            <w:r w:rsidR="002035F3">
              <w:rPr>
                <w:color w:val="000000"/>
                <w:sz w:val="18"/>
                <w:szCs w:val="18"/>
              </w:rPr>
              <w:t>d</w:t>
            </w:r>
            <w:r w:rsidR="004B3F42" w:rsidRPr="004B3F42">
              <w:rPr>
                <w:color w:val="000000"/>
                <w:sz w:val="18"/>
                <w:szCs w:val="18"/>
              </w:rPr>
              <w:t xml:space="preserve">ouble dose </w:t>
            </w:r>
            <w:r w:rsidR="003105EF">
              <w:rPr>
                <w:color w:val="000000"/>
                <w:sz w:val="18"/>
                <w:szCs w:val="18"/>
              </w:rPr>
              <w:t>RTX</w:t>
            </w:r>
            <w:r w:rsidR="004B3F42" w:rsidRPr="004B3F42">
              <w:rPr>
                <w:color w:val="000000"/>
                <w:sz w:val="18"/>
                <w:szCs w:val="18"/>
              </w:rPr>
              <w:t xml:space="preserve"> </w:t>
            </w:r>
            <w:r w:rsidRPr="00084C00">
              <w:rPr>
                <w:color w:val="000000"/>
                <w:sz w:val="18"/>
                <w:szCs w:val="18"/>
              </w:rPr>
              <w:t>group)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FF0A" w14:textId="75F3AA5A" w:rsidR="00B545A7" w:rsidRPr="00084C00" w:rsidRDefault="00B545A7" w:rsidP="002074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Higher response rates (more CR's and/or PR's) or longer response duration. CR = platelet count ≥150'000 for ≥3 months, PR = platelet </w:t>
            </w:r>
            <w:r w:rsidR="00637C4B" w:rsidRPr="00084C00">
              <w:rPr>
                <w:color w:val="000000"/>
                <w:sz w:val="18"/>
                <w:szCs w:val="18"/>
              </w:rPr>
              <w:t>count ≥</w:t>
            </w:r>
            <w:r w:rsidRPr="00084C00">
              <w:rPr>
                <w:color w:val="000000"/>
                <w:sz w:val="18"/>
                <w:szCs w:val="18"/>
              </w:rPr>
              <w:t xml:space="preserve">50'000 for ≥3 months.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E4CB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Response to treatment, time to response, and toxicity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87E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676F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B1F6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23C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790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Well tolerated.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779F" w14:textId="62E0346D" w:rsidR="00B545A7" w:rsidRPr="00084C00" w:rsidRDefault="0011024C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0453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DE668B" w:rsidRPr="00084C00" w14:paraId="4AB45D2C" w14:textId="77777777" w:rsidTr="00E16A02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B34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proofErr w:type="spellStart"/>
            <w:r w:rsidRPr="00DE668B">
              <w:rPr>
                <w:sz w:val="18"/>
              </w:rPr>
              <w:t>Zaja</w:t>
            </w:r>
            <w:proofErr w:type="spellEnd"/>
            <w:r w:rsidRPr="00DE668B">
              <w:rPr>
                <w:sz w:val="18"/>
              </w:rPr>
              <w:t xml:space="preserve"> et al., 2010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B86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101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C127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375mg/m2 weekly for 4 weeks plus dexamethasone 40mg orally on days 1-4.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EE53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Sustained response (SR) rate (=platelet count ≥50 x10^9/l at month 6)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DB6A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 xml:space="preserve">Hematologic response (platelet count ≥100x10^9/l = SR100 and ≥150x10^9/l = SR150), safety profile, early response (platelet count ≥50x10^9/l at day28), efficacy of salvage therapy with </w:t>
            </w:r>
            <w:proofErr w:type="spellStart"/>
            <w:r w:rsidRPr="00DE668B">
              <w:rPr>
                <w:sz w:val="18"/>
              </w:rPr>
              <w:t>dexa</w:t>
            </w:r>
            <w:proofErr w:type="spellEnd"/>
            <w:r w:rsidRPr="00DE668B">
              <w:rPr>
                <w:sz w:val="18"/>
              </w:rPr>
              <w:t xml:space="preserve"> plus RTX, predictors of SR, and cellular and humoral immune response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559D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63% achieved SR (p=0.004)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3549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36% achieved SR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15C6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281E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E2E9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37 patients (76%) experienced at least one AE.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E095" w14:textId="77777777" w:rsidR="00DE668B" w:rsidRPr="00DE668B" w:rsidRDefault="00DE668B" w:rsidP="00DE668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891A" w14:textId="11B95018" w:rsidR="00DE668B" w:rsidRPr="00DE668B" w:rsidRDefault="00DE668B" w:rsidP="00637C4B">
            <w:pPr>
              <w:spacing w:line="240" w:lineRule="auto"/>
              <w:rPr>
                <w:sz w:val="18"/>
              </w:rPr>
            </w:pPr>
            <w:r w:rsidRPr="00DE668B">
              <w:rPr>
                <w:sz w:val="18"/>
              </w:rPr>
              <w:t>3 patients (6%) with at least one SAE: 1 patient with hemorrhagic disorder (platelet decrease and/or bleeding), 1 patient with supraventricular tachycardia and 1 patient with interstitial pneumonia. The hemorrhagic disorder was considered as not related to study drug. No deaths.</w:t>
            </w:r>
          </w:p>
        </w:tc>
      </w:tr>
      <w:tr w:rsidR="00DE668B" w:rsidRPr="00DE668B" w14:paraId="018E93F6" w14:textId="77777777" w:rsidTr="00E16A02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39B4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Li et al., 2011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6445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4F2F" w14:textId="6E3AACB8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 xml:space="preserve">100mg weekly for 4 weeks with dexamethasone 40mg/d orally for 4 days followed by prednisone </w:t>
            </w:r>
            <w:r w:rsidRPr="00DE668B">
              <w:rPr>
                <w:color w:val="000000"/>
                <w:sz w:val="18"/>
                <w:szCs w:val="18"/>
              </w:rPr>
              <w:lastRenderedPageBreak/>
              <w:t xml:space="preserve">orally </w:t>
            </w:r>
            <w:r w:rsidR="00637C4B" w:rsidRPr="00DE668B">
              <w:rPr>
                <w:color w:val="000000"/>
                <w:sz w:val="18"/>
                <w:szCs w:val="18"/>
              </w:rPr>
              <w:t>tapered</w:t>
            </w:r>
            <w:r w:rsidRPr="00DE668B">
              <w:rPr>
                <w:color w:val="000000"/>
                <w:sz w:val="18"/>
                <w:szCs w:val="18"/>
              </w:rPr>
              <w:t xml:space="preserve"> consecutively.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86AE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lastRenderedPageBreak/>
              <w:t>No primary endpoint defined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9B6C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secondary endpoints defined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72C0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Overall response rate at day 28: 80.6% (p=0.938), Complete response rate: 67.7%, Partial response rate: 12.9%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F488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 xml:space="preserve">Overall response rate at day 28: 74.2%, Complete response rate: 54.8%, Partial response rate: 19.4%.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FBDE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Sustained response (platelet count ≥50x10^9/l at month 6 after initial treatment): 77.4%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543B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Sustained response (platelet count ≥50x10^9/l at month 6 after initial treatment): 38.7%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3A72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3/31 (9.6%) of the patients with at least one AE.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E72E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994A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 xml:space="preserve">No information about SAEs and deaths. </w:t>
            </w:r>
          </w:p>
        </w:tc>
      </w:tr>
      <w:tr w:rsidR="00DE668B" w:rsidRPr="00DE668B" w14:paraId="145E2A9C" w14:textId="77777777" w:rsidTr="00E16A02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034E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Arnold et al., 2012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B75C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235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375mg/m2 weekly for 4 weeks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8E0F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Treatment failure (= any platelet count &lt;50x10^9/l or significant bleeding defined as grade 2 severity or rescue treatment administration)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A5C3" w14:textId="3184A163" w:rsidR="00DE668B" w:rsidRPr="00DE668B" w:rsidRDefault="00FD2E65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QoL</w:t>
            </w:r>
            <w:proofErr w:type="spellEnd"/>
            <w:r w:rsidR="00DE668B" w:rsidRPr="00DE668B">
              <w:rPr>
                <w:color w:val="000000"/>
                <w:sz w:val="18"/>
                <w:szCs w:val="18"/>
              </w:rPr>
              <w:t xml:space="preserve"> (SF-36), proportion of patient with a complete response (platelet count ≥100x10^9/l) and overall response (platelet count ≥30x10^9/l with doubling from baseline).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1001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65.6% of the patients met the primary endpoint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D6A5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80.8% of the patients met the primary endpoint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6171" w14:textId="20F6DA01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Complete response after 6 months: 53.1%. Overal</w:t>
            </w:r>
            <w:r w:rsidR="00637C4B">
              <w:rPr>
                <w:color w:val="000000"/>
                <w:sz w:val="18"/>
                <w:szCs w:val="18"/>
              </w:rPr>
              <w:t>l</w:t>
            </w:r>
            <w:r w:rsidRPr="00DE668B">
              <w:rPr>
                <w:color w:val="000000"/>
                <w:sz w:val="18"/>
                <w:szCs w:val="18"/>
              </w:rPr>
              <w:t xml:space="preserve"> response: 62.5%.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FC4D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Complete response after 6 months: 46.2%. Overall response: 73.1%.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DE0E" w14:textId="77777777" w:rsidR="00DE668B" w:rsidRPr="00DE668B" w:rsidRDefault="00DE668B" w:rsidP="00D029AD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 xml:space="preserve">76 </w:t>
            </w:r>
            <w:r w:rsidR="00D029AD">
              <w:rPr>
                <w:color w:val="000000"/>
                <w:sz w:val="18"/>
                <w:szCs w:val="18"/>
              </w:rPr>
              <w:t>AEs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8EE3" w14:textId="5E1CC9F4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 xml:space="preserve">No treatment effect for change in </w:t>
            </w:r>
            <w:proofErr w:type="spellStart"/>
            <w:r w:rsidR="00FD2E65">
              <w:rPr>
                <w:color w:val="000000"/>
                <w:sz w:val="18"/>
                <w:szCs w:val="18"/>
              </w:rPr>
              <w:t>QoL</w:t>
            </w:r>
            <w:proofErr w:type="spellEnd"/>
            <w:r w:rsidRPr="00DE668B">
              <w:rPr>
                <w:color w:val="000000"/>
                <w:sz w:val="18"/>
                <w:szCs w:val="18"/>
              </w:rPr>
              <w:t xml:space="preserve"> scores for </w:t>
            </w:r>
            <w:r w:rsidR="00637C4B" w:rsidRPr="00DE668B">
              <w:rPr>
                <w:color w:val="000000"/>
                <w:sz w:val="18"/>
                <w:szCs w:val="18"/>
              </w:rPr>
              <w:t>physical</w:t>
            </w:r>
            <w:r w:rsidRPr="00DE668B">
              <w:rPr>
                <w:color w:val="000000"/>
                <w:sz w:val="18"/>
                <w:szCs w:val="18"/>
              </w:rPr>
              <w:t xml:space="preserve"> or mental domains (SF-36)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5F1A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2 SAEs: serum sickness and accidental fall.</w:t>
            </w:r>
          </w:p>
        </w:tc>
      </w:tr>
      <w:tr w:rsidR="00DE668B" w:rsidRPr="00DE668B" w14:paraId="42713D2C" w14:textId="77777777" w:rsidTr="00E16A02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650E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DE668B">
              <w:rPr>
                <w:color w:val="000000"/>
                <w:sz w:val="18"/>
                <w:szCs w:val="18"/>
              </w:rPr>
              <w:t>Gudbrandsdottir</w:t>
            </w:r>
            <w:proofErr w:type="spellEnd"/>
            <w:r w:rsidRPr="00DE668B">
              <w:rPr>
                <w:color w:val="000000"/>
                <w:sz w:val="18"/>
                <w:szCs w:val="18"/>
              </w:rPr>
              <w:t xml:space="preserve"> et al., 2013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C7BE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8F06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375mg/m2 weekly for 4 weeks, DXM 40mg/d orally for 4 consecutive days.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D290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Sustained partial or complete response at 6 months (CR= platelet count ≥100x10^9/l, PR= platelet count ≥50x10^9/l)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C20B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Time to relapse, time to rescue treatment, and rates of splenectomy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F0C4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58% of the patients achieved SR (p=0.02)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8810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37% of the patients achieved SR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A733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441E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FEA7" w14:textId="77777777" w:rsidR="00DE668B" w:rsidRPr="00DE668B" w:rsidRDefault="00503341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AE</w:t>
            </w:r>
            <w:r w:rsidR="00DE668B" w:rsidRPr="00DE668B">
              <w:rPr>
                <w:color w:val="000000"/>
                <w:sz w:val="18"/>
                <w:szCs w:val="18"/>
              </w:rPr>
              <w:t xml:space="preserve">s were mostly mild and balanced between the 2 groups.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18A5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52D4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16 SAE including 1 death.</w:t>
            </w:r>
          </w:p>
        </w:tc>
      </w:tr>
      <w:tr w:rsidR="00DE668B" w:rsidRPr="00DE668B" w14:paraId="00A302A5" w14:textId="77777777" w:rsidTr="00E16A02">
        <w:trPr>
          <w:trHeight w:val="84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96A2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Dai et al., 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7508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85E0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375mg/m2 weekly for 4 weeks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7A3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6C65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32E8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 xml:space="preserve">Overall response rate: 69.2% (p&lt;0.01). Complete response (=platelet count &gt;150x10^9/l, no bleeding symptoms): 42.3%. Partial response (=platelet count elevated, improved </w:t>
            </w:r>
            <w:r w:rsidRPr="00DE668B">
              <w:rPr>
                <w:color w:val="000000"/>
                <w:sz w:val="18"/>
                <w:szCs w:val="18"/>
              </w:rPr>
              <w:lastRenderedPageBreak/>
              <w:t>bleeding symptoms): 26.9%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F4C8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lastRenderedPageBreak/>
              <w:t xml:space="preserve">Overall response rate: 37.5%. Complete response (=platelet count &gt;150x10^9/l, no bleeding symptoms): 12.5%. Partial response (=platelet count elevated, improved bleeding </w:t>
            </w:r>
            <w:r w:rsidRPr="00DE668B">
              <w:rPr>
                <w:color w:val="000000"/>
                <w:sz w:val="18"/>
                <w:szCs w:val="18"/>
              </w:rPr>
              <w:lastRenderedPageBreak/>
              <w:t>symptoms): 25%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51ED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lastRenderedPageBreak/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F6EC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7F19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 xml:space="preserve">3 children with an AE: one mild rash, 2 cases of abnormal liver and kidney function.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A0E0" w14:textId="77777777" w:rsidR="00DE668B" w:rsidRP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6D18" w14:textId="35D729B9" w:rsidR="00DE668B" w:rsidRPr="00DE668B" w:rsidRDefault="00DE668B" w:rsidP="00FD2E6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DE668B">
              <w:rPr>
                <w:color w:val="000000"/>
                <w:sz w:val="18"/>
                <w:szCs w:val="18"/>
              </w:rPr>
              <w:t xml:space="preserve">No SAEs. No information </w:t>
            </w:r>
            <w:r w:rsidR="00FD2E65">
              <w:rPr>
                <w:color w:val="000000"/>
                <w:sz w:val="18"/>
                <w:szCs w:val="18"/>
              </w:rPr>
              <w:t>on</w:t>
            </w:r>
            <w:r w:rsidRPr="00DE668B">
              <w:rPr>
                <w:color w:val="000000"/>
                <w:sz w:val="18"/>
                <w:szCs w:val="18"/>
              </w:rPr>
              <w:t xml:space="preserve"> death</w:t>
            </w:r>
            <w:r w:rsidR="00FD2E65">
              <w:rPr>
                <w:color w:val="000000"/>
                <w:sz w:val="18"/>
                <w:szCs w:val="18"/>
              </w:rPr>
              <w:t>s</w:t>
            </w:r>
            <w:r w:rsidRPr="00DE668B">
              <w:rPr>
                <w:color w:val="000000"/>
                <w:sz w:val="18"/>
                <w:szCs w:val="18"/>
              </w:rPr>
              <w:t>.</w:t>
            </w:r>
          </w:p>
        </w:tc>
      </w:tr>
      <w:tr w:rsidR="00DE668B" w:rsidRPr="00DE668B" w14:paraId="4187644F" w14:textId="77777777" w:rsidTr="00E16A02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2E04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Ghanima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2015 (RITP trial)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FA29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F0C3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375mg/m2 weekly for 4 weeks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6B8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Rate of treatment failure (=splenectomy or meeting the criteria for splenectomy after week 12 [=platelet count lower than 20x10^9/l or need for prednisone increments at doses higher than 7.5mg/d to maintain platelet count of less than or equal to 20x10^9/l]) within 78 weeks.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80AD" w14:textId="613097FC" w:rsidR="00DE668B" w:rsidRDefault="00DE668B" w:rsidP="00250192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Response rates (</w:t>
            </w:r>
            <w:r w:rsidR="0023617F">
              <w:rPr>
                <w:color w:val="000000"/>
                <w:sz w:val="18"/>
                <w:szCs w:val="18"/>
              </w:rPr>
              <w:t>Overall response [</w:t>
            </w:r>
            <w:r>
              <w:rPr>
                <w:color w:val="000000"/>
                <w:sz w:val="18"/>
                <w:szCs w:val="18"/>
              </w:rPr>
              <w:t>OR</w:t>
            </w:r>
            <w:r w:rsidR="0023617F">
              <w:rPr>
                <w:color w:val="000000"/>
                <w:sz w:val="18"/>
                <w:szCs w:val="18"/>
              </w:rPr>
              <w:t>]</w:t>
            </w:r>
            <w:r w:rsidR="00637C4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= platelet count ≥30x10^9/l, </w:t>
            </w:r>
            <w:r w:rsidR="001C3947">
              <w:rPr>
                <w:color w:val="000000"/>
                <w:sz w:val="18"/>
                <w:szCs w:val="18"/>
              </w:rPr>
              <w:t xml:space="preserve">complete </w:t>
            </w:r>
            <w:r w:rsidR="002918E1">
              <w:rPr>
                <w:color w:val="000000"/>
                <w:sz w:val="18"/>
                <w:szCs w:val="18"/>
              </w:rPr>
              <w:t>response [</w:t>
            </w:r>
            <w:r>
              <w:rPr>
                <w:color w:val="000000"/>
                <w:sz w:val="18"/>
                <w:szCs w:val="18"/>
              </w:rPr>
              <w:t>CR</w:t>
            </w:r>
            <w:r w:rsidR="002918E1">
              <w:rPr>
                <w:color w:val="000000"/>
                <w:sz w:val="18"/>
                <w:szCs w:val="18"/>
              </w:rPr>
              <w:t xml:space="preserve">] </w:t>
            </w:r>
            <w:r>
              <w:rPr>
                <w:color w:val="000000"/>
                <w:sz w:val="18"/>
                <w:szCs w:val="18"/>
              </w:rPr>
              <w:t>= platelet count ≥100x10^9/l), relapse rates, duration of response, bleeding, safety, and corticosteroid consumption.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52E6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58% of the patients had treatment failure (p=0.65)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2A88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68% of the patients had treatment failure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693D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 after 78 weeks: 81% (p=0.15). CR after 78 weeks: 58% (p=0.12)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2E17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 after 78 weeks: 73%. CR after 78 weeks: 50%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F588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3FB1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489B" w14:textId="77777777" w:rsidR="00DE668B" w:rsidRDefault="00DE668B" w:rsidP="00DE668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 about SAEs. No deaths.</w:t>
            </w:r>
          </w:p>
        </w:tc>
      </w:tr>
      <w:tr w:rsidR="00384893" w:rsidRPr="0025711C" w14:paraId="223569FA" w14:textId="77777777" w:rsidTr="0011024C">
        <w:trPr>
          <w:trHeight w:val="280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2200A3D" w14:textId="77777777" w:rsidR="00384893" w:rsidRPr="00084C00" w:rsidRDefault="00384893" w:rsidP="00384893">
            <w:pPr>
              <w:spacing w:after="0" w:line="240" w:lineRule="auto"/>
            </w:pPr>
            <w:r w:rsidRPr="00084C00">
              <w:rPr>
                <w:rFonts w:eastAsia="Times New Roman"/>
                <w:b/>
                <w:bCs/>
                <w:color w:val="006100"/>
                <w:szCs w:val="20"/>
                <w:lang w:eastAsia="de-CH"/>
              </w:rPr>
              <w:t>Inflammatory myositis</w:t>
            </w:r>
          </w:p>
        </w:tc>
      </w:tr>
      <w:tr w:rsidR="001D4D68" w:rsidRPr="0025711C" w14:paraId="5CF7DEF9" w14:textId="77777777" w:rsidTr="00E16A02">
        <w:trPr>
          <w:trHeight w:val="39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62F6EEA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4BF08B6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BDF1C6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4F139F5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5493DC1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5D2CF1D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602F48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0282EC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656031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728041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53149A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EE39C8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384893" w:rsidRPr="0025711C" w14:paraId="568E7EF8" w14:textId="77777777" w:rsidTr="00E16A02">
        <w:trPr>
          <w:trHeight w:val="70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D5B1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84C00">
              <w:rPr>
                <w:color w:val="000000"/>
                <w:sz w:val="18"/>
                <w:szCs w:val="18"/>
              </w:rPr>
              <w:t>Oddis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et al., 2013 (RIM trial)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BBF9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FCAD" w14:textId="2C744CE5" w:rsidR="00384893" w:rsidRPr="00084C00" w:rsidRDefault="0073646F" w:rsidP="00637C4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RTX</w:t>
            </w:r>
            <w:r w:rsidR="00384893" w:rsidRPr="00084C00">
              <w:rPr>
                <w:color w:val="000000"/>
                <w:sz w:val="18"/>
                <w:szCs w:val="18"/>
              </w:rPr>
              <w:t xml:space="preserve"> early arm: 575mg/m</w:t>
            </w:r>
            <w:r w:rsidR="00384893" w:rsidRPr="00084C0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384893" w:rsidRPr="00084C00">
              <w:rPr>
                <w:color w:val="000000"/>
                <w:sz w:val="18"/>
                <w:szCs w:val="18"/>
              </w:rPr>
              <w:t xml:space="preserve"> (children with </w:t>
            </w:r>
            <w:r w:rsidR="00E67913" w:rsidRPr="00E67913">
              <w:rPr>
                <w:color w:val="000000"/>
                <w:sz w:val="18"/>
                <w:szCs w:val="18"/>
              </w:rPr>
              <w:t xml:space="preserve">body surface area </w:t>
            </w:r>
            <w:r w:rsidR="00384893" w:rsidRPr="00084C00">
              <w:rPr>
                <w:color w:val="000000"/>
                <w:sz w:val="18"/>
                <w:szCs w:val="18"/>
              </w:rPr>
              <w:t>≤1.5m2) or 750mg/m</w:t>
            </w:r>
            <w:r w:rsidR="00384893" w:rsidRPr="00084C0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384893" w:rsidRPr="00084C00">
              <w:rPr>
                <w:color w:val="000000"/>
                <w:sz w:val="18"/>
                <w:szCs w:val="18"/>
              </w:rPr>
              <w:t xml:space="preserve"> (children with BS</w:t>
            </w:r>
            <w:r w:rsidR="00070287">
              <w:rPr>
                <w:color w:val="000000"/>
                <w:sz w:val="18"/>
                <w:szCs w:val="18"/>
              </w:rPr>
              <w:t>A&gt;1.5m2) on weeks 0 and 1 with placebo</w:t>
            </w:r>
            <w:r w:rsidR="00384893" w:rsidRPr="00084C00">
              <w:rPr>
                <w:color w:val="000000"/>
                <w:sz w:val="18"/>
                <w:szCs w:val="18"/>
              </w:rPr>
              <w:t xml:space="preserve"> on weeks 8 and 9.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3BAF" w14:textId="5C944868" w:rsidR="00384893" w:rsidRPr="00EE4E0C" w:rsidRDefault="00384893" w:rsidP="00637C4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E4E0C">
              <w:rPr>
                <w:color w:val="000000"/>
                <w:sz w:val="18"/>
                <w:szCs w:val="18"/>
              </w:rPr>
              <w:t xml:space="preserve">Time to achieve definition of improvement (≥20% improvement in 3 of any 6 </w:t>
            </w:r>
            <w:r w:rsidR="00E67913" w:rsidRPr="00EE4E0C">
              <w:rPr>
                <w:color w:val="000000"/>
                <w:sz w:val="18"/>
                <w:szCs w:val="18"/>
              </w:rPr>
              <w:t>core set measure</w:t>
            </w:r>
            <w:r w:rsidR="00E67913" w:rsidRPr="005B7412">
              <w:rPr>
                <w:color w:val="000000"/>
                <w:sz w:val="18"/>
                <w:szCs w:val="18"/>
              </w:rPr>
              <w:t>s</w:t>
            </w:r>
            <w:r w:rsidRPr="00EE4E0C">
              <w:rPr>
                <w:color w:val="000000"/>
                <w:sz w:val="18"/>
                <w:szCs w:val="18"/>
              </w:rPr>
              <w:t>, with no more than 2 worsening by ≥ 25%).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834F" w14:textId="3FAAB451" w:rsidR="00384893" w:rsidRPr="00EE4E0C" w:rsidRDefault="00384893" w:rsidP="002074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B7412">
              <w:rPr>
                <w:color w:val="000000"/>
                <w:sz w:val="18"/>
                <w:szCs w:val="18"/>
              </w:rPr>
              <w:t xml:space="preserve">Time to 20% improvement in the MMT-8, proportion of patients achieving </w:t>
            </w:r>
            <w:r w:rsidR="00E67913" w:rsidRPr="00EE4E0C">
              <w:rPr>
                <w:color w:val="000000"/>
                <w:sz w:val="18"/>
                <w:szCs w:val="18"/>
              </w:rPr>
              <w:t xml:space="preserve">definition of improvement </w:t>
            </w:r>
            <w:r w:rsidRPr="00EE4E0C">
              <w:rPr>
                <w:color w:val="000000"/>
                <w:sz w:val="18"/>
                <w:szCs w:val="18"/>
              </w:rPr>
              <w:t>at week 8.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6CA1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AF0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19D8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Proportion of patients achieving DOI by week 8: 15%.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5973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Proportion achieving DOI by week 8: 20.6%.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4C6D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difference in number of AEs at week 8 with the exception of infusion reactions which occurred significantly more often in the RTX group (p&lt;0.01).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530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36FE" w14:textId="77777777" w:rsidR="00384893" w:rsidRPr="00084C00" w:rsidRDefault="00384893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64 patients experienced 67 SAEs (26 SAEs were considered as drug related SAE). 1 death: lung mass suspicious for malignancy followed by a stroke.</w:t>
            </w:r>
          </w:p>
        </w:tc>
      </w:tr>
      <w:tr w:rsidR="00B545A7" w:rsidRPr="0025711C" w14:paraId="174F5DFC" w14:textId="77777777" w:rsidTr="0011024C">
        <w:trPr>
          <w:trHeight w:val="410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3A9E1FC" w14:textId="77777777" w:rsidR="00B545A7" w:rsidRPr="00084C00" w:rsidRDefault="00B545A7" w:rsidP="003848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rFonts w:eastAsia="Times New Roman"/>
                <w:b/>
                <w:bCs/>
                <w:color w:val="006100"/>
                <w:szCs w:val="20"/>
                <w:lang w:eastAsia="de-CH"/>
              </w:rPr>
              <w:lastRenderedPageBreak/>
              <w:t>Juvenile idiopathic arthritis</w:t>
            </w:r>
          </w:p>
        </w:tc>
      </w:tr>
      <w:tr w:rsidR="001D4D68" w:rsidRPr="0025711C" w14:paraId="038472B3" w14:textId="77777777" w:rsidTr="00E16A02">
        <w:trPr>
          <w:trHeight w:val="50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AD5536D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4EE765B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B3F6145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83503D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DA9E22A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9565354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FC790D6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60C3AFC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E3F95D6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86406B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0634BE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C632B6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B545A7" w:rsidRPr="0025711C" w14:paraId="126DD2EC" w14:textId="77777777" w:rsidTr="00E16A02">
        <w:trPr>
          <w:trHeight w:val="42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F6F3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Narvaez et al., 2009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8B69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1C2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1000mg on days 1 and 15 (one patient received 500mg during the first cycle due to weight of 40kg)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A7A2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C89F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C47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3255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A5BF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5312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CCB5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Patient 1 experienced a hypersensitivity reaction during the second infusion of the second treatment cycle.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F645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AFF4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SAE, no death</w:t>
            </w:r>
          </w:p>
        </w:tc>
      </w:tr>
      <w:tr w:rsidR="00B545A7" w:rsidRPr="0025711C" w14:paraId="7C112D50" w14:textId="77777777" w:rsidTr="00E16A02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72D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84C00">
              <w:rPr>
                <w:color w:val="000000"/>
                <w:sz w:val="18"/>
                <w:szCs w:val="18"/>
              </w:rPr>
              <w:t>Alexeeva</w:t>
            </w:r>
            <w:proofErr w:type="spellEnd"/>
            <w:r w:rsidRPr="00084C00">
              <w:rPr>
                <w:color w:val="000000"/>
                <w:sz w:val="18"/>
                <w:szCs w:val="18"/>
              </w:rPr>
              <w:t xml:space="preserve"> et al., 2011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6F8D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53D4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375mg/m</w:t>
            </w:r>
            <w:r w:rsidRPr="00084C0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084C00">
              <w:rPr>
                <w:color w:val="000000"/>
                <w:sz w:val="18"/>
                <w:szCs w:val="18"/>
              </w:rPr>
              <w:t xml:space="preserve"> weekly for 4 weeks. Further treatment courses if systemic manifestations persisted at 24 weeks.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E387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ACR Pedi 30 response at week 24.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118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ACR Pedi 50 and 70 responses and clinical remission at weeks 24, 48, 72, and 96.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4165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98% of patients achieved ACR Pedi30 at 24 weeks.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AB1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69E4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At 48 weeks: 75% of patients achieved ACR50 response and 70% ACR70 response. Clinical and laboratory remission was reported in 52%. At 52 weeks: 75% of patients achieved ACR 50 and 70 responses and clinical and laboratory remission. At 96 weeks: 93% of patients achieved ACR70 response.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AF1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497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101 AEs were reported with the most common AE being transfusion reactions (36 events).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8B47" w14:textId="77777777" w:rsidR="00B545A7" w:rsidRPr="00084C00" w:rsidRDefault="00B545A7" w:rsidP="0038489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 xml:space="preserve">Significant improvement in the CHAQ score after 12 weeks (p&lt;0.001).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F78A" w14:textId="77777777" w:rsidR="00B545A7" w:rsidRPr="00084C00" w:rsidRDefault="00B545A7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84C00">
              <w:rPr>
                <w:color w:val="000000"/>
                <w:sz w:val="18"/>
                <w:szCs w:val="18"/>
              </w:rPr>
              <w:t>No information</w:t>
            </w:r>
            <w:r w:rsidR="008D3AD6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3A046181" w14:textId="77777777" w:rsidR="008D3AD6" w:rsidRDefault="008D3AD6">
      <w:r>
        <w:br w:type="page"/>
      </w:r>
    </w:p>
    <w:tbl>
      <w:tblPr>
        <w:tblpPr w:leftFromText="180" w:rightFromText="180" w:vertAnchor="text" w:horzAnchor="page" w:tblpX="701" w:tblpY="-707"/>
        <w:tblW w:w="15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08"/>
        <w:gridCol w:w="1309"/>
        <w:gridCol w:w="1308"/>
        <w:gridCol w:w="1308"/>
        <w:gridCol w:w="1309"/>
        <w:gridCol w:w="1308"/>
        <w:gridCol w:w="1308"/>
        <w:gridCol w:w="1309"/>
        <w:gridCol w:w="1308"/>
        <w:gridCol w:w="1308"/>
        <w:gridCol w:w="1309"/>
      </w:tblGrid>
      <w:tr w:rsidR="00084C00" w:rsidRPr="00084C00" w14:paraId="64ED67BC" w14:textId="77777777" w:rsidTr="00084C00">
        <w:trPr>
          <w:trHeight w:val="316"/>
        </w:trPr>
        <w:tc>
          <w:tcPr>
            <w:tcW w:w="15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51D6D0D" w14:textId="77777777" w:rsidR="00084C00" w:rsidRPr="00084C00" w:rsidRDefault="00084C00" w:rsidP="00084C00">
            <w:pPr>
              <w:spacing w:after="0" w:line="240" w:lineRule="auto"/>
              <w:rPr>
                <w:sz w:val="18"/>
              </w:rPr>
            </w:pPr>
            <w:proofErr w:type="spellStart"/>
            <w:r w:rsidRPr="00084C00">
              <w:rPr>
                <w:rFonts w:eastAsia="Times New Roman"/>
                <w:b/>
                <w:bCs/>
                <w:color w:val="006100"/>
                <w:szCs w:val="20"/>
                <w:lang w:eastAsia="de-CH"/>
              </w:rPr>
              <w:lastRenderedPageBreak/>
              <w:t>Membraneous</w:t>
            </w:r>
            <w:proofErr w:type="spellEnd"/>
            <w:r w:rsidRPr="00084C00">
              <w:rPr>
                <w:rFonts w:eastAsia="Times New Roman"/>
                <w:b/>
                <w:bCs/>
                <w:color w:val="006100"/>
                <w:szCs w:val="20"/>
                <w:lang w:eastAsia="de-CH"/>
              </w:rPr>
              <w:t xml:space="preserve"> nephropathy</w:t>
            </w:r>
          </w:p>
        </w:tc>
      </w:tr>
      <w:tr w:rsidR="001D4D68" w:rsidRPr="00084C00" w14:paraId="3502BA65" w14:textId="77777777" w:rsidTr="00E16A02">
        <w:trPr>
          <w:trHeight w:val="56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2B1733D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9E99C3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7DCD4C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439A5F7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2A0C7E6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D21B439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10BB750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9845247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4553BF1" w14:textId="77777777" w:rsidR="001D4D68" w:rsidRPr="00084C00" w:rsidRDefault="001D4D68" w:rsidP="001D4D68">
            <w:pPr>
              <w:spacing w:after="0" w:line="240" w:lineRule="auto"/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</w:pPr>
            <w:r w:rsidRPr="00084C00">
              <w:rPr>
                <w:rFonts w:eastAsia="Times New Roman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4E977B2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BA1DE2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BD35222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084C00" w:rsidRPr="00084C00" w14:paraId="69D139B4" w14:textId="77777777" w:rsidTr="00E16A02">
        <w:trPr>
          <w:trHeight w:val="126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7894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proofErr w:type="spellStart"/>
            <w:r w:rsidRPr="00084C00">
              <w:rPr>
                <w:sz w:val="18"/>
              </w:rPr>
              <w:t>Dahan</w:t>
            </w:r>
            <w:proofErr w:type="spellEnd"/>
            <w:r w:rsidRPr="00084C00">
              <w:rPr>
                <w:sz w:val="18"/>
              </w:rPr>
              <w:t xml:space="preserve"> et al., 2017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8EFA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75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ABB1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375mg/m2 on days 1 and 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8DA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Percentage of patients with complete or partial remission of nephrotic syndrome at 6 months (complete remission= urinary protein excretion &lt;500mg/d or &lt;500mg/g creatinine. Partial remission = urinary protein excretion &lt;3.5gr/d or &lt;3500mg/g creatinine and ≥500mg/g creatinine with ≥50% reduction compared with baseline)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F01E" w14:textId="09B9269C" w:rsidR="00084C00" w:rsidRPr="002068B8" w:rsidRDefault="00084C00" w:rsidP="002830D5">
            <w:pPr>
              <w:spacing w:line="240" w:lineRule="auto"/>
              <w:rPr>
                <w:sz w:val="18"/>
              </w:rPr>
            </w:pPr>
            <w:r w:rsidRPr="00642627">
              <w:rPr>
                <w:sz w:val="18"/>
              </w:rPr>
              <w:t xml:space="preserve">Rate of proteinuria, serum albumin, serum creatinine, </w:t>
            </w:r>
            <w:r w:rsidR="00750AE9" w:rsidRPr="005B7412">
              <w:rPr>
                <w:sz w:val="18"/>
              </w:rPr>
              <w:t>anti-</w:t>
            </w:r>
            <w:r w:rsidR="002830D5" w:rsidRPr="00642627">
              <w:rPr>
                <w:sz w:val="18"/>
              </w:rPr>
              <w:t>phospholipase A2 receptor antibody</w:t>
            </w:r>
            <w:r w:rsidR="002830D5" w:rsidRPr="00642627" w:rsidDel="002830D5">
              <w:rPr>
                <w:sz w:val="18"/>
              </w:rPr>
              <w:t xml:space="preserve"> </w:t>
            </w:r>
            <w:r w:rsidRPr="00642627">
              <w:rPr>
                <w:sz w:val="18"/>
              </w:rPr>
              <w:t>levels, SAEs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7179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35.1% (p=0.21)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047E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0.21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032E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Significant reduction in PLA2R-Ab titers (p&lt;0.001).  Significant more patients with a remission during follow-up (64.9%, p&lt;0.01)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D865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 xml:space="preserve"> Significant less patients with a remission during follow-up (34.2%)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8EFA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096D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7722" w14:textId="77777777" w:rsidR="00084C00" w:rsidRPr="00084C00" w:rsidRDefault="00084C00" w:rsidP="00084C00">
            <w:pPr>
              <w:spacing w:line="240" w:lineRule="auto"/>
              <w:rPr>
                <w:sz w:val="18"/>
              </w:rPr>
            </w:pPr>
            <w:r w:rsidRPr="00084C00">
              <w:rPr>
                <w:sz w:val="18"/>
              </w:rPr>
              <w:t>6 patients with at least one SAE</w:t>
            </w:r>
          </w:p>
        </w:tc>
      </w:tr>
    </w:tbl>
    <w:p w14:paraId="1A9F8CE1" w14:textId="77777777" w:rsidR="00F27538" w:rsidRDefault="00F27538">
      <w:r>
        <w:br w:type="page"/>
      </w:r>
    </w:p>
    <w:tbl>
      <w:tblPr>
        <w:tblpPr w:leftFromText="180" w:rightFromText="180" w:vertAnchor="text" w:horzAnchor="page" w:tblpX="701" w:tblpY="-707"/>
        <w:tblW w:w="15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08"/>
        <w:gridCol w:w="1309"/>
        <w:gridCol w:w="1308"/>
        <w:gridCol w:w="1308"/>
        <w:gridCol w:w="1309"/>
        <w:gridCol w:w="1308"/>
        <w:gridCol w:w="1308"/>
        <w:gridCol w:w="1309"/>
        <w:gridCol w:w="1308"/>
        <w:gridCol w:w="1308"/>
        <w:gridCol w:w="1309"/>
      </w:tblGrid>
      <w:tr w:rsidR="00F27538" w:rsidRPr="00084C00" w14:paraId="04BCB76C" w14:textId="77777777" w:rsidTr="00F27538">
        <w:trPr>
          <w:trHeight w:val="422"/>
        </w:trPr>
        <w:tc>
          <w:tcPr>
            <w:tcW w:w="15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5EC4916" w14:textId="77777777" w:rsidR="00F27538" w:rsidRPr="00084C00" w:rsidRDefault="00F27538" w:rsidP="00084C00">
            <w:pPr>
              <w:spacing w:line="240" w:lineRule="auto"/>
              <w:rPr>
                <w:sz w:val="18"/>
              </w:rPr>
            </w:pPr>
            <w:r w:rsidRPr="00E85462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lastRenderedPageBreak/>
              <w:t>Multiple sclerosis</w:t>
            </w:r>
          </w:p>
        </w:tc>
      </w:tr>
      <w:tr w:rsidR="001D4D68" w:rsidRPr="00084C00" w14:paraId="26E54582" w14:textId="77777777" w:rsidTr="00E16A02">
        <w:trPr>
          <w:trHeight w:val="68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D56966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4394C9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53D05B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1111FC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8FD47D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7BA23E6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B00329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1A2A39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6B1A5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DF76A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D854E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33D6F5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084C00" w:rsidRPr="00084C00" w14:paraId="267F8633" w14:textId="77777777" w:rsidTr="00E16A02">
        <w:trPr>
          <w:trHeight w:val="126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4B17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Hauser et al., 2008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9A69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104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5494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1000mg on days 1 and 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B8F1" w14:textId="77777777" w:rsidR="00084C00" w:rsidRPr="0020745C" w:rsidRDefault="00084C00" w:rsidP="00084C00">
            <w:pPr>
              <w:spacing w:line="240" w:lineRule="auto"/>
              <w:rPr>
                <w:sz w:val="18"/>
              </w:rPr>
            </w:pPr>
            <w:r w:rsidRPr="0020745C">
              <w:rPr>
                <w:sz w:val="18"/>
              </w:rPr>
              <w:t>Total count of gadolinium-enhancing lesions detected on T1-weighted MRI scans of the brain at weeks 12, 16, 20, and 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9CBC" w14:textId="0BC2714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 xml:space="preserve">Proportion of patients with relapses, annualized rate of relapse, </w:t>
            </w:r>
            <w:r w:rsidR="00637C4B" w:rsidRPr="003F453F">
              <w:rPr>
                <w:sz w:val="18"/>
              </w:rPr>
              <w:t>and total</w:t>
            </w:r>
            <w:r w:rsidRPr="003F453F">
              <w:rPr>
                <w:sz w:val="18"/>
              </w:rPr>
              <w:t xml:space="preserve"> number of new gadolinium-enhancing lesions on T1-weighted MRI scans at weeks 12, 16, 20, and 24, and the change from the baseline lesion volume on T2-weighted MRI scans.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D86C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Relative reduction of gadolinium-enhancing lesions of 91%.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9874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5F4D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Number of patients with a relapse at week 24: 14.5% (p=0.02) and week 48: 20.3% (p=0.04)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D98C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 xml:space="preserve">Patients with a relapse at week 24: 34.3% and at week 48: 40.0%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C21F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68 patients (98.6%) with at least one AE.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1F8B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C9C6" w14:textId="42277125" w:rsidR="00084C00" w:rsidRPr="003F453F" w:rsidRDefault="00084C00" w:rsidP="00B51B85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 xml:space="preserve">13% experienced a SAE. 1 death: homicide </w:t>
            </w:r>
          </w:p>
        </w:tc>
      </w:tr>
      <w:tr w:rsidR="00084C00" w:rsidRPr="00084C00" w14:paraId="4AEDC4EE" w14:textId="77777777" w:rsidTr="00E16A02">
        <w:trPr>
          <w:trHeight w:val="126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2122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Hawker et al., 2009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B738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439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BD15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1000mg on days 1 and 15 with repeated courses every 24 weeks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8B05" w14:textId="0D3994B5" w:rsidR="00084C00" w:rsidRPr="003F453F" w:rsidRDefault="00084C00" w:rsidP="00B51B85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Time to confirmed disease progression (=EDSS increase of ≥1.0 point from baseline if EDSS was between 2.0 and 5.5, or and EDSS increase of ≥0.5 if EDSS was &gt;5.5 sustained for at least 12 weeks).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2817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Change from baseline to week 96 in T2 lesion volume and</w:t>
            </w:r>
            <w:r>
              <w:rPr>
                <w:sz w:val="18"/>
              </w:rPr>
              <w:t xml:space="preserve"> total brain volume on MRI scan</w:t>
            </w:r>
            <w:r w:rsidRPr="003F453F">
              <w:rPr>
                <w:sz w:val="18"/>
              </w:rPr>
              <w:t>s.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DC23" w14:textId="58BCCDF3" w:rsidR="00084C00" w:rsidRPr="003F453F" w:rsidRDefault="00B51B85" w:rsidP="00B51B85">
            <w:pPr>
              <w:spacing w:line="240" w:lineRule="auto"/>
              <w:rPr>
                <w:sz w:val="18"/>
              </w:rPr>
            </w:pPr>
            <w:r w:rsidRPr="00B51B85">
              <w:rPr>
                <w:sz w:val="18"/>
              </w:rPr>
              <w:t xml:space="preserve">confirmed disease progression </w:t>
            </w:r>
            <w:r w:rsidR="00084C00" w:rsidRPr="003F453F">
              <w:rPr>
                <w:sz w:val="18"/>
              </w:rPr>
              <w:t>rate: 30.2%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0620" w14:textId="3C3DC02A" w:rsidR="00084C00" w:rsidRPr="003F453F" w:rsidRDefault="00B51B85" w:rsidP="00B51B85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 xml:space="preserve">confirmed disease progression </w:t>
            </w:r>
            <w:r w:rsidR="00084C00" w:rsidRPr="003F453F">
              <w:rPr>
                <w:sz w:val="18"/>
              </w:rPr>
              <w:t>rate: 38.5%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EA8A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A626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B694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289 patients (99%) experienced at least one AE.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1D24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AB97" w14:textId="77777777" w:rsidR="00084C00" w:rsidRPr="003F453F" w:rsidRDefault="00084C00" w:rsidP="00084C00">
            <w:pPr>
              <w:spacing w:line="240" w:lineRule="auto"/>
              <w:rPr>
                <w:sz w:val="18"/>
              </w:rPr>
            </w:pPr>
            <w:r w:rsidRPr="003F453F">
              <w:rPr>
                <w:sz w:val="18"/>
              </w:rPr>
              <w:t>48 patients (16.4%) with at least one SAE. 1 death due to aspiration and consecutive pneumonia owing to brainstem lesions.</w:t>
            </w:r>
          </w:p>
        </w:tc>
      </w:tr>
      <w:tr w:rsidR="00892A2B" w:rsidRPr="00084C00" w14:paraId="22D0DF1A" w14:textId="77777777" w:rsidTr="00E16A02">
        <w:trPr>
          <w:trHeight w:val="126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A8B8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Komori et al., 2016 (RIVITALISE trial)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4E8B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1112" w14:textId="13C750C2" w:rsidR="00892A2B" w:rsidRDefault="00B51B85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RTX</w:t>
            </w:r>
            <w:r w:rsidR="00892A2B">
              <w:rPr>
                <w:color w:val="000000"/>
                <w:sz w:val="18"/>
                <w:szCs w:val="18"/>
              </w:rPr>
              <w:t xml:space="preserve"> 25mg intrathecal twice given at months 0, 1.5 and 12. </w:t>
            </w:r>
            <w:r>
              <w:rPr>
                <w:color w:val="000000"/>
                <w:sz w:val="18"/>
                <w:szCs w:val="18"/>
              </w:rPr>
              <w:t>RTX</w:t>
            </w:r>
            <w:r w:rsidR="00892A2B">
              <w:rPr>
                <w:color w:val="000000"/>
                <w:sz w:val="18"/>
                <w:szCs w:val="18"/>
              </w:rPr>
              <w:t xml:space="preserve"> 200mg IV was given after </w:t>
            </w:r>
            <w:r w:rsidR="00892A2B">
              <w:rPr>
                <w:color w:val="000000"/>
                <w:sz w:val="18"/>
                <w:szCs w:val="18"/>
              </w:rPr>
              <w:lastRenderedPageBreak/>
              <w:t>intrathecal application at months 0 and 0.5 and 2 weeks later.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D2EE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primary endpoint defined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C3D0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C3C1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77A3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8EB7" w14:textId="2904CE2A" w:rsidR="00892A2B" w:rsidRPr="00363E47" w:rsidRDefault="00892A2B" w:rsidP="0020792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63E47">
              <w:rPr>
                <w:color w:val="000000"/>
                <w:sz w:val="18"/>
                <w:szCs w:val="18"/>
              </w:rPr>
              <w:t xml:space="preserve">Significant increase in BAFF in serum and </w:t>
            </w:r>
            <w:r w:rsidR="006C5FBE" w:rsidRPr="00553C8D">
              <w:rPr>
                <w:color w:val="000000"/>
                <w:sz w:val="18"/>
                <w:szCs w:val="18"/>
              </w:rPr>
              <w:t>cerebrospinal fluid</w:t>
            </w:r>
            <w:r w:rsidR="006C5FBE" w:rsidRPr="00363E47">
              <w:rPr>
                <w:color w:val="000000"/>
                <w:sz w:val="18"/>
                <w:szCs w:val="18"/>
              </w:rPr>
              <w:t xml:space="preserve"> </w:t>
            </w:r>
            <w:r w:rsidR="00CD1D02" w:rsidRPr="00363E47">
              <w:rPr>
                <w:color w:val="000000"/>
                <w:sz w:val="18"/>
                <w:szCs w:val="18"/>
              </w:rPr>
              <w:t>(</w:t>
            </w:r>
            <w:r w:rsidRPr="00363E47">
              <w:rPr>
                <w:color w:val="000000"/>
                <w:sz w:val="18"/>
                <w:szCs w:val="18"/>
              </w:rPr>
              <w:t>CSF</w:t>
            </w:r>
            <w:r w:rsidR="00CD1D02" w:rsidRPr="00363E47">
              <w:rPr>
                <w:color w:val="000000"/>
                <w:sz w:val="18"/>
                <w:szCs w:val="18"/>
              </w:rPr>
              <w:t>)</w:t>
            </w:r>
            <w:r w:rsidRPr="00363E47">
              <w:rPr>
                <w:color w:val="000000"/>
                <w:sz w:val="18"/>
                <w:szCs w:val="18"/>
              </w:rPr>
              <w:t xml:space="preserve">. Significant </w:t>
            </w:r>
            <w:r w:rsidRPr="00363E47">
              <w:rPr>
                <w:color w:val="000000"/>
                <w:sz w:val="18"/>
                <w:szCs w:val="18"/>
              </w:rPr>
              <w:lastRenderedPageBreak/>
              <w:t xml:space="preserve">decrease of CXCL13 in serum, but not in CSF.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EEE7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information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E776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8803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B587" w14:textId="77777777" w:rsidR="00892A2B" w:rsidRDefault="00892A2B" w:rsidP="00892A2B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</w:tr>
    </w:tbl>
    <w:p w14:paraId="420BA0DE" w14:textId="77777777" w:rsidR="00EA5B69" w:rsidRPr="008D3AD6" w:rsidRDefault="00A40E56">
      <w:pPr>
        <w:rPr>
          <w:rFonts w:eastAsia="Times New Roman" w:cs="Arial"/>
          <w:b/>
          <w:bCs/>
          <w:color w:val="006100"/>
          <w:szCs w:val="20"/>
          <w:lang w:eastAsia="de-CH"/>
        </w:rPr>
      </w:pPr>
      <w:r w:rsidRPr="00E06344">
        <w:rPr>
          <w:rFonts w:eastAsia="Times New Roman" w:cs="Arial"/>
          <w:b/>
          <w:bCs/>
          <w:color w:val="006100"/>
          <w:szCs w:val="20"/>
          <w:lang w:eastAsia="de-CH"/>
        </w:rPr>
        <w:br w:type="page"/>
      </w:r>
    </w:p>
    <w:tbl>
      <w:tblPr>
        <w:tblpPr w:leftFromText="180" w:rightFromText="180" w:vertAnchor="text" w:horzAnchor="margin" w:tblpY="-71"/>
        <w:tblW w:w="15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w:rsidR="00A40E56" w:rsidRPr="0025711C" w14:paraId="224A81F5" w14:textId="77777777" w:rsidTr="00BF02EC">
        <w:trPr>
          <w:trHeight w:val="272"/>
        </w:trPr>
        <w:tc>
          <w:tcPr>
            <w:tcW w:w="15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32735DF" w14:textId="77777777" w:rsidR="00A40E56" w:rsidRPr="00DF4FB7" w:rsidRDefault="00A40E56" w:rsidP="003F453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F453F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lastRenderedPageBreak/>
              <w:t>Myasthenia gravis</w:t>
            </w:r>
          </w:p>
        </w:tc>
      </w:tr>
      <w:tr w:rsidR="001D4D68" w:rsidRPr="0025711C" w14:paraId="78A58FDB" w14:textId="77777777" w:rsidTr="00E16A02">
        <w:trPr>
          <w:trHeight w:val="6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68549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08214B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61DE5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A9A8C7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60C6C3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59F6E9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0635C9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EE3173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8FE927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944BD62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D224B9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7BBBF4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3F453F" w:rsidRPr="0025711C" w14:paraId="4467A994" w14:textId="77777777" w:rsidTr="00E16A02">
        <w:trPr>
          <w:trHeight w:val="183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C404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Illa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7FE1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BDF3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 and monthly thereafter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CA59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A593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250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All patients showed a significant reduction in antibody titers as well as IgG concentrations (p=0.006 and p=0.04).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AED8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6EC1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DD98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F73F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r w:rsidR="00B00DCD">
              <w:rPr>
                <w:color w:val="000000"/>
                <w:sz w:val="18"/>
                <w:szCs w:val="18"/>
              </w:rPr>
              <w:t>AEs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96D7D">
              <w:rPr>
                <w:color w:val="000000"/>
                <w:sz w:val="18"/>
                <w:szCs w:val="18"/>
              </w:rPr>
              <w:t>occurred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FC5C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3268" w14:textId="52483AD8" w:rsidR="00A40E56" w:rsidRDefault="00A40E56" w:rsidP="00B51B8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</w:t>
            </w:r>
            <w:r w:rsidR="00B00DCD">
              <w:rPr>
                <w:color w:val="000000"/>
                <w:sz w:val="18"/>
                <w:szCs w:val="18"/>
              </w:rPr>
              <w:t>AEs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2B7D4E">
              <w:rPr>
                <w:color w:val="000000"/>
                <w:sz w:val="18"/>
                <w:szCs w:val="18"/>
              </w:rPr>
              <w:t>No information</w:t>
            </w:r>
            <w:r w:rsidR="00B51B85">
              <w:rPr>
                <w:color w:val="000000"/>
                <w:sz w:val="18"/>
                <w:szCs w:val="18"/>
              </w:rPr>
              <w:t xml:space="preserve"> of</w:t>
            </w:r>
            <w:r>
              <w:rPr>
                <w:color w:val="000000"/>
                <w:sz w:val="18"/>
                <w:szCs w:val="18"/>
              </w:rPr>
              <w:t xml:space="preserve"> deaths.</w:t>
            </w:r>
          </w:p>
        </w:tc>
      </w:tr>
      <w:tr w:rsidR="003F453F" w:rsidRPr="0025711C" w14:paraId="42E00C37" w14:textId="77777777" w:rsidTr="00E16A02">
        <w:trPr>
          <w:trHeight w:val="55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7EE3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Lebrun et al., 2009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A86E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2EE4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 and monthly thereafter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E41B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A7D0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C5C1" w14:textId="0FF4A03C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patients were able to stop </w:t>
            </w:r>
            <w:r w:rsidR="00474B8E">
              <w:rPr>
                <w:color w:val="000000"/>
                <w:sz w:val="18"/>
                <w:szCs w:val="18"/>
              </w:rPr>
              <w:t>corticosteroid</w:t>
            </w:r>
            <w:r>
              <w:rPr>
                <w:color w:val="000000"/>
                <w:sz w:val="18"/>
                <w:szCs w:val="18"/>
              </w:rPr>
              <w:t xml:space="preserve"> after 1 year of treatment and </w:t>
            </w:r>
            <w:proofErr w:type="spellStart"/>
            <w:r>
              <w:rPr>
                <w:color w:val="000000"/>
                <w:sz w:val="18"/>
                <w:szCs w:val="18"/>
              </w:rPr>
              <w:t>cholinesteratic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inhibitors were </w:t>
            </w:r>
            <w:r w:rsidR="00637C4B">
              <w:rPr>
                <w:color w:val="000000"/>
                <w:sz w:val="18"/>
                <w:szCs w:val="18"/>
              </w:rPr>
              <w:t>tapered</w:t>
            </w:r>
            <w:r>
              <w:rPr>
                <w:color w:val="000000"/>
                <w:sz w:val="18"/>
                <w:szCs w:val="18"/>
              </w:rPr>
              <w:t xml:space="preserve"> off to 60-180mg/d.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6C3A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FBA9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4F59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D1B7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r w:rsidR="00B00DCD">
              <w:rPr>
                <w:color w:val="000000"/>
                <w:sz w:val="18"/>
                <w:szCs w:val="18"/>
              </w:rPr>
              <w:t>AEs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96D7D">
              <w:rPr>
                <w:color w:val="000000"/>
                <w:sz w:val="18"/>
                <w:szCs w:val="18"/>
              </w:rPr>
              <w:t>occurred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1ECB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05E5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3F453F" w:rsidRPr="0025711C" w14:paraId="7ECC4A5B" w14:textId="77777777" w:rsidTr="00E16A02">
        <w:trPr>
          <w:trHeight w:val="4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74A5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Nelson et al., 2009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AF89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138F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00EF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9C34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4663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3975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E9CA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AB46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5B71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r w:rsidR="00B00DCD">
              <w:rPr>
                <w:color w:val="000000"/>
                <w:sz w:val="18"/>
                <w:szCs w:val="18"/>
              </w:rPr>
              <w:t>AEs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96D7D">
              <w:rPr>
                <w:color w:val="000000"/>
                <w:sz w:val="18"/>
                <w:szCs w:val="18"/>
              </w:rPr>
              <w:t>occurred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50A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4531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3F453F" w:rsidRPr="0025711C" w14:paraId="70714DE7" w14:textId="77777777" w:rsidTr="00E16A02">
        <w:trPr>
          <w:trHeight w:val="12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71ED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Stieglbauer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8E73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CDA2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2 weeks. Additional single infusions were given if </w:t>
            </w:r>
            <w:r w:rsidR="0022071A">
              <w:rPr>
                <w:color w:val="000000"/>
                <w:sz w:val="18"/>
                <w:szCs w:val="18"/>
              </w:rPr>
              <w:t>B cell</w:t>
            </w:r>
            <w:r>
              <w:rPr>
                <w:color w:val="000000"/>
                <w:sz w:val="18"/>
                <w:szCs w:val="18"/>
              </w:rPr>
              <w:t>s reappeared.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A36E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primary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9C29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ABA2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3E6A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5D2C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33B5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6E9C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37EE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7675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3F453F" w:rsidRPr="0025711C" w14:paraId="6725AE4C" w14:textId="77777777" w:rsidTr="00E16A02">
        <w:trPr>
          <w:trHeight w:val="41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8A3C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Lindberg et al., 2010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E840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D1E5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weeks. Some patients received retreatment with 2 infusions RTX 1000mg given 2 weeks </w:t>
            </w:r>
            <w:r>
              <w:rPr>
                <w:color w:val="000000"/>
                <w:sz w:val="18"/>
                <w:szCs w:val="18"/>
              </w:rPr>
              <w:lastRenderedPageBreak/>
              <w:t>apart if clinical symptoms worsened.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EE60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primary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847C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6651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F23D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EC93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71C9" w14:textId="77777777" w:rsidR="00A40E56" w:rsidRDefault="00E85462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035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FF7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0835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One patient with a RTX-related SAE: agranulocytosis and pneumonia. Patient 3 died due to heart failure. </w:t>
            </w:r>
          </w:p>
        </w:tc>
      </w:tr>
    </w:tbl>
    <w:p w14:paraId="208ACFE2" w14:textId="77777777" w:rsidR="0011024C" w:rsidRDefault="0011024C">
      <w:r>
        <w:br w:type="page"/>
      </w:r>
    </w:p>
    <w:tbl>
      <w:tblPr>
        <w:tblpPr w:leftFromText="180" w:rightFromText="180" w:vertAnchor="text" w:horzAnchor="margin" w:tblpY="-71"/>
        <w:tblW w:w="15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w:rsidR="001D4D68" w:rsidRPr="0025711C" w14:paraId="229202B3" w14:textId="77777777" w:rsidTr="00E16A02">
        <w:trPr>
          <w:trHeight w:val="41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B9C79A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lastRenderedPageBreak/>
              <w:t>Source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CF469B7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7886E1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7F455A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387A836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64CFBB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2610B4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FFB3375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F1E8F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583474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852A984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3DF94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7C2318" w:rsidRPr="0025711C" w14:paraId="2D872050" w14:textId="77777777" w:rsidTr="00E16A02">
        <w:trPr>
          <w:trHeight w:val="12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4CF1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Diaz et al., 2012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9111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(6 </w:t>
            </w:r>
            <w:proofErr w:type="spellStart"/>
            <w:r>
              <w:rPr>
                <w:color w:val="000000"/>
                <w:sz w:val="18"/>
                <w:szCs w:val="18"/>
              </w:rPr>
              <w:t>MuSK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patients, 11 </w:t>
            </w:r>
            <w:proofErr w:type="spellStart"/>
            <w:r>
              <w:rPr>
                <w:color w:val="000000"/>
                <w:sz w:val="18"/>
                <w:szCs w:val="18"/>
              </w:rPr>
              <w:t>AChR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patients)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1903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 and monthly applications thereafter. Infusions were repeated if symptoms reappeared.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47C8" w14:textId="40C09C6F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primary endpoint defined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8645" w14:textId="44869EE8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CAE7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Peripheral B cells were completely depleted in all patients.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D57C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E086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2C6C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30D4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patients experienced an AE: facial flushing and generalized skin rush. Both resolved after parenteral hydrocortisone and diphenhydramine.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3BAA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ABF8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7C2318" w:rsidRPr="0025711C" w14:paraId="21DD2D54" w14:textId="77777777" w:rsidTr="00E16A02">
        <w:trPr>
          <w:trHeight w:val="69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6106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 et al., 2014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F35B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AB2C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375mg weekly for 4 weeks. Additional infusions were administered when CD19 B cells exceeded 1%.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8AE9" w14:textId="7C2CA446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primary endpoint defined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B601" w14:textId="5260DEF5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2865" w14:textId="3CC6D746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Compared with healthy subjects, MG patients had significantly less CD19</w:t>
            </w:r>
            <w:r w:rsidR="00B51B85" w:rsidRPr="00B51B85"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B cells, that produce IL-10 (p&lt;0.05). Furthermore patients with severe disease tend to have lower levels of IL-10 B cells (p&lt;0.05). Non-responders to RTX treatment showed a delayed IL-10 B cell repopulation (p&lt;0.05). Patients with anti-</w:t>
            </w:r>
            <w:proofErr w:type="spellStart"/>
            <w:r>
              <w:rPr>
                <w:color w:val="000000"/>
                <w:sz w:val="18"/>
                <w:szCs w:val="18"/>
              </w:rPr>
              <w:t>MuSK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antibodies tended to have a faster IL-10 B cell recovery than patients </w:t>
            </w:r>
            <w:r>
              <w:rPr>
                <w:color w:val="000000"/>
                <w:sz w:val="18"/>
                <w:szCs w:val="18"/>
              </w:rPr>
              <w:lastRenderedPageBreak/>
              <w:t>with anti-</w:t>
            </w:r>
            <w:proofErr w:type="spellStart"/>
            <w:r>
              <w:rPr>
                <w:color w:val="000000"/>
                <w:sz w:val="18"/>
                <w:szCs w:val="18"/>
              </w:rPr>
              <w:t>AChR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antibodies.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7E9D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114B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564C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523D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C394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E14D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1D4D68" w:rsidRPr="0025711C" w14:paraId="2FAE42AB" w14:textId="77777777" w:rsidTr="00E16A02">
        <w:trPr>
          <w:trHeight w:val="4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D20A7C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D1B3AC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FE6854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94E78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08369A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C7A1C2A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975CF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0D534C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56D57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4472266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7FF6E83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3F47B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7C2318" w:rsidRPr="0025711C" w14:paraId="31612419" w14:textId="77777777" w:rsidTr="00E16A02">
        <w:trPr>
          <w:trHeight w:val="12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6D37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Anderson et al., 2016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C1AF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FCDE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or 750mg/m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every two weeks for 1 month.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7D29" w14:textId="4C3349DC" w:rsidR="007C2318" w:rsidRDefault="007C2318" w:rsidP="00B51B8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Change in </w:t>
            </w:r>
            <w:r w:rsidR="00B51B85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anual muscle testing score.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5454" w14:textId="12D46EE8" w:rsidR="007C2318" w:rsidRPr="00517241" w:rsidRDefault="007C2318" w:rsidP="00637C4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241">
              <w:rPr>
                <w:color w:val="000000"/>
                <w:sz w:val="18"/>
                <w:szCs w:val="18"/>
              </w:rPr>
              <w:t xml:space="preserve">Change in steroid dose and change in frequency of </w:t>
            </w:r>
            <w:r w:rsidR="00553C8D" w:rsidRPr="005B7412">
              <w:rPr>
                <w:color w:val="000000"/>
                <w:sz w:val="18"/>
                <w:szCs w:val="18"/>
              </w:rPr>
              <w:t>intravenous immunoglobulin</w:t>
            </w:r>
            <w:r w:rsidR="00553C8D" w:rsidRPr="00517241">
              <w:rPr>
                <w:color w:val="000000"/>
                <w:sz w:val="18"/>
                <w:szCs w:val="18"/>
              </w:rPr>
              <w:t xml:space="preserve"> (</w:t>
            </w:r>
            <w:r w:rsidRPr="00517241">
              <w:rPr>
                <w:color w:val="000000"/>
                <w:sz w:val="18"/>
                <w:szCs w:val="18"/>
              </w:rPr>
              <w:t>IVIG</w:t>
            </w:r>
            <w:r w:rsidR="00553C8D" w:rsidRPr="00517241">
              <w:rPr>
                <w:color w:val="000000"/>
                <w:sz w:val="18"/>
                <w:szCs w:val="18"/>
              </w:rPr>
              <w:t>)</w:t>
            </w:r>
            <w:r w:rsidRPr="00517241">
              <w:rPr>
                <w:color w:val="000000"/>
                <w:sz w:val="18"/>
                <w:szCs w:val="18"/>
              </w:rPr>
              <w:t xml:space="preserve"> infusions or</w:t>
            </w:r>
            <w:r w:rsidR="00D0523C" w:rsidRPr="00517241">
              <w:t xml:space="preserve"> </w:t>
            </w:r>
            <w:r w:rsidR="00D0523C" w:rsidRPr="00517241">
              <w:rPr>
                <w:color w:val="000000"/>
                <w:sz w:val="18"/>
                <w:szCs w:val="18"/>
              </w:rPr>
              <w:t>plasma exchange (</w:t>
            </w:r>
            <w:r w:rsidRPr="00517241">
              <w:rPr>
                <w:color w:val="000000"/>
                <w:sz w:val="18"/>
                <w:szCs w:val="18"/>
              </w:rPr>
              <w:t>PLEX</w:t>
            </w:r>
            <w:r w:rsidR="00D0523C" w:rsidRPr="00517241">
              <w:rPr>
                <w:color w:val="000000"/>
                <w:sz w:val="18"/>
                <w:szCs w:val="18"/>
              </w:rPr>
              <w:t>)</w:t>
            </w:r>
            <w:r w:rsidRPr="0051724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EA77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A9CE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FDC1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E9D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5D49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patients experienced post-infusion headaches.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8199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C0BF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SAEs, no deaths.</w:t>
            </w:r>
          </w:p>
        </w:tc>
      </w:tr>
      <w:tr w:rsidR="007C2318" w:rsidRPr="0025711C" w14:paraId="34E06A59" w14:textId="77777777" w:rsidTr="00E16A02">
        <w:trPr>
          <w:trHeight w:val="12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9C36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Beecher et al., 2018 (extension trial of Anderson et al., 2016)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A83F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(9 additional patients were enrolled, all receiving regimen 2)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50A2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 followed by monthly applications during the next 2 months (induction regimen 1) or 750mg/m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every two weeks for 1 month (induction regimen 2)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FEDC" w14:textId="468FA82C" w:rsidR="007C2318" w:rsidRDefault="007C2318" w:rsidP="00B51B8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Change in </w:t>
            </w:r>
            <w:r w:rsidR="00B51B85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anual muscle testing score.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3DFA" w14:textId="77777777" w:rsidR="007C2318" w:rsidRPr="00517241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241">
              <w:rPr>
                <w:color w:val="000000"/>
                <w:sz w:val="18"/>
                <w:szCs w:val="18"/>
              </w:rPr>
              <w:t>Change in steroid dose and change in frequency of IVIG infusions or PLEX.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7A8F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9884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CE41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6656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B919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patients experienced mild post-infusion headache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D557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3B9A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SAEs, one death.</w:t>
            </w:r>
          </w:p>
        </w:tc>
      </w:tr>
      <w:tr w:rsidR="007C2318" w:rsidRPr="0025711C" w14:paraId="5AE7CFB7" w14:textId="77777777" w:rsidTr="00E16A02">
        <w:trPr>
          <w:trHeight w:val="26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549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Lebrun et al., 2016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A9E7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C83A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weekly for 4 weeks followed by infusions every 3 months (group 1). After 2013 patients received only additional infusions if CD27 expressing B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cells were above 0.05% in PBMC (group 2).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3396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primary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C527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43D6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13FB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303E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8CDE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1265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55D5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7524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SAEs. </w:t>
            </w:r>
          </w:p>
        </w:tc>
      </w:tr>
      <w:tr w:rsidR="007C2318" w:rsidRPr="0025711C" w14:paraId="1506493C" w14:textId="77777777" w:rsidTr="00E16A02">
        <w:trPr>
          <w:trHeight w:val="12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94BF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Jing et al., 2017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2120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BC3E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100mg on the first day, 500mg on the second day. Cycles could be repeated every 6 months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547D" w14:textId="6CCACDBC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primary endpoint defined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2191" w14:textId="47AE125A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 defined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8F91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89FC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805B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0DE9" w14:textId="7777777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57DE" w14:textId="28C983D6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clear information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D0A4" w14:textId="2D467533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 primary endpoint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FA1F" w14:textId="018ACEE7" w:rsidR="007C2318" w:rsidRDefault="007C2318" w:rsidP="007C23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SAEs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2D3451B3" w14:textId="77777777" w:rsidR="008D3AD6" w:rsidRDefault="008D3AD6" w:rsidP="008D3AD6">
      <w:pPr>
        <w:spacing w:line="259" w:lineRule="auto"/>
      </w:pPr>
      <w:r>
        <w:br w:type="page"/>
      </w:r>
    </w:p>
    <w:tbl>
      <w:tblPr>
        <w:tblpPr w:leftFromText="180" w:rightFromText="180" w:vertAnchor="text" w:horzAnchor="margin" w:tblpY="-71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670"/>
        <w:gridCol w:w="1540"/>
        <w:gridCol w:w="1751"/>
        <w:gridCol w:w="1182"/>
        <w:gridCol w:w="1035"/>
        <w:gridCol w:w="1630"/>
        <w:gridCol w:w="1190"/>
        <w:gridCol w:w="1279"/>
        <w:gridCol w:w="1167"/>
        <w:gridCol w:w="1306"/>
      </w:tblGrid>
      <w:tr w:rsidR="008D3AD6" w:rsidRPr="008D3AD6" w14:paraId="64CA3BD1" w14:textId="77777777" w:rsidTr="0011024C">
        <w:trPr>
          <w:trHeight w:val="414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B2EFDC5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lastRenderedPageBreak/>
              <w:t>Nephrotic syndrome</w:t>
            </w:r>
          </w:p>
        </w:tc>
      </w:tr>
      <w:tr w:rsidR="008D3AD6" w:rsidRPr="008D3AD6" w14:paraId="44966B49" w14:textId="77777777" w:rsidTr="0011024C">
        <w:trPr>
          <w:trHeight w:val="8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D65A52E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F7EB0E5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A554391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40DED9C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5617501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6D2809B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49C7A99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2181394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0B3DFFF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FA4FB33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Adverse Events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745AAE5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6B9E517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Serious adverts events </w:t>
            </w:r>
          </w:p>
        </w:tc>
      </w:tr>
      <w:tr w:rsidR="008D3AD6" w:rsidRPr="008D3AD6" w14:paraId="36E76DC7" w14:textId="77777777" w:rsidTr="0011024C">
        <w:trPr>
          <w:trHeight w:val="1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B7BE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3AD6">
              <w:rPr>
                <w:color w:val="000000"/>
                <w:sz w:val="18"/>
                <w:szCs w:val="18"/>
              </w:rPr>
              <w:t>Ravani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et al., 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744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DD1E" w14:textId="78DCAD18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375mg/m</w:t>
            </w:r>
            <w:r w:rsidRPr="008D3AD6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 xml:space="preserve"> once (absence of signs of toxicity secondary to steroids and/or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inhibitors) or twice 2 </w:t>
            </w:r>
            <w:proofErr w:type="gramStart"/>
            <w:r w:rsidRPr="008D3AD6">
              <w:rPr>
                <w:color w:val="000000"/>
                <w:sz w:val="18"/>
                <w:szCs w:val="18"/>
              </w:rPr>
              <w:t>weeks</w:t>
            </w:r>
            <w:proofErr w:type="gramEnd"/>
            <w:r w:rsidRPr="008D3AD6">
              <w:rPr>
                <w:color w:val="000000"/>
                <w:sz w:val="18"/>
                <w:szCs w:val="18"/>
              </w:rPr>
              <w:t xml:space="preserve"> apart (presence of toxicity). Beginning at 30 days, corticosteroid was tapered off if proteinuria was &lt;1g/d. After 2 weeks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inhibitors were also decreased by 50% and withdrawn after 2 additional weeks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9153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Percentage change in daily proteinuria at 3 months.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1DA8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Risk of relapse at 3 months (relapse= proteinuria &gt;40mg/h or proteinuria of 20-40mg/h and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hypoalbuinemia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or dyslipidemia).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7D37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70% reduction of mean proteinuria was observed in comparison to control group (p&lt;0.003).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6FE2" w14:textId="4B9F7DB8" w:rsidR="008D3AD6" w:rsidRPr="008D3AD6" w:rsidRDefault="008D3AD6" w:rsidP="00F271AC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F271AC">
              <w:rPr>
                <w:color w:val="000000"/>
                <w:sz w:val="18"/>
                <w:szCs w:val="18"/>
              </w:rPr>
              <w:t>see</w:t>
            </w:r>
            <w:proofErr w:type="gramEnd"/>
            <w:r w:rsidRPr="00F271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71AC">
              <w:rPr>
                <w:color w:val="000000"/>
                <w:sz w:val="18"/>
                <w:szCs w:val="18"/>
              </w:rPr>
              <w:t>verum</w:t>
            </w:r>
            <w:proofErr w:type="spellEnd"/>
            <w:r w:rsidR="00F271AC">
              <w:rPr>
                <w:color w:val="000000"/>
                <w:sz w:val="18"/>
                <w:szCs w:val="18"/>
              </w:rPr>
              <w:t xml:space="preserve"> </w:t>
            </w:r>
            <w:r w:rsidR="00F271AC" w:rsidRPr="00F271AC">
              <w:rPr>
                <w:color w:val="000000"/>
                <w:sz w:val="18"/>
                <w:szCs w:val="18"/>
              </w:rPr>
              <w:t>1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2730" w14:textId="2F1F68E4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Risk of disease relapse at 3 months: 18.5% (p=0.029). Probability of being corticosteroid-free at 3 months: 77.8% (p&lt;0.001). Probability of being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>-</w:t>
            </w:r>
            <w:r w:rsidR="003D2AB9">
              <w:rPr>
                <w:color w:val="000000"/>
                <w:sz w:val="18"/>
                <w:szCs w:val="18"/>
              </w:rPr>
              <w:t xml:space="preserve"> </w:t>
            </w:r>
            <w:r w:rsidRPr="008D3AD6">
              <w:rPr>
                <w:color w:val="000000"/>
                <w:sz w:val="18"/>
                <w:szCs w:val="18"/>
              </w:rPr>
              <w:t xml:space="preserve">inhibitor-free at 3 months: 62.9% (p&lt;0.001).56% of the children discontinued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calcineurininhibitors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(p&lt;0.001).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4077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Risk of disease relapse at 3 months: 48.1%. Probability of being corticosteroid-free at 3 months: 7.4%. Probability of being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-inhibitor-free at 3 months: 3.7%. 4% of the children discontinued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-inhibitors.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1E0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1 patient with bronchospasm and hypotension. 2 patients with bronchospasm. 2 patients with fever and migrating skin rash and acute arthritis at the hip joint.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6E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1E4E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8D3AD6" w:rsidRPr="008D3AD6" w14:paraId="11D9F953" w14:textId="77777777" w:rsidTr="0011024C"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4428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3AD6">
              <w:rPr>
                <w:color w:val="000000"/>
                <w:sz w:val="18"/>
                <w:szCs w:val="18"/>
              </w:rPr>
              <w:t>Ravani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et al., 2013 (long-term follow-up of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Ravani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et al., 2011)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9CB5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8DFD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375mg/m</w:t>
            </w:r>
            <w:r w:rsidRPr="008D3AD6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 xml:space="preserve"> once (absence of signs of toxicity secondary to steroids and/or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inhibitors) or twice 2 </w:t>
            </w:r>
            <w:proofErr w:type="gramStart"/>
            <w:r w:rsidRPr="008D3AD6">
              <w:rPr>
                <w:color w:val="000000"/>
                <w:sz w:val="18"/>
                <w:szCs w:val="18"/>
              </w:rPr>
              <w:t>weeks</w:t>
            </w:r>
            <w:proofErr w:type="gramEnd"/>
            <w:r w:rsidRPr="008D3AD6">
              <w:rPr>
                <w:color w:val="000000"/>
                <w:sz w:val="18"/>
                <w:szCs w:val="18"/>
              </w:rPr>
              <w:t xml:space="preserve"> apart (presence of toxicity). Beginning at 30 days, corticosteroid was tapered off if proteinuria was &lt;1g/d. After 2 weeks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inhibitors were also decreased by 50% </w:t>
            </w:r>
            <w:r w:rsidRPr="008D3AD6">
              <w:rPr>
                <w:color w:val="000000"/>
                <w:sz w:val="18"/>
                <w:szCs w:val="18"/>
              </w:rPr>
              <w:lastRenderedPageBreak/>
              <w:t>and withdrawn after 2 additional weeks.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12A2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lastRenderedPageBreak/>
              <w:t xml:space="preserve">Probability of maintaining remission (absence of proteinuria) for at least 6 months after successful tapering and complete withdrawal of corticosteroid and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inhibitors.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7DA9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Relapse-free survival from complete drug withdrawal (relapse= presence of proteinuria or restart of corticosteroid or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calcineurin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inhibitors).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7B2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48% of the children were in remission at 6 months.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A68F" w14:textId="77777777" w:rsidR="008D3AD6" w:rsidRPr="008D3AD6" w:rsidRDefault="000D360C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8F32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436F" w14:textId="77777777" w:rsidR="008D3AD6" w:rsidRPr="008D3AD6" w:rsidRDefault="000D360C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control.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E418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5 patients with bronchospasm, 3 patients with fever in combination with migrating skin rash and acute arthritis, 2 patients with neutropenia associated with transient viral infection and one patient with acute pyelonephritis with neutropenia.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66B3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D625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8D3AD6" w:rsidRPr="008D3AD6" w14:paraId="768F09F0" w14:textId="77777777" w:rsidTr="0011024C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23E9B3F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6D6C5A2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868BA88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4C8D5B6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7BB8CF1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11AF3FC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20EDCBF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F3748D4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6F1C4C1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41614DA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Adverse Events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E2AC909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A6F2FF1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Serious adverts events </w:t>
            </w:r>
          </w:p>
        </w:tc>
      </w:tr>
      <w:tr w:rsidR="008D3AD6" w:rsidRPr="008D3AD6" w14:paraId="284E52C6" w14:textId="77777777" w:rsidTr="0011024C">
        <w:trPr>
          <w:trHeight w:val="1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30C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3AD6">
              <w:rPr>
                <w:color w:val="000000"/>
                <w:sz w:val="18"/>
                <w:szCs w:val="18"/>
              </w:rPr>
              <w:t>Magnasco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et al., 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E0C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AE57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375mg/m</w:t>
            </w:r>
            <w:r w:rsidRPr="008D3AD6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 xml:space="preserve"> at baseline and after 2 weeks.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FA20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Percentage change in daily proteinuria at 3 months.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7224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CB1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Daily proteinuria: 0.32 (12% reduction, p=0.77).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D62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Daily proteinuria: 0.36.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A6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668B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B40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1 patient with bronchospasm and hypotension, 1 patient with severe acute allergic reaction, 4 cases of abdominal pain, 3 cases of skin rash and 2 cases of mild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dyspnoea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EF45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0088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8D3AD6" w:rsidRPr="008D3AD6" w14:paraId="51B6F0B5" w14:textId="77777777" w:rsidTr="0011024C">
        <w:trPr>
          <w:trHeight w:val="1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490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3AD6">
              <w:rPr>
                <w:color w:val="000000"/>
                <w:sz w:val="18"/>
                <w:szCs w:val="18"/>
              </w:rPr>
              <w:t>Iijima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et al., 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55E0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6565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375mg/m</w:t>
            </w:r>
            <w:r w:rsidRPr="008D3AD6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 xml:space="preserve"> weekly for 4 weeks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8047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Relapse-free period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DA31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Time to treatment failure, relapse rate, time to four relapses of nephrotic syndrome, time to two relapses, time to transition to steroid resistance, steroid dose after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randomisation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, changes in steroid dose before and after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randomisation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, peripheral blood B cell count, peripheral blood B cell depletion period, human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antichemieric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antibody production rate, RTX blood concentration.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6A32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Age at disease onset and age at time of treatment did not affect the median relapse-free period in the RTX group.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E0F9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7E02" w14:textId="08426A35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Mean daily </w:t>
            </w:r>
            <w:proofErr w:type="spellStart"/>
            <w:r w:rsidRPr="008D3AD6">
              <w:rPr>
                <w:color w:val="000000"/>
                <w:sz w:val="18"/>
                <w:szCs w:val="18"/>
              </w:rPr>
              <w:t>steroi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dose: 9.12 mg/m</w:t>
            </w:r>
            <w:r w:rsidRPr="00F271A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 xml:space="preserve"> (p&lt;0.0001)</w:t>
            </w:r>
            <w:r w:rsidR="00F27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EC7E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Mean daily steroid dose: 20.85mg/m</w:t>
            </w:r>
            <w:r w:rsidRPr="00E324D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687A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24 patients (100%) had at least one AE.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EDD5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D23C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10 patients (42%) had at least one SAE. No deaths.</w:t>
            </w:r>
          </w:p>
        </w:tc>
      </w:tr>
    </w:tbl>
    <w:p w14:paraId="411E77E4" w14:textId="77777777" w:rsidR="0011024C" w:rsidRDefault="0011024C">
      <w:r>
        <w:br w:type="page"/>
      </w:r>
    </w:p>
    <w:tbl>
      <w:tblPr>
        <w:tblpPr w:leftFromText="180" w:rightFromText="180" w:vertAnchor="text" w:horzAnchor="margin" w:tblpY="-71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8D3AD6" w:rsidRPr="008D3AD6" w14:paraId="16E839CD" w14:textId="77777777" w:rsidTr="00BA473A">
        <w:trPr>
          <w:trHeight w:val="4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23D3055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lastRenderedPageBreak/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0743241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4B8A760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AF9FDD1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38B2327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BD05C1E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36AD9A4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Control reaching 1°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52C5441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0A8F5C3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Control reaching 2°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CE923DD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Adverse Events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711AFF3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C97CEDF" w14:textId="77777777" w:rsidR="008D3AD6" w:rsidRPr="008D3AD6" w:rsidRDefault="008D3AD6" w:rsidP="008D3AD6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8D3AD6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Serious adverts events </w:t>
            </w:r>
          </w:p>
        </w:tc>
      </w:tr>
      <w:tr w:rsidR="008D3AD6" w:rsidRPr="008D3AD6" w14:paraId="4D500D4C" w14:textId="77777777" w:rsidTr="00BA473A">
        <w:trPr>
          <w:trHeight w:val="344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1974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3AD6">
              <w:rPr>
                <w:color w:val="000000"/>
                <w:sz w:val="18"/>
                <w:szCs w:val="18"/>
              </w:rPr>
              <w:t>Ravani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et al., 2015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68E1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759A" w14:textId="7AAF67D6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375mg/m</w:t>
            </w:r>
            <w:r w:rsidRPr="008D3AD6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 xml:space="preserve"> once in combination with corticosteroid ≥0.7mg/kg/d for one month with consecutive corticosteroid </w:t>
            </w:r>
            <w:r w:rsidR="000D48B0" w:rsidRPr="008D3AD6">
              <w:rPr>
                <w:color w:val="000000"/>
                <w:sz w:val="18"/>
                <w:szCs w:val="18"/>
              </w:rPr>
              <w:t>tapering</w:t>
            </w:r>
            <w:r w:rsidRPr="008D3AD6">
              <w:rPr>
                <w:color w:val="000000"/>
                <w:sz w:val="18"/>
                <w:szCs w:val="18"/>
              </w:rPr>
              <w:t>. Corticosteroid was restarted if proteinuria was ≥1g/m</w:t>
            </w:r>
            <w:r w:rsidRPr="00F271A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 xml:space="preserve">/d.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6412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Percentage change in daily proteinuria at 3 months.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D92F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Risk of relapse during the first year after treatment (relapse = proteinuria of 1000mg/m</w:t>
            </w:r>
            <w:r w:rsidRPr="00E324D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>/d associated with hypoalbuminemia).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C753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A0AE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11C5" w14:textId="1CF00E5A" w:rsidR="008D3AD6" w:rsidRPr="008D3AD6" w:rsidRDefault="008D3AD6" w:rsidP="0007028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Significant corticosteroid dose reduction at 3 months as compared to </w:t>
            </w:r>
            <w:r w:rsidR="00070287">
              <w:rPr>
                <w:color w:val="000000"/>
                <w:sz w:val="18"/>
                <w:szCs w:val="18"/>
              </w:rPr>
              <w:t>placebo</w:t>
            </w:r>
            <w:r w:rsidRPr="008D3AD6">
              <w:rPr>
                <w:color w:val="000000"/>
                <w:sz w:val="18"/>
                <w:szCs w:val="18"/>
              </w:rPr>
              <w:t xml:space="preserve"> (p&lt;0.001).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953F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7432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 xml:space="preserve">All participants experienced nausea and/or skin rash during RTX infusions which resolved by slowing the infusion rate. One patient had fever with migrating skin rash and acute arthritis at the hip joint.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61A0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318F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8D3AD6" w:rsidRPr="008D3AD6" w14:paraId="23806936" w14:textId="77777777" w:rsidTr="00BA473A">
        <w:trPr>
          <w:trHeight w:val="55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E7FE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3AD6">
              <w:rPr>
                <w:color w:val="000000"/>
                <w:sz w:val="18"/>
                <w:szCs w:val="18"/>
              </w:rPr>
              <w:t>Basu</w:t>
            </w:r>
            <w:proofErr w:type="spellEnd"/>
            <w:r w:rsidRPr="008D3AD6">
              <w:rPr>
                <w:color w:val="000000"/>
                <w:sz w:val="18"/>
                <w:szCs w:val="18"/>
              </w:rPr>
              <w:t xml:space="preserve"> et al., 2018 (RITURNS)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A46A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1F45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375mg/m</w:t>
            </w:r>
            <w:r w:rsidRPr="008D3AD6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D3AD6">
              <w:rPr>
                <w:color w:val="000000"/>
                <w:sz w:val="18"/>
                <w:szCs w:val="18"/>
              </w:rPr>
              <w:t xml:space="preserve"> (maximum 500mg) weekly for 2-4 times.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6CB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Relapse-free survival rate at 12 months.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695E" w14:textId="2C70B0D2" w:rsidR="008D3AD6" w:rsidRPr="008D3AD6" w:rsidRDefault="008D3AD6" w:rsidP="00E324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Frequency of relapses, time to first relapse, cumulative corticosteroid dosage, changes in serum biochemistry, peripheral blood B</w:t>
            </w:r>
            <w:r w:rsidR="00E324D7">
              <w:rPr>
                <w:color w:val="000000"/>
                <w:sz w:val="18"/>
                <w:szCs w:val="18"/>
              </w:rPr>
              <w:t xml:space="preserve"> </w:t>
            </w:r>
            <w:r w:rsidRPr="008D3AD6">
              <w:rPr>
                <w:color w:val="000000"/>
                <w:sz w:val="18"/>
                <w:szCs w:val="18"/>
              </w:rPr>
              <w:t>cell count, and number of children not receiving corticosteroids.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2086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90% of patients (p&lt;0.001).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ABAA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63.3% of patients.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83AE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8BC4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CB14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41 patients with at least one AE.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6EE5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1C9C" w14:textId="77777777" w:rsidR="008D3AD6" w:rsidRPr="008D3AD6" w:rsidRDefault="008D3AD6" w:rsidP="008D3AD6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D3AD6">
              <w:rPr>
                <w:color w:val="000000"/>
                <w:sz w:val="18"/>
                <w:szCs w:val="18"/>
              </w:rPr>
              <w:t>No SAEs, no deaths.</w:t>
            </w:r>
          </w:p>
        </w:tc>
      </w:tr>
      <w:tr w:rsidR="00BF02EC" w:rsidRPr="008D3AD6" w14:paraId="0DF7A4CC" w14:textId="77777777" w:rsidTr="00BA473A">
        <w:trPr>
          <w:trHeight w:val="566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050FC9C" w14:textId="77777777" w:rsidR="00BF02EC" w:rsidRPr="008D3AD6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F453F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Neuromyelitis</w:t>
            </w:r>
            <w:proofErr w:type="spellEnd"/>
            <w:r w:rsidRPr="003F453F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 </w:t>
            </w:r>
            <w:proofErr w:type="spellStart"/>
            <w:r w:rsidRPr="003F453F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optica</w:t>
            </w:r>
            <w:proofErr w:type="spellEnd"/>
          </w:p>
        </w:tc>
      </w:tr>
      <w:tr w:rsidR="00BF02EC" w:rsidRPr="008D3AD6" w14:paraId="7340204C" w14:textId="77777777" w:rsidTr="00BA473A">
        <w:trPr>
          <w:trHeight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79DB75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DE4FDEF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4EE78FE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BA46078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15BE47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93165D0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71BA2FF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A48E097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DCAD11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4E81F19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7FDC538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83C597" w14:textId="77777777" w:rsidR="00BF02EC" w:rsidRPr="0025711C" w:rsidRDefault="00BF02EC" w:rsidP="00BF02EC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BF02EC" w:rsidRPr="008D3AD6" w14:paraId="624DF3D0" w14:textId="77777777" w:rsidTr="00BA473A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F9EB" w14:textId="77777777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Nikoo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A561" w14:textId="77777777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6192" w14:textId="6DC17A62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1000mg on week 0 and 2, repeated every 6 months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BDAA" w14:textId="0959521D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Annual relapse rate measured after 12 months (relapse= new neurological symptoms or acute increase in EDSS)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C8E7" w14:textId="450A8DA3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EDSS after 12 months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FB7E" w14:textId="37E77694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78.8% of patients became relapse free (p=0.028)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5BE" w14:textId="77777777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54.3% of patients became relapse free.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9A1D" w14:textId="77777777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408C" w14:textId="77777777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7EC" w14:textId="2216FF0F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There was no significant difference in the </w:t>
            </w:r>
            <w:r w:rsidR="00E324D7">
              <w:rPr>
                <w:color w:val="000000"/>
                <w:sz w:val="18"/>
                <w:szCs w:val="18"/>
              </w:rPr>
              <w:t>occurrence</w:t>
            </w:r>
            <w:r>
              <w:rPr>
                <w:color w:val="000000"/>
                <w:sz w:val="18"/>
                <w:szCs w:val="18"/>
              </w:rPr>
              <w:t xml:space="preserve"> of AEs between the two groups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8324" w14:textId="77777777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BDB8" w14:textId="77777777" w:rsidR="00BF02EC" w:rsidRDefault="00BF02EC" w:rsidP="00BF02E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clear information</w:t>
            </w:r>
          </w:p>
        </w:tc>
      </w:tr>
    </w:tbl>
    <w:p w14:paraId="638F66B3" w14:textId="77777777" w:rsidR="008D3AD6" w:rsidRDefault="008D3AD6">
      <w:r>
        <w:br w:type="page"/>
      </w:r>
    </w:p>
    <w:tbl>
      <w:tblPr>
        <w:tblpPr w:leftFromText="180" w:rightFromText="180" w:vertAnchor="text" w:horzAnchor="margin" w:tblpY="-71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299"/>
      </w:tblGrid>
      <w:tr w:rsidR="0002437D" w:rsidRPr="0025711C" w14:paraId="0323C45F" w14:textId="77777777" w:rsidTr="004E68FF">
        <w:trPr>
          <w:trHeight w:val="431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F63CFB3" w14:textId="77777777" w:rsidR="0002437D" w:rsidRDefault="0002437D" w:rsidP="001047C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2437D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lastRenderedPageBreak/>
              <w:t xml:space="preserve">Pemphigus </w:t>
            </w:r>
          </w:p>
        </w:tc>
      </w:tr>
      <w:tr w:rsidR="0011024C" w:rsidRPr="0025711C" w14:paraId="0A45FD11" w14:textId="77777777" w:rsidTr="00BA473A">
        <w:trPr>
          <w:trHeight w:val="6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894E512" w14:textId="5E389E49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3249FA1" w14:textId="3D1D4DBB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F0CD741" w14:textId="283BE3DD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AAAA470" w14:textId="1CA16277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F7355FF" w14:textId="764B2626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6B6F465" w14:textId="3C03857A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3CAC1F2" w14:textId="6E2474F5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47F5979" w14:textId="07A7BA77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4985AC3" w14:textId="48A92A97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3DEC294" w14:textId="1CD3C803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3DB9C81" w14:textId="03ACD6D0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B0FDAB3" w14:textId="18B99420" w:rsidR="0011024C" w:rsidRDefault="0011024C" w:rsidP="0011024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7C2318" w:rsidRPr="0025711C" w14:paraId="142A15CA" w14:textId="77777777" w:rsidTr="00BA473A">
        <w:trPr>
          <w:trHeight w:val="12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28C9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Kanwar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A50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2787" w14:textId="2F5A6B3D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1000mg on days 0 and 15</w:t>
            </w:r>
            <w:r w:rsidR="004E68F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1CD0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 to complete consolidation phase, time to disease control, partial remission and complete remission (CR and PR as defined by the consensus statement of the International Pemphigus Committee).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4F4D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Relapse rate, total cumulative dose of corticosteroids, adjuvant requirement and change in immunological markers.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FA7D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6C20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AB84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patients (36%) relapsed (p=0.2 in comparison to group B).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C105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patients (64%) relapsed.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B409" w14:textId="0877B0D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 number of AE: 1.36</w:t>
            </w:r>
            <w:r w:rsidR="004E68F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813C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849B" w14:textId="55C32329" w:rsidR="00A40E56" w:rsidRDefault="00A40E56" w:rsidP="00E324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r w:rsidR="00E324D7">
              <w:rPr>
                <w:color w:val="000000"/>
                <w:sz w:val="18"/>
                <w:szCs w:val="18"/>
              </w:rPr>
              <w:t>SAEs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C2318" w:rsidRPr="0025711C" w14:paraId="7D702B45" w14:textId="77777777" w:rsidTr="00BA473A">
        <w:trPr>
          <w:trHeight w:val="55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93F1" w14:textId="7777777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Joly et al., 2017 (</w:t>
            </w:r>
            <w:proofErr w:type="spellStart"/>
            <w:r>
              <w:rPr>
                <w:color w:val="000000"/>
                <w:sz w:val="18"/>
                <w:szCs w:val="18"/>
              </w:rPr>
              <w:t>Ritux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48CF" w14:textId="1434D509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90 (74 patients with pemphigus vulgaris, 16 patients with pemphigus </w:t>
            </w:r>
            <w:proofErr w:type="spellStart"/>
            <w:r>
              <w:rPr>
                <w:color w:val="000000"/>
                <w:sz w:val="18"/>
                <w:szCs w:val="18"/>
              </w:rPr>
              <w:t>foliaceus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193E" w14:textId="77777777" w:rsidR="00A40E56" w:rsidRDefault="00A40E56" w:rsidP="0073646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1000mg on days 1 and 14 and 500mg on months 12 and 18. Concomitant oral </w:t>
            </w:r>
            <w:r w:rsidR="00EE7DB7">
              <w:rPr>
                <w:color w:val="000000"/>
                <w:sz w:val="18"/>
                <w:szCs w:val="18"/>
              </w:rPr>
              <w:t>corticosteroid</w:t>
            </w:r>
            <w:r>
              <w:rPr>
                <w:color w:val="000000"/>
                <w:sz w:val="18"/>
                <w:szCs w:val="18"/>
              </w:rPr>
              <w:t xml:space="preserve"> 0.5mg/kg/d for moderate pemphigus and 1.0mg/kg/d for severe pemphigus. After 1 month the dose was gradually reduced with the aim to stop </w:t>
            </w:r>
            <w:r w:rsidR="00EE7DB7">
              <w:rPr>
                <w:color w:val="000000"/>
                <w:sz w:val="18"/>
                <w:szCs w:val="18"/>
              </w:rPr>
              <w:t>corticosteroid</w:t>
            </w:r>
            <w:r>
              <w:rPr>
                <w:color w:val="000000"/>
                <w:sz w:val="18"/>
                <w:szCs w:val="18"/>
              </w:rPr>
              <w:t xml:space="preserve"> after 3 months in patients with moderate </w:t>
            </w:r>
            <w:r>
              <w:rPr>
                <w:color w:val="000000"/>
                <w:sz w:val="18"/>
                <w:szCs w:val="18"/>
              </w:rPr>
              <w:lastRenderedPageBreak/>
              <w:t>pemphigus and after 6 months in patients with severe pemphigus.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5D07" w14:textId="6B2D40E7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Proportion of patients with complete remission off-therapy at month 24 (=absence of new or established lesions off corticosteroids for at least 2 months)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B8E7" w14:textId="36D36F96" w:rsidR="00A40E56" w:rsidRPr="009C3FA8" w:rsidRDefault="00A40E56" w:rsidP="00FB0ED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104B9">
              <w:rPr>
                <w:color w:val="000000"/>
                <w:sz w:val="18"/>
                <w:szCs w:val="18"/>
              </w:rPr>
              <w:t>Delay to achievement of complete remission off-therapy, cumulative duration of complete remission o</w:t>
            </w:r>
            <w:r w:rsidRPr="005B7412">
              <w:rPr>
                <w:color w:val="000000"/>
                <w:sz w:val="18"/>
                <w:szCs w:val="18"/>
              </w:rPr>
              <w:t xml:space="preserve">ff-therapy, relapse occurrence, cumulative dose of </w:t>
            </w:r>
            <w:r w:rsidR="00EE7DB7" w:rsidRPr="004104B9">
              <w:rPr>
                <w:color w:val="000000"/>
                <w:sz w:val="18"/>
                <w:szCs w:val="18"/>
              </w:rPr>
              <w:t>corticosteroid</w:t>
            </w:r>
            <w:r w:rsidRPr="004104B9">
              <w:rPr>
                <w:color w:val="000000"/>
                <w:sz w:val="18"/>
                <w:szCs w:val="18"/>
              </w:rPr>
              <w:t xml:space="preserve"> during the study, time change of </w:t>
            </w:r>
            <w:r w:rsidR="00FB0EDE" w:rsidRPr="004104B9">
              <w:rPr>
                <w:color w:val="000000"/>
                <w:sz w:val="18"/>
                <w:szCs w:val="18"/>
              </w:rPr>
              <w:t xml:space="preserve">dermatology quality of life index </w:t>
            </w:r>
            <w:r w:rsidR="0082202D" w:rsidRPr="004104B9">
              <w:rPr>
                <w:color w:val="000000"/>
                <w:sz w:val="18"/>
                <w:szCs w:val="18"/>
              </w:rPr>
              <w:t>(</w:t>
            </w:r>
            <w:r w:rsidRPr="004104B9">
              <w:rPr>
                <w:color w:val="000000"/>
                <w:sz w:val="18"/>
                <w:szCs w:val="18"/>
              </w:rPr>
              <w:t>DLQI</w:t>
            </w:r>
            <w:r w:rsidR="0082202D" w:rsidRPr="004104B9">
              <w:rPr>
                <w:color w:val="000000"/>
                <w:sz w:val="18"/>
                <w:szCs w:val="18"/>
              </w:rPr>
              <w:t>)</w:t>
            </w:r>
            <w:r w:rsidRPr="004104B9">
              <w:rPr>
                <w:color w:val="000000"/>
                <w:sz w:val="18"/>
                <w:szCs w:val="18"/>
              </w:rPr>
              <w:t xml:space="preserve"> </w:t>
            </w:r>
            <w:r w:rsidRPr="009C3FA8">
              <w:rPr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9C3FA8">
              <w:rPr>
                <w:color w:val="000000"/>
                <w:sz w:val="18"/>
                <w:szCs w:val="18"/>
              </w:rPr>
              <w:t>Skindex</w:t>
            </w:r>
            <w:proofErr w:type="spellEnd"/>
            <w:r w:rsidRPr="009C3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2E65" w:rsidRPr="009C3FA8">
              <w:rPr>
                <w:color w:val="000000"/>
                <w:sz w:val="18"/>
                <w:szCs w:val="18"/>
              </w:rPr>
              <w:t>QoL</w:t>
            </w:r>
            <w:proofErr w:type="spellEnd"/>
            <w:r w:rsidRPr="009C3FA8">
              <w:rPr>
                <w:color w:val="000000"/>
                <w:sz w:val="18"/>
                <w:szCs w:val="18"/>
              </w:rPr>
              <w:t xml:space="preserve"> scores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23DA" w14:textId="288EDDFF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89% </w:t>
            </w:r>
            <w:r w:rsidR="00B00DCD">
              <w:rPr>
                <w:color w:val="000000"/>
                <w:sz w:val="18"/>
                <w:szCs w:val="18"/>
              </w:rPr>
              <w:t>of patients</w:t>
            </w:r>
            <w:r>
              <w:rPr>
                <w:color w:val="000000"/>
                <w:sz w:val="18"/>
                <w:szCs w:val="18"/>
              </w:rPr>
              <w:t xml:space="preserve"> (p&lt;0.0001)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2F0" w14:textId="7CC24D21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34% </w:t>
            </w:r>
            <w:r w:rsidR="00B00DCD">
              <w:rPr>
                <w:color w:val="000000"/>
                <w:sz w:val="18"/>
                <w:szCs w:val="18"/>
              </w:rPr>
              <w:t>of patients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0244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C391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7BD9" w14:textId="77777777" w:rsidR="00A40E56" w:rsidRDefault="002B7D4E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1C82" w14:textId="78CC0932" w:rsidR="00A40E56" w:rsidRDefault="00A40E56" w:rsidP="00A40E56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Significant better outcomes concerning the DLQI (p=0.0411) and </w:t>
            </w:r>
            <w:proofErr w:type="spellStart"/>
            <w:r>
              <w:rPr>
                <w:color w:val="000000"/>
                <w:sz w:val="18"/>
                <w:szCs w:val="18"/>
              </w:rPr>
              <w:t>Skindex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score (p=0.0137)</w:t>
            </w:r>
            <w:r w:rsidR="00E324D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778C" w14:textId="0C785474" w:rsidR="00A40E56" w:rsidRDefault="004E68FF" w:rsidP="004E68F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  <w:r w:rsidR="00A40E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on</w:t>
            </w:r>
            <w:r w:rsidR="00A40E56">
              <w:rPr>
                <w:color w:val="000000"/>
                <w:sz w:val="18"/>
                <w:szCs w:val="18"/>
              </w:rPr>
              <w:t xml:space="preserve"> S</w:t>
            </w:r>
            <w:r w:rsidR="00B00DCD">
              <w:rPr>
                <w:color w:val="000000"/>
                <w:sz w:val="18"/>
                <w:szCs w:val="18"/>
              </w:rPr>
              <w:t>AEs</w:t>
            </w:r>
            <w:r w:rsidR="00A40E56">
              <w:rPr>
                <w:color w:val="000000"/>
                <w:sz w:val="18"/>
                <w:szCs w:val="18"/>
              </w:rPr>
              <w:t>. No deaths.</w:t>
            </w:r>
          </w:p>
        </w:tc>
      </w:tr>
    </w:tbl>
    <w:p w14:paraId="5338E82E" w14:textId="77777777" w:rsidR="00F27538" w:rsidRDefault="00F27538">
      <w:r>
        <w:br w:type="page"/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840"/>
        <w:gridCol w:w="1003"/>
        <w:gridCol w:w="1701"/>
        <w:gridCol w:w="1276"/>
        <w:gridCol w:w="1417"/>
        <w:gridCol w:w="1418"/>
        <w:gridCol w:w="1982"/>
        <w:gridCol w:w="1133"/>
        <w:gridCol w:w="996"/>
        <w:gridCol w:w="1417"/>
        <w:gridCol w:w="1418"/>
      </w:tblGrid>
      <w:tr w:rsidR="0062030C" w:rsidRPr="00CC3484" w14:paraId="5626F679" w14:textId="77777777" w:rsidTr="0011024C">
        <w:trPr>
          <w:trHeight w:val="295"/>
        </w:trPr>
        <w:tc>
          <w:tcPr>
            <w:tcW w:w="15730" w:type="dxa"/>
            <w:gridSpan w:val="12"/>
            <w:shd w:val="clear" w:color="auto" w:fill="FFCC99"/>
          </w:tcPr>
          <w:p w14:paraId="49301F20" w14:textId="77777777" w:rsidR="0062030C" w:rsidRPr="007C2318" w:rsidRDefault="0062030C" w:rsidP="00DE668B">
            <w:pPr>
              <w:spacing w:after="160" w:line="240" w:lineRule="auto"/>
              <w:rPr>
                <w:color w:val="FFCC99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lastRenderedPageBreak/>
              <w:t xml:space="preserve">Rheumatoid arthritis </w:t>
            </w:r>
          </w:p>
        </w:tc>
      </w:tr>
      <w:tr w:rsidR="001D4D68" w:rsidRPr="00CC3484" w14:paraId="708B11B2" w14:textId="77777777" w:rsidTr="0011024C">
        <w:trPr>
          <w:trHeight w:val="480"/>
        </w:trPr>
        <w:tc>
          <w:tcPr>
            <w:tcW w:w="1129" w:type="dxa"/>
            <w:shd w:val="clear" w:color="auto" w:fill="FFCC99"/>
            <w:hideMark/>
          </w:tcPr>
          <w:p w14:paraId="2FCA76B8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840" w:type="dxa"/>
            <w:shd w:val="clear" w:color="auto" w:fill="FFCC99"/>
            <w:hideMark/>
          </w:tcPr>
          <w:p w14:paraId="053946DE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003" w:type="dxa"/>
            <w:shd w:val="clear" w:color="auto" w:fill="FFCC99"/>
            <w:hideMark/>
          </w:tcPr>
          <w:p w14:paraId="016053D9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701" w:type="dxa"/>
            <w:shd w:val="clear" w:color="auto" w:fill="FFCC99"/>
            <w:hideMark/>
          </w:tcPr>
          <w:p w14:paraId="677D4ADA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276" w:type="dxa"/>
            <w:shd w:val="clear" w:color="auto" w:fill="FFCC99"/>
            <w:hideMark/>
          </w:tcPr>
          <w:p w14:paraId="4CAD6EAE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417" w:type="dxa"/>
            <w:shd w:val="clear" w:color="auto" w:fill="FFCC99"/>
            <w:hideMark/>
          </w:tcPr>
          <w:p w14:paraId="347BD437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418" w:type="dxa"/>
            <w:shd w:val="clear" w:color="auto" w:fill="FFCC99"/>
            <w:hideMark/>
          </w:tcPr>
          <w:p w14:paraId="0D89150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982" w:type="dxa"/>
            <w:shd w:val="clear" w:color="auto" w:fill="FFCC99"/>
            <w:hideMark/>
          </w:tcPr>
          <w:p w14:paraId="5EF784BA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133" w:type="dxa"/>
            <w:shd w:val="clear" w:color="auto" w:fill="FFCC99"/>
            <w:hideMark/>
          </w:tcPr>
          <w:p w14:paraId="58ABCAB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996" w:type="dxa"/>
            <w:shd w:val="clear" w:color="auto" w:fill="FFCC99"/>
            <w:hideMark/>
          </w:tcPr>
          <w:p w14:paraId="518C5440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417" w:type="dxa"/>
            <w:shd w:val="clear" w:color="auto" w:fill="FFCC99"/>
            <w:hideMark/>
          </w:tcPr>
          <w:p w14:paraId="0F88F49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418" w:type="dxa"/>
            <w:shd w:val="clear" w:color="auto" w:fill="FFCC99"/>
            <w:hideMark/>
          </w:tcPr>
          <w:p w14:paraId="141B25F0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62030C" w:rsidRPr="00CC3484" w14:paraId="16F2338C" w14:textId="77777777" w:rsidTr="0011024C">
        <w:trPr>
          <w:trHeight w:val="1440"/>
        </w:trPr>
        <w:tc>
          <w:tcPr>
            <w:tcW w:w="1129" w:type="dxa"/>
            <w:vMerge w:val="restart"/>
            <w:hideMark/>
          </w:tcPr>
          <w:p w14:paraId="2232CBA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Edwards et al., 2004</w:t>
            </w:r>
          </w:p>
        </w:tc>
        <w:tc>
          <w:tcPr>
            <w:tcW w:w="840" w:type="dxa"/>
            <w:vMerge w:val="restart"/>
            <w:hideMark/>
          </w:tcPr>
          <w:p w14:paraId="11BAC3F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161</w:t>
            </w:r>
          </w:p>
        </w:tc>
        <w:tc>
          <w:tcPr>
            <w:tcW w:w="1003" w:type="dxa"/>
            <w:hideMark/>
          </w:tcPr>
          <w:p w14:paraId="44FCCAD3" w14:textId="3608A22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1000mg on days 1 and 15 in combination with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>s for cyclophosphamide and MTX</w:t>
            </w:r>
            <w:r w:rsidR="00F271A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30FDD04D" w14:textId="2947C61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ACR50 response at week 24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142CF70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and ACR70 response rates, change in disease-activity score, response according to EULAR response.</w:t>
            </w:r>
          </w:p>
        </w:tc>
        <w:tc>
          <w:tcPr>
            <w:tcW w:w="1417" w:type="dxa"/>
            <w:hideMark/>
          </w:tcPr>
          <w:p w14:paraId="1C0DDEAD" w14:textId="232AE983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33%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primary endpoint (p=0.059)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hideMark/>
          </w:tcPr>
          <w:p w14:paraId="5B24547C" w14:textId="59382384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13%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the primary endpoint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982" w:type="dxa"/>
            <w:hideMark/>
          </w:tcPr>
          <w:p w14:paraId="1BC9F76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response rate: 65% (p≤0.025). ACR70 response rate: 15%. Significant improvement in the disease activity index: -2.2 (p≤0.002). Significantly higher proportion of patients responded to treatment according to the EULAR criteria 85% (p≤0.004).</w:t>
            </w:r>
          </w:p>
        </w:tc>
        <w:tc>
          <w:tcPr>
            <w:tcW w:w="1133" w:type="dxa"/>
            <w:vMerge w:val="restart"/>
            <w:hideMark/>
          </w:tcPr>
          <w:p w14:paraId="2E24386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response rate: 38%. ACR70 response rate: 5%. No significant improvement in the disease activity index: -1.3. Lower proportion of patients responded to treatment according to the EULAR criteria 50%.</w:t>
            </w:r>
          </w:p>
        </w:tc>
        <w:tc>
          <w:tcPr>
            <w:tcW w:w="996" w:type="dxa"/>
            <w:hideMark/>
          </w:tcPr>
          <w:p w14:paraId="3E93A98B" w14:textId="34FDD32C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36 patients (90%) with at least one AE during the first 48 weeks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hideMark/>
          </w:tcPr>
          <w:p w14:paraId="41DC1E33" w14:textId="2C507508" w:rsidR="0062030C" w:rsidRPr="00CC3484" w:rsidRDefault="00004D67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</w:t>
            </w:r>
          </w:p>
        </w:tc>
        <w:tc>
          <w:tcPr>
            <w:tcW w:w="1418" w:type="dxa"/>
            <w:hideMark/>
          </w:tcPr>
          <w:p w14:paraId="347F692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4 patients (10%) with at least one SAE during 48 weeks. 1 death due to fatal bronchopneumonia without causative organism. </w:t>
            </w:r>
          </w:p>
        </w:tc>
      </w:tr>
      <w:tr w:rsidR="0062030C" w:rsidRPr="00CC3484" w14:paraId="2BFC881F" w14:textId="77777777" w:rsidTr="0011024C">
        <w:trPr>
          <w:trHeight w:val="2640"/>
        </w:trPr>
        <w:tc>
          <w:tcPr>
            <w:tcW w:w="1129" w:type="dxa"/>
            <w:vMerge/>
            <w:hideMark/>
          </w:tcPr>
          <w:p w14:paraId="64B039A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14:paraId="57A1AE6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hideMark/>
          </w:tcPr>
          <w:p w14:paraId="70ACE90E" w14:textId="12C040F3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1000mg on days 1 and 15 in combination with CYC 750mg on days 3 and 17 plus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for MTX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3475A20B" w14:textId="7812AC8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ACR50 response at week 24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1FD63F7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and ACR70 response rates, change in disease-activity score, response according to EULAR response.</w:t>
            </w:r>
          </w:p>
        </w:tc>
        <w:tc>
          <w:tcPr>
            <w:tcW w:w="1417" w:type="dxa"/>
            <w:hideMark/>
          </w:tcPr>
          <w:p w14:paraId="794D65EF" w14:textId="30A0D47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41%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primary endpoint (p=0.005)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hideMark/>
          </w:tcPr>
          <w:p w14:paraId="294C7A6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hideMark/>
          </w:tcPr>
          <w:p w14:paraId="75FFE57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ACR20 response rate: </w:t>
            </w:r>
            <w:proofErr w:type="gramStart"/>
            <w:r w:rsidRPr="00CC3484">
              <w:rPr>
                <w:sz w:val="18"/>
                <w:szCs w:val="18"/>
              </w:rPr>
              <w:t>76%</w:t>
            </w:r>
            <w:proofErr w:type="gramEnd"/>
            <w:r w:rsidRPr="00CC3484">
              <w:rPr>
                <w:sz w:val="18"/>
                <w:szCs w:val="18"/>
              </w:rPr>
              <w:t xml:space="preserve">(p≤0.025). ACR70 response rate: 15%. Significant improvement in the disease activity index: -2.6 (p≤0.002). Significantly higher proportion of patients responded to treatment according to the EULAR criteria </w:t>
            </w:r>
            <w:proofErr w:type="gramStart"/>
            <w:r w:rsidRPr="00CC3484">
              <w:rPr>
                <w:sz w:val="18"/>
                <w:szCs w:val="18"/>
              </w:rPr>
              <w:t>85%</w:t>
            </w:r>
            <w:proofErr w:type="gramEnd"/>
            <w:r w:rsidRPr="00CC3484">
              <w:rPr>
                <w:sz w:val="18"/>
                <w:szCs w:val="18"/>
              </w:rPr>
              <w:t>(p≤0.004).</w:t>
            </w:r>
          </w:p>
        </w:tc>
        <w:tc>
          <w:tcPr>
            <w:tcW w:w="1133" w:type="dxa"/>
            <w:vMerge/>
            <w:hideMark/>
          </w:tcPr>
          <w:p w14:paraId="75137E6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hideMark/>
          </w:tcPr>
          <w:p w14:paraId="07E4B2F3" w14:textId="1FB8B59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35 patients (85%) with at least one AE during the first 48 weeks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hideMark/>
          </w:tcPr>
          <w:p w14:paraId="6BB1C80D" w14:textId="2DACD05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Statistically significant improvement in HAQ-DI in all treatment groups, as well as in the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group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1E548845" w14:textId="147A61F1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7 patients (17%) with at least one SAE during 48 weeks</w:t>
            </w:r>
            <w:r w:rsidR="004E68FF">
              <w:rPr>
                <w:sz w:val="18"/>
                <w:szCs w:val="18"/>
              </w:rPr>
              <w:t>.</w:t>
            </w:r>
          </w:p>
        </w:tc>
      </w:tr>
      <w:tr w:rsidR="0062030C" w:rsidRPr="00CC3484" w14:paraId="7869AC4F" w14:textId="77777777" w:rsidTr="0011024C">
        <w:trPr>
          <w:trHeight w:val="2880"/>
        </w:trPr>
        <w:tc>
          <w:tcPr>
            <w:tcW w:w="1129" w:type="dxa"/>
            <w:vMerge/>
            <w:hideMark/>
          </w:tcPr>
          <w:p w14:paraId="11FEEAE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14:paraId="7B873B8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hideMark/>
          </w:tcPr>
          <w:p w14:paraId="0E034AB7" w14:textId="0419A95E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1000mg on days 1 and 15 in combination with MTX ≥10mg/week plus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for cyclophosphamide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2F560973" w14:textId="24C8295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ACR50 response at week 24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12B558B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and ACR70 response rates, change in disease-activity score, response according to EULAR response.</w:t>
            </w:r>
          </w:p>
        </w:tc>
        <w:tc>
          <w:tcPr>
            <w:tcW w:w="1417" w:type="dxa"/>
            <w:hideMark/>
          </w:tcPr>
          <w:p w14:paraId="521A544D" w14:textId="048BA28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43%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primary endpoint (p=0.005)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hideMark/>
          </w:tcPr>
          <w:p w14:paraId="572101A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hideMark/>
          </w:tcPr>
          <w:p w14:paraId="28499B9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ACR20 response rate: </w:t>
            </w:r>
            <w:proofErr w:type="gramStart"/>
            <w:r w:rsidRPr="00CC3484">
              <w:rPr>
                <w:sz w:val="18"/>
                <w:szCs w:val="18"/>
              </w:rPr>
              <w:t>73%</w:t>
            </w:r>
            <w:proofErr w:type="gramEnd"/>
            <w:r w:rsidRPr="00CC3484">
              <w:rPr>
                <w:sz w:val="18"/>
                <w:szCs w:val="18"/>
              </w:rPr>
              <w:t>(p≤0.025). ACR70 response rate: 23% (p=0.048). Significant improvement in the disease activity index: -2.6 (p≤0.002). Significantly higher proportion of patients responded to treatment according to the EULAR criteria 83% (p≤0.004).</w:t>
            </w:r>
          </w:p>
        </w:tc>
        <w:tc>
          <w:tcPr>
            <w:tcW w:w="1133" w:type="dxa"/>
            <w:vMerge/>
            <w:hideMark/>
          </w:tcPr>
          <w:p w14:paraId="2AE3D37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hideMark/>
          </w:tcPr>
          <w:p w14:paraId="0134589F" w14:textId="0641325E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35 patients (88%) with at least one AE during the first 48 weeks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hideMark/>
          </w:tcPr>
          <w:p w14:paraId="50387DD0" w14:textId="3113259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Statistically significant improvement in HAQ-DI in all treatment groups, as well as in the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group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223F7B4B" w14:textId="40A9B16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 patients (10%) with at least one SAE during 48 weeks</w:t>
            </w:r>
            <w:r w:rsidR="004E68FF">
              <w:rPr>
                <w:sz w:val="18"/>
                <w:szCs w:val="18"/>
              </w:rPr>
              <w:t>.</w:t>
            </w:r>
          </w:p>
        </w:tc>
      </w:tr>
      <w:tr w:rsidR="0062030C" w:rsidRPr="00CC3484" w14:paraId="04F727CD" w14:textId="77777777" w:rsidTr="0011024C">
        <w:trPr>
          <w:trHeight w:val="480"/>
        </w:trPr>
        <w:tc>
          <w:tcPr>
            <w:tcW w:w="1129" w:type="dxa"/>
            <w:vMerge w:val="restart"/>
            <w:hideMark/>
          </w:tcPr>
          <w:p w14:paraId="0904382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Strand et al., 2006 (2 year follow-up of Edwards et al., 2004)</w:t>
            </w:r>
          </w:p>
        </w:tc>
        <w:tc>
          <w:tcPr>
            <w:tcW w:w="840" w:type="dxa"/>
            <w:vMerge w:val="restart"/>
            <w:hideMark/>
          </w:tcPr>
          <w:p w14:paraId="01EB07E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128</w:t>
            </w:r>
          </w:p>
        </w:tc>
        <w:tc>
          <w:tcPr>
            <w:tcW w:w="1003" w:type="dxa"/>
            <w:hideMark/>
          </w:tcPr>
          <w:p w14:paraId="309B4405" w14:textId="01402CA4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4F8D4D82" w14:textId="5B81A52E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primary endpoint was defined for the follow-up period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7AE34EF6" w14:textId="1BA0C711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secondary endpoint defined for the follow-up period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hideMark/>
          </w:tcPr>
          <w:p w14:paraId="7D59324B" w14:textId="1FE3BF4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response rate: 8%, ACR50 response rate: 8%, ACR70 response rate: 3%, EULAR response rate: 16%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hideMark/>
          </w:tcPr>
          <w:p w14:paraId="61EB5C0F" w14:textId="4687FC3A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response rate: 13%, ACR50 response rate: 10%, ACR70 response rate: 8%, EULAR response rate: 16%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982" w:type="dxa"/>
            <w:hideMark/>
          </w:tcPr>
          <w:p w14:paraId="1D378C2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133" w:type="dxa"/>
            <w:vMerge w:val="restart"/>
            <w:hideMark/>
          </w:tcPr>
          <w:p w14:paraId="7709ADA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996" w:type="dxa"/>
            <w:hideMark/>
          </w:tcPr>
          <w:p w14:paraId="4957E3E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417" w:type="dxa"/>
            <w:hideMark/>
          </w:tcPr>
          <w:p w14:paraId="4BCF78C6" w14:textId="7B93D928" w:rsidR="0062030C" w:rsidRPr="00CC3484" w:rsidRDefault="0062030C" w:rsidP="00F271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</w:t>
            </w:r>
            <w:r w:rsidRPr="00CC3484">
              <w:rPr>
                <w:sz w:val="18"/>
                <w:szCs w:val="18"/>
              </w:rPr>
              <w:t xml:space="preserve"> </w:t>
            </w:r>
            <w:r w:rsidR="00F271AC">
              <w:rPr>
                <w:sz w:val="18"/>
                <w:szCs w:val="18"/>
              </w:rPr>
              <w:t>on</w:t>
            </w:r>
            <w:r w:rsidRPr="00CC3484">
              <w:rPr>
                <w:sz w:val="18"/>
                <w:szCs w:val="18"/>
              </w:rPr>
              <w:t xml:space="preserve"> HAQ-DI at week 104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71592BE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</w:tr>
      <w:tr w:rsidR="0062030C" w:rsidRPr="00CC3484" w14:paraId="77343A5A" w14:textId="77777777" w:rsidTr="0011024C">
        <w:trPr>
          <w:trHeight w:val="1440"/>
        </w:trPr>
        <w:tc>
          <w:tcPr>
            <w:tcW w:w="1129" w:type="dxa"/>
            <w:vMerge/>
            <w:hideMark/>
          </w:tcPr>
          <w:p w14:paraId="18BE8AF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14:paraId="60E5CEA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hideMark/>
          </w:tcPr>
          <w:p w14:paraId="6B354A29" w14:textId="4A72E4FC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 in combination with CYC 750mg on days 3 and 17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766AE5E7" w14:textId="039EB705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primary endpoint was defined for the follow-up period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7E02B50B" w14:textId="4B06880F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secondary endpoint defined for the follow-up period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hideMark/>
          </w:tcPr>
          <w:p w14:paraId="48E85704" w14:textId="0717BC75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response rate: 13%, ACR50 response rate: 10%, ACR70 response rate: 8%, EULAR response rate: 24%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hideMark/>
          </w:tcPr>
          <w:p w14:paraId="145EFD3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hideMark/>
          </w:tcPr>
          <w:p w14:paraId="1B24C26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133" w:type="dxa"/>
            <w:vMerge/>
            <w:hideMark/>
          </w:tcPr>
          <w:p w14:paraId="6C42D5B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hideMark/>
          </w:tcPr>
          <w:p w14:paraId="5B0CACD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417" w:type="dxa"/>
            <w:hideMark/>
          </w:tcPr>
          <w:p w14:paraId="104F56CD" w14:textId="4B53060D" w:rsidR="0062030C" w:rsidRPr="00CC3484" w:rsidRDefault="0062030C" w:rsidP="00F271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</w:t>
            </w:r>
            <w:r w:rsidRPr="00CC3484">
              <w:rPr>
                <w:sz w:val="18"/>
                <w:szCs w:val="18"/>
              </w:rPr>
              <w:t xml:space="preserve"> </w:t>
            </w:r>
            <w:r w:rsidR="00F271AC">
              <w:rPr>
                <w:sz w:val="18"/>
                <w:szCs w:val="18"/>
              </w:rPr>
              <w:t xml:space="preserve">on </w:t>
            </w:r>
            <w:r w:rsidRPr="00CC3484">
              <w:rPr>
                <w:sz w:val="18"/>
                <w:szCs w:val="18"/>
              </w:rPr>
              <w:t>HAQ-DI at week 104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4EC1ADC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</w:tr>
      <w:tr w:rsidR="0062030C" w:rsidRPr="00CC3484" w14:paraId="310BEA65" w14:textId="77777777" w:rsidTr="0011024C">
        <w:trPr>
          <w:trHeight w:val="1440"/>
        </w:trPr>
        <w:tc>
          <w:tcPr>
            <w:tcW w:w="1129" w:type="dxa"/>
            <w:vMerge/>
            <w:hideMark/>
          </w:tcPr>
          <w:p w14:paraId="29AF7C1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14:paraId="4C385FB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hideMark/>
          </w:tcPr>
          <w:p w14:paraId="29BBBAE8" w14:textId="5D8CBABA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 in combination with MTX ≥10mg/week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21FE1333" w14:textId="1A6A4FF9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primary endpoint was defined for the follow-up period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2B3358DB" w14:textId="07033501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secondary endpoint defined for the follow-up period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hideMark/>
          </w:tcPr>
          <w:p w14:paraId="6BE48E6A" w14:textId="7B0756BA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 response rate: 33%, ACR50 response rate: 20%, ACR70 response rate: 10%, EULAR response rate: 39%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hideMark/>
          </w:tcPr>
          <w:p w14:paraId="3A3875F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hideMark/>
          </w:tcPr>
          <w:p w14:paraId="231154B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133" w:type="dxa"/>
            <w:vMerge/>
            <w:hideMark/>
          </w:tcPr>
          <w:p w14:paraId="6AEC238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hideMark/>
          </w:tcPr>
          <w:p w14:paraId="001D037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417" w:type="dxa"/>
            <w:hideMark/>
          </w:tcPr>
          <w:p w14:paraId="7419951C" w14:textId="47687DC3" w:rsidR="0062030C" w:rsidRPr="00CC3484" w:rsidRDefault="0062030C" w:rsidP="00F271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</w:t>
            </w:r>
            <w:r w:rsidRPr="00CC3484">
              <w:rPr>
                <w:sz w:val="18"/>
                <w:szCs w:val="18"/>
              </w:rPr>
              <w:t xml:space="preserve"> </w:t>
            </w:r>
            <w:r w:rsidR="00F271AC">
              <w:rPr>
                <w:sz w:val="18"/>
                <w:szCs w:val="18"/>
              </w:rPr>
              <w:t xml:space="preserve">on </w:t>
            </w:r>
            <w:r w:rsidRPr="00CC3484">
              <w:rPr>
                <w:sz w:val="18"/>
                <w:szCs w:val="18"/>
              </w:rPr>
              <w:t>HAQ-DI at week 104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147A409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</w:tr>
      <w:tr w:rsidR="0062030C" w:rsidRPr="00CC3484" w14:paraId="2D2D9774" w14:textId="77777777" w:rsidTr="0011024C">
        <w:trPr>
          <w:trHeight w:val="2160"/>
        </w:trPr>
        <w:tc>
          <w:tcPr>
            <w:tcW w:w="1129" w:type="dxa"/>
            <w:hideMark/>
          </w:tcPr>
          <w:p w14:paraId="312BF7D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Cohen et al., 2006 (REFLEX trial)</w:t>
            </w:r>
          </w:p>
        </w:tc>
        <w:tc>
          <w:tcPr>
            <w:tcW w:w="840" w:type="dxa"/>
            <w:hideMark/>
          </w:tcPr>
          <w:p w14:paraId="7ED0A49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499</w:t>
            </w:r>
          </w:p>
        </w:tc>
        <w:tc>
          <w:tcPr>
            <w:tcW w:w="1003" w:type="dxa"/>
            <w:hideMark/>
          </w:tcPr>
          <w:p w14:paraId="2546FD63" w14:textId="10B35C44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2F739236" w14:textId="555C8A85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ACR20 response at week 24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7FBCF3E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ACR50 and ACR70 response rates, DAS28, EULAR response criteria at 24 weeks.</w:t>
            </w:r>
          </w:p>
        </w:tc>
        <w:tc>
          <w:tcPr>
            <w:tcW w:w="1417" w:type="dxa"/>
            <w:hideMark/>
          </w:tcPr>
          <w:p w14:paraId="0EE5363E" w14:textId="091898D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51% reached the primary endpoint (p&lt;0.0001)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0A5E95DC" w14:textId="07B5262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18% reached the primary endpoint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982" w:type="dxa"/>
            <w:hideMark/>
          </w:tcPr>
          <w:p w14:paraId="69A7C84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ACR50 response rate: 27% (p&lt;0.0001). ACR70 response rate: 12% (p&lt;0.0001). EULAR response of good or moderate: 65% (p&lt;0.0001). </w:t>
            </w:r>
          </w:p>
        </w:tc>
        <w:tc>
          <w:tcPr>
            <w:tcW w:w="1133" w:type="dxa"/>
            <w:hideMark/>
          </w:tcPr>
          <w:p w14:paraId="64BB1DD6" w14:textId="637AE441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ACR50 response rate: 5%, ACR70 response rate: 1%. EULAR response of good or moderate: 22%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hideMark/>
          </w:tcPr>
          <w:p w14:paraId="797496F8" w14:textId="7090B00E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261 patients (85%) with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hideMark/>
          </w:tcPr>
          <w:p w14:paraId="08D0AE7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Significant reduction in HAQ DI at 24 weeks. Also fatigue was significantly reduced as measured by the FACIT-F. Furthermore significant improvements in SF-36 scores for mental and physical health occurred. </w:t>
            </w:r>
          </w:p>
        </w:tc>
        <w:tc>
          <w:tcPr>
            <w:tcW w:w="1418" w:type="dxa"/>
            <w:hideMark/>
          </w:tcPr>
          <w:p w14:paraId="48C0F2C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23 patients (7%) with at least one SAE. No deaths. </w:t>
            </w:r>
          </w:p>
        </w:tc>
      </w:tr>
    </w:tbl>
    <w:p w14:paraId="56C2A4A5" w14:textId="77777777" w:rsidR="0011024C" w:rsidRDefault="0011024C">
      <w:r>
        <w:br w:type="page"/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1D4D68" w:rsidRPr="00CC3484" w14:paraId="7E89E952" w14:textId="77777777" w:rsidTr="00BA473A">
        <w:trPr>
          <w:trHeight w:val="515"/>
        </w:trPr>
        <w:tc>
          <w:tcPr>
            <w:tcW w:w="1310" w:type="dxa"/>
            <w:shd w:val="clear" w:color="auto" w:fill="FFCC99"/>
          </w:tcPr>
          <w:p w14:paraId="4917FF9A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lastRenderedPageBreak/>
              <w:t>Source</w:t>
            </w:r>
          </w:p>
        </w:tc>
        <w:tc>
          <w:tcPr>
            <w:tcW w:w="1311" w:type="dxa"/>
            <w:shd w:val="clear" w:color="auto" w:fill="FFCC99"/>
          </w:tcPr>
          <w:p w14:paraId="38B5953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shd w:val="clear" w:color="auto" w:fill="FFCC99"/>
          </w:tcPr>
          <w:p w14:paraId="2929D910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shd w:val="clear" w:color="auto" w:fill="FFCC99"/>
          </w:tcPr>
          <w:p w14:paraId="4579073D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shd w:val="clear" w:color="auto" w:fill="FFCC99"/>
          </w:tcPr>
          <w:p w14:paraId="4F17937D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shd w:val="clear" w:color="auto" w:fill="FFCC99"/>
          </w:tcPr>
          <w:p w14:paraId="5682049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shd w:val="clear" w:color="auto" w:fill="FFCC99"/>
          </w:tcPr>
          <w:p w14:paraId="54F6069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7D66C4FC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6A9FEF5B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14AE60FC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00CB5EBF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14FE6589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62030C" w:rsidRPr="00CC3484" w14:paraId="44194E46" w14:textId="77777777" w:rsidTr="00BA473A">
        <w:trPr>
          <w:trHeight w:val="1440"/>
        </w:trPr>
        <w:tc>
          <w:tcPr>
            <w:tcW w:w="1310" w:type="dxa"/>
            <w:hideMark/>
          </w:tcPr>
          <w:p w14:paraId="0BC8EF1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Keystone et al., 2009 (</w:t>
            </w:r>
            <w:proofErr w:type="spellStart"/>
            <w:r w:rsidRPr="00CC3484">
              <w:rPr>
                <w:sz w:val="18"/>
                <w:szCs w:val="18"/>
              </w:rPr>
              <w:t>substudy</w:t>
            </w:r>
            <w:proofErr w:type="spellEnd"/>
            <w:r w:rsidRPr="00CC3484">
              <w:rPr>
                <w:sz w:val="18"/>
                <w:szCs w:val="18"/>
              </w:rPr>
              <w:t xml:space="preserve"> of the REFLEX trial)</w:t>
            </w:r>
          </w:p>
        </w:tc>
        <w:tc>
          <w:tcPr>
            <w:tcW w:w="1311" w:type="dxa"/>
            <w:hideMark/>
          </w:tcPr>
          <w:p w14:paraId="3689A7D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463</w:t>
            </w:r>
          </w:p>
        </w:tc>
        <w:tc>
          <w:tcPr>
            <w:tcW w:w="1311" w:type="dxa"/>
            <w:hideMark/>
          </w:tcPr>
          <w:p w14:paraId="59F9A6F2" w14:textId="3CFA5CB3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59866DB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Change in total </w:t>
            </w:r>
            <w:proofErr w:type="spellStart"/>
            <w:r w:rsidRPr="00CC3484">
              <w:rPr>
                <w:sz w:val="18"/>
                <w:szCs w:val="18"/>
              </w:rPr>
              <w:t>Genant</w:t>
            </w:r>
            <w:proofErr w:type="spellEnd"/>
            <w:r w:rsidRPr="00CC3484">
              <w:rPr>
                <w:sz w:val="18"/>
                <w:szCs w:val="18"/>
              </w:rPr>
              <w:t>-modified Sharp score at week 56.</w:t>
            </w:r>
          </w:p>
        </w:tc>
        <w:tc>
          <w:tcPr>
            <w:tcW w:w="1311" w:type="dxa"/>
            <w:hideMark/>
          </w:tcPr>
          <w:p w14:paraId="152B596D" w14:textId="410774E7" w:rsidR="0062030C" w:rsidRPr="009C3FA8" w:rsidRDefault="0062030C" w:rsidP="009C3FA8">
            <w:pPr>
              <w:spacing w:line="240" w:lineRule="auto"/>
              <w:rPr>
                <w:sz w:val="18"/>
                <w:szCs w:val="18"/>
              </w:rPr>
            </w:pPr>
            <w:r w:rsidRPr="009C3FA8">
              <w:rPr>
                <w:sz w:val="18"/>
                <w:szCs w:val="18"/>
              </w:rPr>
              <w:t xml:space="preserve">Erosion score, </w:t>
            </w:r>
            <w:r w:rsidR="009C3FA8" w:rsidRPr="009C3FA8">
              <w:rPr>
                <w:sz w:val="18"/>
                <w:szCs w:val="18"/>
              </w:rPr>
              <w:t>joint space narrowing</w:t>
            </w:r>
            <w:r w:rsidRPr="009C3FA8">
              <w:rPr>
                <w:sz w:val="18"/>
                <w:szCs w:val="18"/>
              </w:rPr>
              <w:t xml:space="preserve"> </w:t>
            </w:r>
            <w:r w:rsidRPr="005B7412">
              <w:rPr>
                <w:sz w:val="18"/>
                <w:szCs w:val="18"/>
              </w:rPr>
              <w:t>score and proportion of patients with no further erosive damage</w:t>
            </w:r>
            <w:r w:rsidR="004E68FF" w:rsidRPr="009C3FA8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3B12659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hideMark/>
          </w:tcPr>
          <w:p w14:paraId="4BCF43A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hideMark/>
          </w:tcPr>
          <w:p w14:paraId="6962CDD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Significantly more patients in the RTX groups experienced no erosive progression betwe</w:t>
            </w:r>
            <w:r>
              <w:rPr>
                <w:sz w:val="18"/>
                <w:szCs w:val="18"/>
              </w:rPr>
              <w:t>e</w:t>
            </w:r>
            <w:r w:rsidRPr="00CC3484">
              <w:rPr>
                <w:sz w:val="18"/>
                <w:szCs w:val="18"/>
              </w:rPr>
              <w:t xml:space="preserve">n baseline and week 56 (p=0.049). </w:t>
            </w:r>
          </w:p>
        </w:tc>
        <w:tc>
          <w:tcPr>
            <w:tcW w:w="1311" w:type="dxa"/>
            <w:hideMark/>
          </w:tcPr>
          <w:p w14:paraId="0E803E40" w14:textId="3ED5155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See </w:t>
            </w:r>
            <w:proofErr w:type="spellStart"/>
            <w:r w:rsidRPr="00CC3484">
              <w:rPr>
                <w:sz w:val="18"/>
                <w:szCs w:val="18"/>
              </w:rPr>
              <w:t>verum</w:t>
            </w:r>
            <w:proofErr w:type="spellEnd"/>
            <w:r w:rsidR="004E68FF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1311" w:type="dxa"/>
            <w:hideMark/>
          </w:tcPr>
          <w:p w14:paraId="68E0E21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hideMark/>
          </w:tcPr>
          <w:p w14:paraId="164F233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hideMark/>
          </w:tcPr>
          <w:p w14:paraId="7507B78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</w:tr>
      <w:tr w:rsidR="0062030C" w:rsidRPr="00CC3484" w14:paraId="44CB4355" w14:textId="77777777" w:rsidTr="00BA473A">
        <w:trPr>
          <w:trHeight w:val="561"/>
        </w:trPr>
        <w:tc>
          <w:tcPr>
            <w:tcW w:w="1310" w:type="dxa"/>
            <w:vMerge w:val="restart"/>
            <w:hideMark/>
          </w:tcPr>
          <w:p w14:paraId="19DCBA2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Emery et al., 2006 (DANCER trial)</w:t>
            </w:r>
          </w:p>
        </w:tc>
        <w:tc>
          <w:tcPr>
            <w:tcW w:w="1311" w:type="dxa"/>
            <w:vMerge w:val="restart"/>
            <w:hideMark/>
          </w:tcPr>
          <w:p w14:paraId="43DE6B7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465</w:t>
            </w:r>
          </w:p>
        </w:tc>
        <w:tc>
          <w:tcPr>
            <w:tcW w:w="1311" w:type="dxa"/>
            <w:hideMark/>
          </w:tcPr>
          <w:p w14:paraId="46CEAE3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500mg on days 1 and 15 with no glucocorticoids, with </w:t>
            </w:r>
            <w:proofErr w:type="spellStart"/>
            <w:r w:rsidRPr="00CC3484">
              <w:rPr>
                <w:sz w:val="18"/>
                <w:szCs w:val="18"/>
              </w:rPr>
              <w:t>i.v.</w:t>
            </w:r>
            <w:proofErr w:type="spellEnd"/>
            <w:r w:rsidRPr="00CC3484">
              <w:rPr>
                <w:sz w:val="18"/>
                <w:szCs w:val="18"/>
              </w:rPr>
              <w:t xml:space="preserve"> premedication (100mg </w:t>
            </w:r>
            <w:proofErr w:type="spellStart"/>
            <w:r w:rsidRPr="00CC3484">
              <w:rPr>
                <w:sz w:val="18"/>
                <w:szCs w:val="18"/>
              </w:rPr>
              <w:t>methyl</w:t>
            </w:r>
            <w:r>
              <w:rPr>
                <w:sz w:val="18"/>
                <w:szCs w:val="18"/>
              </w:rPr>
              <w:t>corticosteroid</w:t>
            </w:r>
            <w:proofErr w:type="spellEnd"/>
            <w:r w:rsidRPr="00CC3484">
              <w:rPr>
                <w:sz w:val="18"/>
                <w:szCs w:val="18"/>
              </w:rPr>
              <w:t xml:space="preserve">) or with </w:t>
            </w:r>
            <w:proofErr w:type="spellStart"/>
            <w:r w:rsidRPr="00CC3484">
              <w:rPr>
                <w:sz w:val="18"/>
                <w:szCs w:val="18"/>
              </w:rPr>
              <w:t>i.v.</w:t>
            </w:r>
            <w:proofErr w:type="spellEnd"/>
            <w:r w:rsidRPr="00CC3484">
              <w:rPr>
                <w:sz w:val="18"/>
                <w:szCs w:val="18"/>
              </w:rPr>
              <w:t xml:space="preserve"> premedication plus oral </w:t>
            </w:r>
            <w:r>
              <w:rPr>
                <w:sz w:val="18"/>
                <w:szCs w:val="18"/>
              </w:rPr>
              <w:t>corticosteroid</w:t>
            </w:r>
            <w:r w:rsidRPr="00CC3484">
              <w:rPr>
                <w:sz w:val="18"/>
                <w:szCs w:val="18"/>
              </w:rPr>
              <w:t xml:space="preserve"> 60mg on days 2-7 and 30mg on days 8 to 14. </w:t>
            </w:r>
          </w:p>
        </w:tc>
        <w:tc>
          <w:tcPr>
            <w:tcW w:w="1311" w:type="dxa"/>
            <w:hideMark/>
          </w:tcPr>
          <w:p w14:paraId="01FF68D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RF-positive patients with an ACR20 response at week 24.</w:t>
            </w:r>
          </w:p>
        </w:tc>
        <w:tc>
          <w:tcPr>
            <w:tcW w:w="1311" w:type="dxa"/>
            <w:hideMark/>
          </w:tcPr>
          <w:p w14:paraId="3E653A7F" w14:textId="025F563F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ACR50 and ACR70 response rates, DAS28, EULAR response, fatigue, and HAQ-DI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4C81FDCB" w14:textId="4C10513C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55%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an ACR20 response (p&lt;0.0001)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Merge w:val="restart"/>
            <w:hideMark/>
          </w:tcPr>
          <w:p w14:paraId="31F2358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28% achieved an ACR 20 response. </w:t>
            </w:r>
          </w:p>
        </w:tc>
        <w:tc>
          <w:tcPr>
            <w:tcW w:w="1311" w:type="dxa"/>
            <w:hideMark/>
          </w:tcPr>
          <w:p w14:paraId="33FD5623" w14:textId="502323D9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ACR50 response: 33% (p≤ 0.001), ACR70 response: 13% (p=0.029). No statistical difference occurred between the RTX groups. Significant improvement in DAS28 (p&lt;0.0001). Significantly more patients achieved </w:t>
            </w:r>
            <w:proofErr w:type="gramStart"/>
            <w:r w:rsidRPr="00CC3484">
              <w:rPr>
                <w:sz w:val="18"/>
                <w:szCs w:val="18"/>
              </w:rPr>
              <w:t>an</w:t>
            </w:r>
            <w:proofErr w:type="gramEnd"/>
            <w:r w:rsidRPr="00CC3484">
              <w:rPr>
                <w:sz w:val="18"/>
                <w:szCs w:val="18"/>
              </w:rPr>
              <w:t xml:space="preserve"> EULAR response of moderate or good (p&lt;0.0001)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vMerge w:val="restart"/>
            <w:hideMark/>
          </w:tcPr>
          <w:p w14:paraId="18DE567B" w14:textId="5D909F9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ACR50 response: 13%. ACR70 response: 5%</w:t>
            </w:r>
            <w:r w:rsidR="00F271AC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24A87764" w14:textId="7B5CD5F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 patients (81%) experienced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6DF8EE79" w14:textId="2508062A" w:rsidR="0062030C" w:rsidRPr="000369FC" w:rsidRDefault="0062030C" w:rsidP="00070287">
            <w:pPr>
              <w:spacing w:line="240" w:lineRule="auto"/>
              <w:rPr>
                <w:sz w:val="18"/>
                <w:szCs w:val="18"/>
              </w:rPr>
            </w:pPr>
            <w:r w:rsidRPr="000369FC">
              <w:rPr>
                <w:sz w:val="18"/>
                <w:szCs w:val="18"/>
              </w:rPr>
              <w:t xml:space="preserve">HAQ-DI improved from baseline to week 24: -0.43 as compared to 0.16 in the </w:t>
            </w:r>
            <w:r w:rsidR="00070287" w:rsidRPr="005B7412">
              <w:rPr>
                <w:sz w:val="18"/>
                <w:szCs w:val="18"/>
              </w:rPr>
              <w:t xml:space="preserve">placebo </w:t>
            </w:r>
            <w:r w:rsidRPr="000369FC">
              <w:rPr>
                <w:sz w:val="18"/>
                <w:szCs w:val="18"/>
              </w:rPr>
              <w:t xml:space="preserve">group. </w:t>
            </w:r>
            <w:r w:rsidR="009C3FA8" w:rsidRPr="000369FC">
              <w:rPr>
                <w:sz w:val="18"/>
                <w:szCs w:val="18"/>
              </w:rPr>
              <w:t>Functional Assessment of Chronic Illness Therapy-Fatigue (</w:t>
            </w:r>
            <w:r w:rsidRPr="000369FC">
              <w:rPr>
                <w:sz w:val="18"/>
                <w:szCs w:val="18"/>
              </w:rPr>
              <w:t>FACIT-F</w:t>
            </w:r>
            <w:r w:rsidR="009C3FA8" w:rsidRPr="000369FC">
              <w:rPr>
                <w:sz w:val="18"/>
                <w:szCs w:val="18"/>
              </w:rPr>
              <w:t>)</w:t>
            </w:r>
            <w:r w:rsidRPr="000369FC">
              <w:rPr>
                <w:sz w:val="18"/>
                <w:szCs w:val="18"/>
              </w:rPr>
              <w:t xml:space="preserve"> score improved by 20% as compared to 4% in the </w:t>
            </w:r>
            <w:r w:rsidR="00070287" w:rsidRPr="005B7412">
              <w:rPr>
                <w:sz w:val="18"/>
                <w:szCs w:val="18"/>
              </w:rPr>
              <w:t>placebo</w:t>
            </w:r>
            <w:r w:rsidRPr="000369FC">
              <w:rPr>
                <w:sz w:val="18"/>
                <w:szCs w:val="18"/>
              </w:rPr>
              <w:t xml:space="preserve"> group. </w:t>
            </w:r>
          </w:p>
        </w:tc>
        <w:tc>
          <w:tcPr>
            <w:tcW w:w="1311" w:type="dxa"/>
            <w:hideMark/>
          </w:tcPr>
          <w:p w14:paraId="01E18C2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9 S</w:t>
            </w:r>
            <w:r>
              <w:rPr>
                <w:sz w:val="18"/>
                <w:szCs w:val="18"/>
              </w:rPr>
              <w:t>AEs</w:t>
            </w:r>
            <w:r w:rsidRPr="00CC3484">
              <w:rPr>
                <w:sz w:val="18"/>
                <w:szCs w:val="18"/>
              </w:rPr>
              <w:t xml:space="preserve"> (7%). 1 death due to cerebral infarction in a 73-year-old woman with known atrial fibrillation, hypertension, diabetes, and hyperlipidemia. </w:t>
            </w:r>
          </w:p>
        </w:tc>
      </w:tr>
      <w:tr w:rsidR="0062030C" w:rsidRPr="00CC3484" w14:paraId="6C1DA2D2" w14:textId="77777777" w:rsidTr="00BA473A">
        <w:trPr>
          <w:trHeight w:val="2550"/>
        </w:trPr>
        <w:tc>
          <w:tcPr>
            <w:tcW w:w="1310" w:type="dxa"/>
            <w:vMerge/>
            <w:hideMark/>
          </w:tcPr>
          <w:p w14:paraId="44E2FB6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52D49CD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419234A2" w14:textId="43455834" w:rsidR="0062030C" w:rsidRPr="00CC3484" w:rsidRDefault="0062030C" w:rsidP="004E68FF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1000mg on days 1 and 15 either with no glucocorticoids, with </w:t>
            </w:r>
            <w:r w:rsidR="004E68FF">
              <w:rPr>
                <w:sz w:val="18"/>
                <w:szCs w:val="18"/>
              </w:rPr>
              <w:t>IV</w:t>
            </w:r>
            <w:r w:rsidRPr="00CC3484">
              <w:rPr>
                <w:sz w:val="18"/>
                <w:szCs w:val="18"/>
              </w:rPr>
              <w:t xml:space="preserve">. premedication (100mg </w:t>
            </w:r>
            <w:proofErr w:type="spellStart"/>
            <w:r w:rsidRPr="00CC3484">
              <w:rPr>
                <w:sz w:val="18"/>
                <w:szCs w:val="18"/>
              </w:rPr>
              <w:t>methyl</w:t>
            </w:r>
            <w:r>
              <w:rPr>
                <w:sz w:val="18"/>
                <w:szCs w:val="18"/>
              </w:rPr>
              <w:t>corticosteroid</w:t>
            </w:r>
            <w:proofErr w:type="spellEnd"/>
            <w:r w:rsidRPr="00CC3484">
              <w:rPr>
                <w:sz w:val="18"/>
                <w:szCs w:val="18"/>
              </w:rPr>
              <w:t xml:space="preserve">) or with </w:t>
            </w:r>
            <w:proofErr w:type="spellStart"/>
            <w:r w:rsidRPr="00CC3484">
              <w:rPr>
                <w:sz w:val="18"/>
                <w:szCs w:val="18"/>
              </w:rPr>
              <w:t>i.v.</w:t>
            </w:r>
            <w:proofErr w:type="spellEnd"/>
            <w:r w:rsidRPr="00CC3484">
              <w:rPr>
                <w:sz w:val="18"/>
                <w:szCs w:val="18"/>
              </w:rPr>
              <w:t xml:space="preserve"> premedication plus oral </w:t>
            </w:r>
            <w:r>
              <w:rPr>
                <w:sz w:val="18"/>
                <w:szCs w:val="18"/>
              </w:rPr>
              <w:t>corticosteroid</w:t>
            </w:r>
            <w:r w:rsidRPr="00CC3484">
              <w:rPr>
                <w:sz w:val="18"/>
                <w:szCs w:val="18"/>
              </w:rPr>
              <w:t xml:space="preserve"> 60mg on days 2-7 and 30mg on days 8 to 14. </w:t>
            </w:r>
          </w:p>
        </w:tc>
        <w:tc>
          <w:tcPr>
            <w:tcW w:w="1311" w:type="dxa"/>
            <w:hideMark/>
          </w:tcPr>
          <w:p w14:paraId="20F9F1BC" w14:textId="0A99EBD3" w:rsidR="0062030C" w:rsidRPr="005B7412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D20AE5">
              <w:rPr>
                <w:sz w:val="18"/>
                <w:szCs w:val="18"/>
              </w:rPr>
              <w:t xml:space="preserve">Proportion of </w:t>
            </w:r>
            <w:r w:rsidR="00873547" w:rsidRPr="00D20AE5">
              <w:rPr>
                <w:sz w:val="18"/>
                <w:szCs w:val="18"/>
              </w:rPr>
              <w:t xml:space="preserve">rheumatoid factor </w:t>
            </w:r>
            <w:r w:rsidRPr="00D20AE5">
              <w:rPr>
                <w:sz w:val="18"/>
                <w:szCs w:val="18"/>
              </w:rPr>
              <w:t xml:space="preserve">-positive patients with an ACR20 </w:t>
            </w:r>
            <w:r w:rsidRPr="005B7412">
              <w:rPr>
                <w:sz w:val="18"/>
                <w:szCs w:val="18"/>
              </w:rPr>
              <w:t>response at week 24.</w:t>
            </w:r>
          </w:p>
        </w:tc>
        <w:tc>
          <w:tcPr>
            <w:tcW w:w="1311" w:type="dxa"/>
            <w:hideMark/>
          </w:tcPr>
          <w:p w14:paraId="2FBB8CB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ACR50 and ACR70 response rates, DAS28, EULAR response, fatigue, and HAQ-DI</w:t>
            </w:r>
          </w:p>
        </w:tc>
        <w:tc>
          <w:tcPr>
            <w:tcW w:w="1311" w:type="dxa"/>
            <w:hideMark/>
          </w:tcPr>
          <w:p w14:paraId="4911428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54%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an ACR20 response (p&lt;0.0001)</w:t>
            </w:r>
          </w:p>
        </w:tc>
        <w:tc>
          <w:tcPr>
            <w:tcW w:w="1310" w:type="dxa"/>
            <w:vMerge/>
            <w:hideMark/>
          </w:tcPr>
          <w:p w14:paraId="363157C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1E0081D9" w14:textId="14BD693F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ACR50 response: 34% (p≤ 0.001), ACR70 response: 20%</w:t>
            </w:r>
            <w:r w:rsidR="004E68FF">
              <w:rPr>
                <w:sz w:val="18"/>
                <w:szCs w:val="18"/>
              </w:rPr>
              <w:t xml:space="preserve"> </w:t>
            </w:r>
            <w:r w:rsidRPr="00CC3484">
              <w:rPr>
                <w:sz w:val="18"/>
                <w:szCs w:val="18"/>
              </w:rPr>
              <w:t xml:space="preserve">(p≤0.001). Significant improvement in DAS28 (p&lt;0.0001). Significantly more patients achieved </w:t>
            </w:r>
            <w:proofErr w:type="gramStart"/>
            <w:r w:rsidRPr="00CC3484">
              <w:rPr>
                <w:sz w:val="18"/>
                <w:szCs w:val="18"/>
              </w:rPr>
              <w:t>an</w:t>
            </w:r>
            <w:proofErr w:type="gramEnd"/>
            <w:r w:rsidRPr="00CC3484">
              <w:rPr>
                <w:sz w:val="18"/>
                <w:szCs w:val="18"/>
              </w:rPr>
              <w:t xml:space="preserve"> EULAR response of moderate or good (p&lt;0.0001)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vMerge/>
            <w:hideMark/>
          </w:tcPr>
          <w:p w14:paraId="1482298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60806674" w14:textId="6E335BA9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164 patients (85%) experienced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38E74962" w14:textId="6244B456" w:rsidR="0062030C" w:rsidRPr="00CC3484" w:rsidRDefault="0062030C" w:rsidP="00070287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HAQ-DI improved from baseline to week 24: -0.49 as compared to -0.16 in the </w:t>
            </w:r>
            <w:r w:rsidR="00070287">
              <w:rPr>
                <w:sz w:val="18"/>
                <w:szCs w:val="18"/>
              </w:rPr>
              <w:t xml:space="preserve">placebo </w:t>
            </w:r>
            <w:r w:rsidRPr="00CC3484">
              <w:rPr>
                <w:sz w:val="18"/>
                <w:szCs w:val="18"/>
              </w:rPr>
              <w:t xml:space="preserve">group. FACIT-F score improved by 28% as compared to 4% in the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group. </w:t>
            </w:r>
          </w:p>
        </w:tc>
        <w:tc>
          <w:tcPr>
            <w:tcW w:w="1311" w:type="dxa"/>
            <w:hideMark/>
          </w:tcPr>
          <w:p w14:paraId="1BF6F4E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13 S</w:t>
            </w:r>
            <w:r>
              <w:rPr>
                <w:sz w:val="18"/>
                <w:szCs w:val="18"/>
              </w:rPr>
              <w:t>AEs</w:t>
            </w:r>
            <w:r w:rsidRPr="00CC3484">
              <w:rPr>
                <w:sz w:val="18"/>
                <w:szCs w:val="18"/>
              </w:rPr>
              <w:t xml:space="preserve"> (7%). </w:t>
            </w:r>
          </w:p>
        </w:tc>
      </w:tr>
      <w:tr w:rsidR="001D4D68" w:rsidRPr="00CC3484" w14:paraId="198F4E48" w14:textId="77777777" w:rsidTr="00BA473A">
        <w:trPr>
          <w:trHeight w:val="480"/>
        </w:trPr>
        <w:tc>
          <w:tcPr>
            <w:tcW w:w="1310" w:type="dxa"/>
            <w:shd w:val="clear" w:color="auto" w:fill="FFCC99"/>
          </w:tcPr>
          <w:p w14:paraId="47FC43E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shd w:val="clear" w:color="auto" w:fill="FFCC99"/>
          </w:tcPr>
          <w:p w14:paraId="33C4F6AA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shd w:val="clear" w:color="auto" w:fill="FFCC99"/>
          </w:tcPr>
          <w:p w14:paraId="2637AF20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shd w:val="clear" w:color="auto" w:fill="FFCC99"/>
          </w:tcPr>
          <w:p w14:paraId="41463086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shd w:val="clear" w:color="auto" w:fill="FFCC99"/>
          </w:tcPr>
          <w:p w14:paraId="3CC04C9D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shd w:val="clear" w:color="auto" w:fill="FFCC99"/>
          </w:tcPr>
          <w:p w14:paraId="3847E4E6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shd w:val="clear" w:color="auto" w:fill="FFCC99"/>
          </w:tcPr>
          <w:p w14:paraId="3925186F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5F271BBC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7A5FEB16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4CCAAB7E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1621EE6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shd w:val="clear" w:color="auto" w:fill="FFCC99"/>
          </w:tcPr>
          <w:p w14:paraId="2EC3689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62030C" w:rsidRPr="00CC3484" w14:paraId="3EA92D4F" w14:textId="77777777" w:rsidTr="00BA473A">
        <w:trPr>
          <w:trHeight w:val="480"/>
        </w:trPr>
        <w:tc>
          <w:tcPr>
            <w:tcW w:w="1310" w:type="dxa"/>
            <w:hideMark/>
          </w:tcPr>
          <w:p w14:paraId="29BADE3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CC3484">
              <w:rPr>
                <w:sz w:val="18"/>
                <w:szCs w:val="18"/>
              </w:rPr>
              <w:t>Owczarcyk</w:t>
            </w:r>
            <w:proofErr w:type="spellEnd"/>
            <w:r w:rsidRPr="00CC3484">
              <w:rPr>
                <w:sz w:val="18"/>
                <w:szCs w:val="18"/>
              </w:rPr>
              <w:t xml:space="preserve"> et al., 2008</w:t>
            </w:r>
          </w:p>
        </w:tc>
        <w:tc>
          <w:tcPr>
            <w:tcW w:w="1311" w:type="dxa"/>
            <w:hideMark/>
          </w:tcPr>
          <w:p w14:paraId="00EB0D4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40</w:t>
            </w:r>
          </w:p>
        </w:tc>
        <w:tc>
          <w:tcPr>
            <w:tcW w:w="1311" w:type="dxa"/>
            <w:hideMark/>
          </w:tcPr>
          <w:p w14:paraId="5469A3A7" w14:textId="20BB8C1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73B81A5A" w14:textId="0165653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primary endpoint defined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78D7EE72" w14:textId="46BD59FA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secondary endpoint defined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0EE3801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0" w:type="dxa"/>
            <w:hideMark/>
          </w:tcPr>
          <w:p w14:paraId="48B5521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hideMark/>
          </w:tcPr>
          <w:p w14:paraId="6F19FEA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hideMark/>
          </w:tcPr>
          <w:p w14:paraId="534A905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hideMark/>
          </w:tcPr>
          <w:p w14:paraId="6E909E24" w14:textId="64B139A6" w:rsidR="0062030C" w:rsidRPr="00CC3484" w:rsidRDefault="0062030C" w:rsidP="004E68FF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information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3D0FB5E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hideMark/>
          </w:tcPr>
          <w:p w14:paraId="1EC31FD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</w:tr>
      <w:tr w:rsidR="0062030C" w:rsidRPr="00CC3484" w14:paraId="1051F87E" w14:textId="77777777" w:rsidTr="00BA473A">
        <w:trPr>
          <w:trHeight w:val="1440"/>
        </w:trPr>
        <w:tc>
          <w:tcPr>
            <w:tcW w:w="1310" w:type="dxa"/>
            <w:hideMark/>
          </w:tcPr>
          <w:p w14:paraId="7B3BFDF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  <w:lang w:val="fr-FR"/>
              </w:rPr>
            </w:pPr>
            <w:proofErr w:type="spellStart"/>
            <w:r w:rsidRPr="00CC3484">
              <w:rPr>
                <w:sz w:val="18"/>
                <w:szCs w:val="18"/>
                <w:lang w:val="fr-FR"/>
              </w:rPr>
              <w:t>Bingham</w:t>
            </w:r>
            <w:proofErr w:type="spellEnd"/>
            <w:r w:rsidRPr="00CC3484">
              <w:rPr>
                <w:sz w:val="18"/>
                <w:szCs w:val="18"/>
                <w:lang w:val="fr-FR"/>
              </w:rPr>
              <w:t xml:space="preserve"> et al., 2010 (SIERRA trial)</w:t>
            </w:r>
          </w:p>
        </w:tc>
        <w:tc>
          <w:tcPr>
            <w:tcW w:w="1311" w:type="dxa"/>
            <w:hideMark/>
          </w:tcPr>
          <w:p w14:paraId="478C18B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</w:t>
            </w:r>
          </w:p>
        </w:tc>
        <w:tc>
          <w:tcPr>
            <w:tcW w:w="1311" w:type="dxa"/>
            <w:hideMark/>
          </w:tcPr>
          <w:p w14:paraId="649D3910" w14:textId="6FC9F5B4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 in combination with a stable dose of MTX (10-25mg/week)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7EA2FC11" w14:textId="2688C3B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Proportion of patients with a ≥4-fold rise in </w:t>
            </w:r>
            <w:proofErr w:type="spellStart"/>
            <w:r w:rsidRPr="00CC3484">
              <w:rPr>
                <w:sz w:val="18"/>
                <w:szCs w:val="18"/>
              </w:rPr>
              <w:t>antitetanus</w:t>
            </w:r>
            <w:proofErr w:type="spellEnd"/>
            <w:r w:rsidRPr="00CC3484">
              <w:rPr>
                <w:sz w:val="18"/>
                <w:szCs w:val="18"/>
              </w:rPr>
              <w:t xml:space="preserve"> IgG levels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4DAD0F89" w14:textId="25D192E8" w:rsidR="0062030C" w:rsidRPr="00CC3484" w:rsidRDefault="0062030C" w:rsidP="00F96071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Measures of tetanus response and responses to pneumococcal vaccine, </w:t>
            </w:r>
            <w:r w:rsidR="00360770" w:rsidRPr="00360770">
              <w:rPr>
                <w:sz w:val="18"/>
                <w:szCs w:val="18"/>
              </w:rPr>
              <w:t xml:space="preserve">keyhole limpet </w:t>
            </w:r>
            <w:proofErr w:type="spellStart"/>
            <w:r w:rsidR="00360770" w:rsidRPr="00360770">
              <w:rPr>
                <w:sz w:val="18"/>
                <w:szCs w:val="18"/>
              </w:rPr>
              <w:t>hemocyanin</w:t>
            </w:r>
            <w:proofErr w:type="spellEnd"/>
            <w:r w:rsidRPr="00CC3484">
              <w:rPr>
                <w:sz w:val="18"/>
                <w:szCs w:val="18"/>
              </w:rPr>
              <w:t xml:space="preserve">, and C </w:t>
            </w:r>
            <w:proofErr w:type="spellStart"/>
            <w:r w:rsidRPr="00CC3484">
              <w:rPr>
                <w:sz w:val="18"/>
                <w:szCs w:val="18"/>
              </w:rPr>
              <w:t>albicans</w:t>
            </w:r>
            <w:proofErr w:type="spellEnd"/>
            <w:r w:rsidRPr="00CC3484">
              <w:rPr>
                <w:sz w:val="18"/>
                <w:szCs w:val="18"/>
              </w:rPr>
              <w:t xml:space="preserve"> skin test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0339E240" w14:textId="658C9A73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39.1% reached primary endpoint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hideMark/>
          </w:tcPr>
          <w:p w14:paraId="5EA95ECE" w14:textId="06134434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42.3% reached primary endpoint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22A6EF77" w14:textId="679FAE7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77.4%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showed the same level of response in the delayed-type hypersensitivity response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793D5E8D" w14:textId="47240D71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70%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showed the same level of response in the delayed-type hypersensitivity response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42613B83" w14:textId="27CB10E3" w:rsidR="0062030C" w:rsidRPr="00CC3484" w:rsidRDefault="0062030C" w:rsidP="004E68FF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information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2734E6D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hideMark/>
          </w:tcPr>
          <w:p w14:paraId="338855D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 patients experienced a SAE: hip fracture, chest pain, and coronary artery disease. No deaths.</w:t>
            </w:r>
          </w:p>
        </w:tc>
      </w:tr>
      <w:tr w:rsidR="0062030C" w:rsidRPr="00CC3484" w14:paraId="0DDA945A" w14:textId="77777777" w:rsidTr="00BA473A">
        <w:trPr>
          <w:trHeight w:val="1920"/>
        </w:trPr>
        <w:tc>
          <w:tcPr>
            <w:tcW w:w="1310" w:type="dxa"/>
            <w:vMerge w:val="restart"/>
            <w:hideMark/>
          </w:tcPr>
          <w:p w14:paraId="33B6B60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Emery et al., 2010 (SERENE trial)</w:t>
            </w:r>
          </w:p>
        </w:tc>
        <w:tc>
          <w:tcPr>
            <w:tcW w:w="1311" w:type="dxa"/>
            <w:vMerge w:val="restart"/>
            <w:hideMark/>
          </w:tcPr>
          <w:p w14:paraId="037192C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509</w:t>
            </w:r>
          </w:p>
        </w:tc>
        <w:tc>
          <w:tcPr>
            <w:tcW w:w="1311" w:type="dxa"/>
            <w:hideMark/>
          </w:tcPr>
          <w:p w14:paraId="37193955" w14:textId="77B5CE19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500mg on days 1 and 15. If not in remission at week 24, another treatment course was applied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5DB94593" w14:textId="0A083DC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ACR20 response at week 24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27AEEE1F" w14:textId="363AF5B5" w:rsidR="0062030C" w:rsidRPr="00CC3484" w:rsidRDefault="0062030C" w:rsidP="00503699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Proportion of patients with an ACR50/70 response, EULAR responses, DAS28-ESR, </w:t>
            </w:r>
            <w:r w:rsidR="00503699" w:rsidRPr="00C116B7">
              <w:rPr>
                <w:sz w:val="18"/>
                <w:szCs w:val="18"/>
              </w:rPr>
              <w:t xml:space="preserve">Health Assessment Questionnaire Disability Index </w:t>
            </w:r>
            <w:r w:rsidR="00503699">
              <w:rPr>
                <w:sz w:val="18"/>
                <w:szCs w:val="18"/>
              </w:rPr>
              <w:t>(</w:t>
            </w:r>
            <w:r w:rsidR="00503699" w:rsidRPr="00070287">
              <w:rPr>
                <w:sz w:val="18"/>
                <w:szCs w:val="18"/>
              </w:rPr>
              <w:t>HAQ-</w:t>
            </w:r>
            <w:r w:rsidR="00503699" w:rsidRPr="00070287">
              <w:rPr>
                <w:sz w:val="18"/>
                <w:szCs w:val="18"/>
              </w:rPr>
              <w:lastRenderedPageBreak/>
              <w:t>DI</w:t>
            </w:r>
            <w:r w:rsidR="00503699">
              <w:rPr>
                <w:sz w:val="18"/>
                <w:szCs w:val="18"/>
              </w:rPr>
              <w:t>)</w:t>
            </w:r>
            <w:r w:rsidRPr="00CC3484">
              <w:rPr>
                <w:sz w:val="18"/>
                <w:szCs w:val="18"/>
              </w:rPr>
              <w:t>, SF-36, and FACIT-F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7CF1ED4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54.5% (p&lt;0.0001)</w:t>
            </w:r>
          </w:p>
        </w:tc>
        <w:tc>
          <w:tcPr>
            <w:tcW w:w="1310" w:type="dxa"/>
            <w:vMerge w:val="restart"/>
            <w:hideMark/>
          </w:tcPr>
          <w:p w14:paraId="6829C59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23.3%</w:t>
            </w:r>
          </w:p>
        </w:tc>
        <w:tc>
          <w:tcPr>
            <w:tcW w:w="1311" w:type="dxa"/>
            <w:hideMark/>
          </w:tcPr>
          <w:p w14:paraId="258D2BD0" w14:textId="1EF41271" w:rsidR="0062030C" w:rsidRPr="00CC3484" w:rsidRDefault="0062030C" w:rsidP="00070287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ACR50 response rate: 26.3% (p&lt;0.0001). The proportion of patients achieving an ACR70 response was greater than in the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group but the </w:t>
            </w:r>
            <w:r w:rsidRPr="00CC3484">
              <w:rPr>
                <w:sz w:val="18"/>
                <w:szCs w:val="18"/>
              </w:rPr>
              <w:lastRenderedPageBreak/>
              <w:t xml:space="preserve">difference was not statistically significant. </w:t>
            </w:r>
          </w:p>
        </w:tc>
        <w:tc>
          <w:tcPr>
            <w:tcW w:w="1311" w:type="dxa"/>
            <w:vMerge w:val="restart"/>
            <w:hideMark/>
          </w:tcPr>
          <w:p w14:paraId="33D67FC3" w14:textId="2B2AB030" w:rsidR="0062030C" w:rsidRPr="00CC3484" w:rsidRDefault="0062030C" w:rsidP="00070287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 xml:space="preserve">ACR50 response rate: 9.3%. The proportion of patients achieving an ACR70 response was greater than in the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group but the difference was </w:t>
            </w:r>
            <w:r w:rsidRPr="00CC3484">
              <w:rPr>
                <w:sz w:val="18"/>
                <w:szCs w:val="18"/>
              </w:rPr>
              <w:lastRenderedPageBreak/>
              <w:t xml:space="preserve">not statistically significant. </w:t>
            </w:r>
          </w:p>
        </w:tc>
        <w:tc>
          <w:tcPr>
            <w:tcW w:w="1311" w:type="dxa"/>
            <w:hideMark/>
          </w:tcPr>
          <w:p w14:paraId="46F03454" w14:textId="7068A51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128 patients (77%) experienced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0814683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Statistically significant improvements in HAQ-DI, FACIT-F, and SF-36 scores. </w:t>
            </w:r>
          </w:p>
        </w:tc>
        <w:tc>
          <w:tcPr>
            <w:tcW w:w="1311" w:type="dxa"/>
            <w:hideMark/>
          </w:tcPr>
          <w:p w14:paraId="11EEB67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6 patients (4%) experienced at least one SAE. 3 deaths: interstitial lung disease and abdominal sepsis and </w:t>
            </w:r>
            <w:r>
              <w:rPr>
                <w:sz w:val="18"/>
                <w:szCs w:val="18"/>
              </w:rPr>
              <w:t>unknown</w:t>
            </w:r>
            <w:r w:rsidRPr="00CC3484">
              <w:rPr>
                <w:sz w:val="18"/>
                <w:szCs w:val="18"/>
              </w:rPr>
              <w:t xml:space="preserve"> cause. </w:t>
            </w:r>
          </w:p>
        </w:tc>
      </w:tr>
      <w:tr w:rsidR="0062030C" w:rsidRPr="00CC3484" w14:paraId="1216A8FD" w14:textId="77777777" w:rsidTr="00BA473A">
        <w:trPr>
          <w:trHeight w:val="1920"/>
        </w:trPr>
        <w:tc>
          <w:tcPr>
            <w:tcW w:w="1310" w:type="dxa"/>
            <w:vMerge/>
            <w:hideMark/>
          </w:tcPr>
          <w:p w14:paraId="1579FF1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043CBAC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28D62376" w14:textId="1CFFA6EC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15. If not in remission at week 24, another treatment course was applied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3A1B1E10" w14:textId="3CFBA552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ACR20 response at week 24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3D5D2E7E" w14:textId="743498A5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ACR50/70 response, EULAR responses, DAS28-ESR, HAQ-DI, SF-36, and FACIT-F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3ACD7A14" w14:textId="75F5DBFD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50.6% (p&lt;0.0001)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Merge/>
            <w:hideMark/>
          </w:tcPr>
          <w:p w14:paraId="77D1371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303B67CA" w14:textId="1BC6E8A2" w:rsidR="0062030C" w:rsidRPr="00CC3484" w:rsidRDefault="0062030C" w:rsidP="00070287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ACR50 response rate: 25.9% (p&lt;0.0001). The proportion of patients achieving an ACR70 response was greater than in the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group but the difference was not statistically significant. </w:t>
            </w:r>
          </w:p>
        </w:tc>
        <w:tc>
          <w:tcPr>
            <w:tcW w:w="1311" w:type="dxa"/>
            <w:vMerge/>
            <w:hideMark/>
          </w:tcPr>
          <w:p w14:paraId="720982B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71E90B4F" w14:textId="60F6C6F9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130 patients (76%) experienced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hideMark/>
          </w:tcPr>
          <w:p w14:paraId="1463CBB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Statistically significant improvements in HAQ-DI, FACIT-F, and SF-36 scores. </w:t>
            </w:r>
          </w:p>
        </w:tc>
        <w:tc>
          <w:tcPr>
            <w:tcW w:w="1311" w:type="dxa"/>
            <w:hideMark/>
          </w:tcPr>
          <w:p w14:paraId="538AE241" w14:textId="5300E4E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15 patients (9%) experienced at least one SAE. One death (</w:t>
            </w:r>
            <w:r>
              <w:rPr>
                <w:sz w:val="18"/>
                <w:szCs w:val="18"/>
              </w:rPr>
              <w:t>unknown</w:t>
            </w:r>
            <w:r w:rsidRPr="00CC3484">
              <w:rPr>
                <w:sz w:val="18"/>
                <w:szCs w:val="18"/>
              </w:rPr>
              <w:t xml:space="preserve"> cause)</w:t>
            </w:r>
            <w:r w:rsidR="004E68FF">
              <w:rPr>
                <w:sz w:val="18"/>
                <w:szCs w:val="18"/>
              </w:rPr>
              <w:t>.</w:t>
            </w:r>
          </w:p>
        </w:tc>
      </w:tr>
    </w:tbl>
    <w:p w14:paraId="144F90A8" w14:textId="77777777" w:rsidR="006F7DCB" w:rsidRDefault="006F7DCB">
      <w:r>
        <w:br w:type="page"/>
      </w:r>
    </w:p>
    <w:tbl>
      <w:tblPr>
        <w:tblStyle w:val="TableGrid"/>
        <w:tblW w:w="15450" w:type="dxa"/>
        <w:tblLayout w:type="fixed"/>
        <w:tblLook w:val="04A0" w:firstRow="1" w:lastRow="0" w:firstColumn="1" w:lastColumn="0" w:noHBand="0" w:noVBand="1"/>
      </w:tblPr>
      <w:tblGrid>
        <w:gridCol w:w="1287"/>
        <w:gridCol w:w="23"/>
        <w:gridCol w:w="1264"/>
        <w:gridCol w:w="47"/>
        <w:gridCol w:w="1240"/>
        <w:gridCol w:w="42"/>
        <w:gridCol w:w="1245"/>
        <w:gridCol w:w="38"/>
        <w:gridCol w:w="1249"/>
        <w:gridCol w:w="34"/>
        <w:gridCol w:w="1254"/>
        <w:gridCol w:w="29"/>
        <w:gridCol w:w="1258"/>
        <w:gridCol w:w="25"/>
        <w:gridCol w:w="1262"/>
        <w:gridCol w:w="21"/>
        <w:gridCol w:w="1266"/>
        <w:gridCol w:w="17"/>
        <w:gridCol w:w="1270"/>
        <w:gridCol w:w="13"/>
        <w:gridCol w:w="1274"/>
        <w:gridCol w:w="9"/>
        <w:gridCol w:w="1283"/>
      </w:tblGrid>
      <w:tr w:rsidR="0020745C" w:rsidRPr="00CC3484" w14:paraId="137B6325" w14:textId="77777777" w:rsidTr="00BA473A">
        <w:trPr>
          <w:trHeight w:val="401"/>
        </w:trPr>
        <w:tc>
          <w:tcPr>
            <w:tcW w:w="1287" w:type="dxa"/>
            <w:shd w:val="clear" w:color="auto" w:fill="FFCC99"/>
          </w:tcPr>
          <w:p w14:paraId="2FA32B4A" w14:textId="00633C9A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lastRenderedPageBreak/>
              <w:t>Source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21C089E1" w14:textId="7A18900C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727647F7" w14:textId="1B5B0DBB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3EB3B6A8" w14:textId="0F2A7A0E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0F73227A" w14:textId="6B992A9F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288" w:type="dxa"/>
            <w:gridSpan w:val="2"/>
            <w:shd w:val="clear" w:color="auto" w:fill="FFCC99"/>
          </w:tcPr>
          <w:p w14:paraId="4EFE54D2" w14:textId="6E051729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0E08E677" w14:textId="54567468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067E2579" w14:textId="13BCA502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307035F3" w14:textId="4712EE6E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5BD27E72" w14:textId="3C51CE59" w:rsidR="0020745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3549CD15" w14:textId="296604C0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2" w:type="dxa"/>
            <w:gridSpan w:val="2"/>
            <w:shd w:val="clear" w:color="auto" w:fill="FFCC99"/>
          </w:tcPr>
          <w:p w14:paraId="6B4D6728" w14:textId="49D0FA1D" w:rsidR="0020745C" w:rsidRPr="0025711C" w:rsidRDefault="0020745C" w:rsidP="0020745C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62030C" w:rsidRPr="00CC3484" w14:paraId="7E823F9F" w14:textId="77777777" w:rsidTr="00BA473A">
        <w:trPr>
          <w:trHeight w:val="1440"/>
        </w:trPr>
        <w:tc>
          <w:tcPr>
            <w:tcW w:w="1287" w:type="dxa"/>
            <w:hideMark/>
          </w:tcPr>
          <w:p w14:paraId="5DE30C0C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CC3484">
              <w:rPr>
                <w:sz w:val="18"/>
                <w:szCs w:val="18"/>
              </w:rPr>
              <w:t>Mease</w:t>
            </w:r>
            <w:proofErr w:type="spellEnd"/>
            <w:r w:rsidRPr="00CC3484">
              <w:rPr>
                <w:sz w:val="18"/>
                <w:szCs w:val="18"/>
              </w:rPr>
              <w:t xml:space="preserve"> et al., 2010 (SUNRISE trial)</w:t>
            </w:r>
          </w:p>
        </w:tc>
        <w:tc>
          <w:tcPr>
            <w:tcW w:w="1287" w:type="dxa"/>
            <w:gridSpan w:val="2"/>
            <w:hideMark/>
          </w:tcPr>
          <w:p w14:paraId="6A521F9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475 (559 received the open-label first course of RTX)</w:t>
            </w:r>
          </w:p>
        </w:tc>
        <w:tc>
          <w:tcPr>
            <w:tcW w:w="1287" w:type="dxa"/>
            <w:gridSpan w:val="2"/>
            <w:hideMark/>
          </w:tcPr>
          <w:p w14:paraId="6B9208F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 at week 24.</w:t>
            </w:r>
          </w:p>
        </w:tc>
        <w:tc>
          <w:tcPr>
            <w:tcW w:w="1287" w:type="dxa"/>
            <w:gridSpan w:val="2"/>
            <w:hideMark/>
          </w:tcPr>
          <w:p w14:paraId="5C6EDF4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ACR20 response at week 48.</w:t>
            </w:r>
          </w:p>
        </w:tc>
        <w:tc>
          <w:tcPr>
            <w:tcW w:w="1287" w:type="dxa"/>
            <w:gridSpan w:val="2"/>
            <w:hideMark/>
          </w:tcPr>
          <w:p w14:paraId="24783781" w14:textId="13633423" w:rsidR="0062030C" w:rsidRPr="00CC3484" w:rsidRDefault="0062030C" w:rsidP="00C116B7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ACR50/70 response rates, change from baseline to week 48 in DAS28-ESR, proportion of patients with ELAR responses. </w:t>
            </w:r>
          </w:p>
        </w:tc>
        <w:tc>
          <w:tcPr>
            <w:tcW w:w="1288" w:type="dxa"/>
            <w:gridSpan w:val="2"/>
            <w:hideMark/>
          </w:tcPr>
          <w:p w14:paraId="32F616BF" w14:textId="5ABC6BE3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54% (p=0.0195)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25D370C9" w14:textId="6C36EA3A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45.0%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3B9A88DD" w14:textId="52D21018" w:rsidR="0062030C" w:rsidRPr="00CC3484" w:rsidRDefault="0062030C" w:rsidP="00070287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Patients who did not respond to the first course were no more likely to respond to a second course of RTX than to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87" w:type="dxa"/>
            <w:gridSpan w:val="2"/>
            <w:hideMark/>
          </w:tcPr>
          <w:p w14:paraId="328168D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299EEE4C" w14:textId="098FB5F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226 patients (71%) with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5128A151" w14:textId="37D23B3A" w:rsidR="0062030C" w:rsidRPr="00CC3484" w:rsidRDefault="00070287" w:rsidP="00070287">
            <w:pPr>
              <w:spacing w:line="240" w:lineRule="auto"/>
              <w:rPr>
                <w:sz w:val="18"/>
                <w:szCs w:val="18"/>
                <w:lang w:val="it-IT"/>
              </w:rPr>
            </w:pPr>
            <w:r w:rsidRPr="0020745C">
              <w:rPr>
                <w:sz w:val="18"/>
                <w:szCs w:val="18"/>
                <w:lang w:val="it-IT"/>
              </w:rPr>
              <w:t xml:space="preserve">No </w:t>
            </w:r>
            <w:proofErr w:type="spellStart"/>
            <w:r w:rsidRPr="0020745C">
              <w:rPr>
                <w:sz w:val="18"/>
                <w:szCs w:val="18"/>
                <w:lang w:val="it-IT"/>
              </w:rPr>
              <w:t>difference</w:t>
            </w:r>
            <w:proofErr w:type="spellEnd"/>
            <w:r w:rsidRPr="0020745C">
              <w:rPr>
                <w:sz w:val="18"/>
                <w:szCs w:val="18"/>
                <w:lang w:val="it-IT"/>
              </w:rPr>
              <w:t xml:space="preserve"> in HAQ-DI</w:t>
            </w:r>
            <w:r>
              <w:rPr>
                <w:sz w:val="18"/>
                <w:szCs w:val="18"/>
                <w:lang w:val="it-IT"/>
              </w:rPr>
              <w:t xml:space="preserve"> score</w:t>
            </w:r>
            <w:r w:rsidR="0062030C" w:rsidRPr="00CC3484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292" w:type="dxa"/>
            <w:gridSpan w:val="2"/>
            <w:hideMark/>
          </w:tcPr>
          <w:p w14:paraId="1EC173C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22 patients (7%) with at least one SAE. 2 deaths: acute respiratory distress syndrome and cardiorespiratory arrest.</w:t>
            </w:r>
          </w:p>
        </w:tc>
      </w:tr>
      <w:tr w:rsidR="0062030C" w:rsidRPr="00CC3484" w14:paraId="24883897" w14:textId="77777777" w:rsidTr="00BA473A">
        <w:trPr>
          <w:trHeight w:val="1440"/>
        </w:trPr>
        <w:tc>
          <w:tcPr>
            <w:tcW w:w="1287" w:type="dxa"/>
            <w:vMerge w:val="restart"/>
            <w:hideMark/>
          </w:tcPr>
          <w:p w14:paraId="65CFC3C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CC3484">
              <w:rPr>
                <w:sz w:val="18"/>
                <w:szCs w:val="18"/>
              </w:rPr>
              <w:t>Rubbert</w:t>
            </w:r>
            <w:proofErr w:type="spellEnd"/>
            <w:r w:rsidRPr="00CC3484">
              <w:rPr>
                <w:sz w:val="18"/>
                <w:szCs w:val="18"/>
              </w:rPr>
              <w:t>-Roth et al., 2010 (MIRROR trial)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6E967D6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377</w:t>
            </w:r>
          </w:p>
        </w:tc>
        <w:tc>
          <w:tcPr>
            <w:tcW w:w="1287" w:type="dxa"/>
            <w:gridSpan w:val="2"/>
            <w:hideMark/>
          </w:tcPr>
          <w:p w14:paraId="1E570AD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500mg on days 1 and 15 with a repeated course of again 2x500mg at week 24. </w:t>
            </w:r>
          </w:p>
        </w:tc>
        <w:tc>
          <w:tcPr>
            <w:tcW w:w="1287" w:type="dxa"/>
            <w:gridSpan w:val="2"/>
            <w:hideMark/>
          </w:tcPr>
          <w:p w14:paraId="0C482D0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ACR20 response at week 48.</w:t>
            </w:r>
          </w:p>
        </w:tc>
        <w:tc>
          <w:tcPr>
            <w:tcW w:w="1287" w:type="dxa"/>
            <w:gridSpan w:val="2"/>
            <w:hideMark/>
          </w:tcPr>
          <w:p w14:paraId="47F44B9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ACR50/70 response rates, change from baseline to week 48 in DAS28-ESR, EULAR response, change from baseline in SF-36 and FACIT-F. </w:t>
            </w:r>
          </w:p>
        </w:tc>
        <w:tc>
          <w:tcPr>
            <w:tcW w:w="1288" w:type="dxa"/>
            <w:gridSpan w:val="2"/>
            <w:hideMark/>
          </w:tcPr>
          <w:p w14:paraId="0204EF33" w14:textId="62D34116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64% (no significant difference between dose groups)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1259170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control.</w:t>
            </w:r>
          </w:p>
        </w:tc>
        <w:tc>
          <w:tcPr>
            <w:tcW w:w="1287" w:type="dxa"/>
            <w:gridSpan w:val="2"/>
            <w:hideMark/>
          </w:tcPr>
          <w:p w14:paraId="7ED41990" w14:textId="189EEF9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Moderate or good EULAR response: 73%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29E5B3D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control.</w:t>
            </w:r>
          </w:p>
        </w:tc>
        <w:tc>
          <w:tcPr>
            <w:tcW w:w="1287" w:type="dxa"/>
            <w:gridSpan w:val="2"/>
            <w:hideMark/>
          </w:tcPr>
          <w:p w14:paraId="6C31ACDA" w14:textId="26CDF1AC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121 patients (90%) experienced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48C10E4C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HAQ-DI, SF-36 and FACIT-F improved in all dosing groups with no significant in-between difference. </w:t>
            </w:r>
          </w:p>
        </w:tc>
        <w:tc>
          <w:tcPr>
            <w:tcW w:w="1292" w:type="dxa"/>
            <w:gridSpan w:val="2"/>
            <w:hideMark/>
          </w:tcPr>
          <w:p w14:paraId="314E510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15 patients (11%) experienced at least one SAE. No deaths.</w:t>
            </w:r>
          </w:p>
        </w:tc>
      </w:tr>
      <w:tr w:rsidR="0062030C" w:rsidRPr="00CC3484" w14:paraId="00F803C7" w14:textId="77777777" w:rsidTr="00BA473A">
        <w:trPr>
          <w:trHeight w:val="1200"/>
        </w:trPr>
        <w:tc>
          <w:tcPr>
            <w:tcW w:w="1287" w:type="dxa"/>
            <w:vMerge/>
            <w:hideMark/>
          </w:tcPr>
          <w:p w14:paraId="18EFBCA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hideMark/>
          </w:tcPr>
          <w:p w14:paraId="4025AE5C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009EC8C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500mg on days 1 and 15 with a repeated course of 2x1000mg at week 24. </w:t>
            </w:r>
          </w:p>
        </w:tc>
        <w:tc>
          <w:tcPr>
            <w:tcW w:w="1287" w:type="dxa"/>
            <w:gridSpan w:val="2"/>
            <w:hideMark/>
          </w:tcPr>
          <w:p w14:paraId="66894D7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ACR20 response at week 48.</w:t>
            </w:r>
          </w:p>
        </w:tc>
        <w:tc>
          <w:tcPr>
            <w:tcW w:w="1287" w:type="dxa"/>
            <w:gridSpan w:val="2"/>
            <w:hideMark/>
          </w:tcPr>
          <w:p w14:paraId="3C6D998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ACR50/70 response rates, change from baseline to week 48 in DAS28-ESR, EULAR response, change from baseline in SF-36 and FACIT-F. </w:t>
            </w:r>
          </w:p>
        </w:tc>
        <w:tc>
          <w:tcPr>
            <w:tcW w:w="1288" w:type="dxa"/>
            <w:gridSpan w:val="2"/>
            <w:hideMark/>
          </w:tcPr>
          <w:p w14:paraId="53A7F0C3" w14:textId="41830E04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64% (no significant difference between dose groups)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6CCC5A6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control.</w:t>
            </w:r>
          </w:p>
        </w:tc>
        <w:tc>
          <w:tcPr>
            <w:tcW w:w="1287" w:type="dxa"/>
            <w:gridSpan w:val="2"/>
            <w:hideMark/>
          </w:tcPr>
          <w:p w14:paraId="76B615E2" w14:textId="030B9002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Moderate or good EULAR response: 72%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42727CE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control.</w:t>
            </w:r>
          </w:p>
        </w:tc>
        <w:tc>
          <w:tcPr>
            <w:tcW w:w="1287" w:type="dxa"/>
            <w:gridSpan w:val="2"/>
            <w:hideMark/>
          </w:tcPr>
          <w:p w14:paraId="3D2EA939" w14:textId="4DD81F3D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106 patients (89%) experienced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421EBA7C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HAQ-DI, SF-36 and FACIT-F improved in all dosing groups with no significant in-between difference. </w:t>
            </w:r>
          </w:p>
        </w:tc>
        <w:tc>
          <w:tcPr>
            <w:tcW w:w="1292" w:type="dxa"/>
            <w:gridSpan w:val="2"/>
            <w:hideMark/>
          </w:tcPr>
          <w:p w14:paraId="2FE50B8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21 patients (18%) experienced at least one SAE. No deaths.</w:t>
            </w:r>
          </w:p>
        </w:tc>
      </w:tr>
      <w:tr w:rsidR="0062030C" w:rsidRPr="00CC3484" w14:paraId="7539DAB1" w14:textId="77777777" w:rsidTr="00BA473A">
        <w:trPr>
          <w:trHeight w:val="558"/>
        </w:trPr>
        <w:tc>
          <w:tcPr>
            <w:tcW w:w="1287" w:type="dxa"/>
            <w:vMerge/>
            <w:hideMark/>
          </w:tcPr>
          <w:p w14:paraId="45B5929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hideMark/>
          </w:tcPr>
          <w:p w14:paraId="61C514D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60BCDEE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1000mg on days 1 and 15 with a repeated course of again 2x1000mg at week 24. </w:t>
            </w:r>
          </w:p>
        </w:tc>
        <w:tc>
          <w:tcPr>
            <w:tcW w:w="1287" w:type="dxa"/>
            <w:gridSpan w:val="2"/>
            <w:hideMark/>
          </w:tcPr>
          <w:p w14:paraId="48BF641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an ACR20 response at week 48.</w:t>
            </w:r>
          </w:p>
        </w:tc>
        <w:tc>
          <w:tcPr>
            <w:tcW w:w="1287" w:type="dxa"/>
            <w:gridSpan w:val="2"/>
            <w:hideMark/>
          </w:tcPr>
          <w:p w14:paraId="716F6D9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ACR50/70 response rates, change from baseline to week 48 in DAS28-ESR, EULAR response, change from </w:t>
            </w:r>
            <w:r w:rsidRPr="00CC3484">
              <w:rPr>
                <w:sz w:val="18"/>
                <w:szCs w:val="18"/>
              </w:rPr>
              <w:lastRenderedPageBreak/>
              <w:t xml:space="preserve">baseline in SF-36 and FACIT-F. </w:t>
            </w:r>
          </w:p>
        </w:tc>
        <w:tc>
          <w:tcPr>
            <w:tcW w:w="1288" w:type="dxa"/>
            <w:gridSpan w:val="2"/>
            <w:hideMark/>
          </w:tcPr>
          <w:p w14:paraId="5ACD2721" w14:textId="1FC75461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72% (no significant difference between dose groups)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0B630A0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control.</w:t>
            </w:r>
          </w:p>
        </w:tc>
        <w:tc>
          <w:tcPr>
            <w:tcW w:w="1287" w:type="dxa"/>
            <w:gridSpan w:val="2"/>
            <w:hideMark/>
          </w:tcPr>
          <w:p w14:paraId="7183D394" w14:textId="5BF815F9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Moderate or good EULAR response: 89%. EULAR responses were achieved by significantly more patients </w:t>
            </w:r>
            <w:r w:rsidRPr="00CC3484">
              <w:rPr>
                <w:sz w:val="18"/>
                <w:szCs w:val="18"/>
              </w:rPr>
              <w:lastRenderedPageBreak/>
              <w:t>in this group compared to other dosing groups (p=0.0495)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6958C15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 control.</w:t>
            </w:r>
          </w:p>
        </w:tc>
        <w:tc>
          <w:tcPr>
            <w:tcW w:w="1287" w:type="dxa"/>
            <w:gridSpan w:val="2"/>
            <w:hideMark/>
          </w:tcPr>
          <w:p w14:paraId="0CFDE1BA" w14:textId="308B860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85 patients (91%) experienced at least one AE</w:t>
            </w:r>
            <w:r w:rsidR="004E68FF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02C95C1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HAQ-DI, SF-36 and FACIT-F improved in all dosing groups with no significant in-between difference. </w:t>
            </w:r>
          </w:p>
        </w:tc>
        <w:tc>
          <w:tcPr>
            <w:tcW w:w="1292" w:type="dxa"/>
            <w:gridSpan w:val="2"/>
            <w:hideMark/>
          </w:tcPr>
          <w:p w14:paraId="01DF793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16 patients (17%) experienced at least one SAE. No deaths.</w:t>
            </w:r>
          </w:p>
        </w:tc>
      </w:tr>
      <w:tr w:rsidR="001D4D68" w:rsidRPr="00CC3484" w14:paraId="0A5EC39C" w14:textId="77777777" w:rsidTr="00BA473A">
        <w:trPr>
          <w:trHeight w:val="561"/>
        </w:trPr>
        <w:tc>
          <w:tcPr>
            <w:tcW w:w="1287" w:type="dxa"/>
            <w:shd w:val="clear" w:color="auto" w:fill="FFCC99"/>
          </w:tcPr>
          <w:p w14:paraId="4787B37A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3BFD3958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7C8DBFA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64FD7B72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6B75BD4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288" w:type="dxa"/>
            <w:gridSpan w:val="2"/>
            <w:shd w:val="clear" w:color="auto" w:fill="FFCC99"/>
          </w:tcPr>
          <w:p w14:paraId="1EEAFFBF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386209A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2418CED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66C2F387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60056672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4A380C8A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2" w:type="dxa"/>
            <w:gridSpan w:val="2"/>
            <w:shd w:val="clear" w:color="auto" w:fill="FFCC99"/>
          </w:tcPr>
          <w:p w14:paraId="6345DDE7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62030C" w:rsidRPr="00CC3484" w14:paraId="630A6FAF" w14:textId="77777777" w:rsidTr="00BA473A">
        <w:trPr>
          <w:trHeight w:val="2400"/>
        </w:trPr>
        <w:tc>
          <w:tcPr>
            <w:tcW w:w="1287" w:type="dxa"/>
            <w:hideMark/>
          </w:tcPr>
          <w:p w14:paraId="7082DF3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Greenwald et al., 2011 (TAME trial)</w:t>
            </w:r>
          </w:p>
        </w:tc>
        <w:tc>
          <w:tcPr>
            <w:tcW w:w="1287" w:type="dxa"/>
            <w:gridSpan w:val="2"/>
            <w:hideMark/>
          </w:tcPr>
          <w:p w14:paraId="67BAD70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51</w:t>
            </w:r>
          </w:p>
        </w:tc>
        <w:tc>
          <w:tcPr>
            <w:tcW w:w="1287" w:type="dxa"/>
            <w:gridSpan w:val="2"/>
            <w:hideMark/>
          </w:tcPr>
          <w:p w14:paraId="05D8772C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500mg on days 1 and 15</w:t>
            </w:r>
          </w:p>
        </w:tc>
        <w:tc>
          <w:tcPr>
            <w:tcW w:w="1287" w:type="dxa"/>
            <w:gridSpan w:val="2"/>
            <w:hideMark/>
          </w:tcPr>
          <w:p w14:paraId="5C6092F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Proportion of patients with at least 1 serious infection at week 24.</w:t>
            </w:r>
          </w:p>
        </w:tc>
        <w:tc>
          <w:tcPr>
            <w:tcW w:w="1287" w:type="dxa"/>
            <w:gridSpan w:val="2"/>
            <w:hideMark/>
          </w:tcPr>
          <w:p w14:paraId="7FF338F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ACR20/50/70 response rates at week 24</w:t>
            </w:r>
          </w:p>
        </w:tc>
        <w:tc>
          <w:tcPr>
            <w:tcW w:w="1288" w:type="dxa"/>
            <w:gridSpan w:val="2"/>
            <w:hideMark/>
          </w:tcPr>
          <w:p w14:paraId="30DC5144" w14:textId="520254F1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3%: 1 patient developed pneumonia 45 d</w:t>
            </w:r>
            <w:r w:rsidR="00070287">
              <w:rPr>
                <w:sz w:val="18"/>
                <w:szCs w:val="18"/>
              </w:rPr>
              <w:t>ays</w:t>
            </w:r>
            <w:r w:rsidRPr="00CC3484">
              <w:rPr>
                <w:sz w:val="18"/>
                <w:szCs w:val="18"/>
              </w:rPr>
              <w:t xml:space="preserve"> after the second RTX infusion, which resolved after adequate treatment. </w:t>
            </w:r>
          </w:p>
        </w:tc>
        <w:tc>
          <w:tcPr>
            <w:tcW w:w="1287" w:type="dxa"/>
            <w:gridSpan w:val="2"/>
            <w:hideMark/>
          </w:tcPr>
          <w:p w14:paraId="0F265DC5" w14:textId="13ED2543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0.0%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4DE80DA8" w14:textId="44D9B18F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5 patients (15%) experienced a grade 3 AE. 55%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developed infections. The most common infections were upper respiratory tract infections and sinusitis. Mean duration was 10.7 d</w:t>
            </w:r>
            <w:r w:rsidR="00070287">
              <w:rPr>
                <w:sz w:val="18"/>
                <w:szCs w:val="18"/>
              </w:rPr>
              <w:t>ays</w:t>
            </w:r>
            <w:r w:rsidRPr="00CC3484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5A60BD9F" w14:textId="0EA3378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No patient experienced a grade 3 AE. 61%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developed infections. The most common infections were upper respiratory tract infections and sinusitis. Mean duration was 10.8 d</w:t>
            </w:r>
            <w:r w:rsidR="00070287">
              <w:rPr>
                <w:sz w:val="18"/>
                <w:szCs w:val="18"/>
              </w:rPr>
              <w:t>ays</w:t>
            </w:r>
            <w:r w:rsidRPr="00CC3484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4C576390" w14:textId="20881129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31 patients (94%) experienced at least one AE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4F936D3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HAQ-DI improved more in RTX treated patients but the study was not powered for statistical analysis. </w:t>
            </w:r>
          </w:p>
        </w:tc>
        <w:tc>
          <w:tcPr>
            <w:tcW w:w="1292" w:type="dxa"/>
            <w:gridSpan w:val="2"/>
            <w:hideMark/>
          </w:tcPr>
          <w:p w14:paraId="65D2CCD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 patients (6%) with at least one SAE: pneumonia and coronary artery occlusion (history of 4-vessel coronary artery bypass surgery). No deaths.</w:t>
            </w:r>
          </w:p>
        </w:tc>
      </w:tr>
      <w:tr w:rsidR="0062030C" w:rsidRPr="00CC3484" w14:paraId="37C64DDF" w14:textId="77777777" w:rsidTr="00BA473A">
        <w:trPr>
          <w:trHeight w:val="1440"/>
        </w:trPr>
        <w:tc>
          <w:tcPr>
            <w:tcW w:w="1287" w:type="dxa"/>
            <w:vMerge w:val="restart"/>
            <w:hideMark/>
          </w:tcPr>
          <w:p w14:paraId="226B834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CC3484">
              <w:rPr>
                <w:sz w:val="18"/>
                <w:szCs w:val="18"/>
              </w:rPr>
              <w:t>Tak</w:t>
            </w:r>
            <w:proofErr w:type="spellEnd"/>
            <w:r w:rsidRPr="00CC3484">
              <w:rPr>
                <w:sz w:val="18"/>
                <w:szCs w:val="18"/>
              </w:rPr>
              <w:t xml:space="preserve"> et al., 2011 (IMAGE trial)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1197706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748</w:t>
            </w:r>
          </w:p>
        </w:tc>
        <w:tc>
          <w:tcPr>
            <w:tcW w:w="1287" w:type="dxa"/>
            <w:gridSpan w:val="2"/>
            <w:hideMark/>
          </w:tcPr>
          <w:p w14:paraId="79BF780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500mg on days 1 and 15. Retreatment was permitted after week 24 if DAS28 was ≥2.6.</w:t>
            </w:r>
          </w:p>
        </w:tc>
        <w:tc>
          <w:tcPr>
            <w:tcW w:w="1287" w:type="dxa"/>
            <w:gridSpan w:val="2"/>
            <w:hideMark/>
          </w:tcPr>
          <w:p w14:paraId="416BA9BC" w14:textId="5D8C755F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Change in total </w:t>
            </w:r>
            <w:proofErr w:type="spellStart"/>
            <w:r w:rsidRPr="00CC3484">
              <w:rPr>
                <w:sz w:val="18"/>
                <w:szCs w:val="18"/>
              </w:rPr>
              <w:t>Genant</w:t>
            </w:r>
            <w:proofErr w:type="spellEnd"/>
            <w:r w:rsidRPr="00CC3484">
              <w:rPr>
                <w:sz w:val="18"/>
                <w:szCs w:val="18"/>
              </w:rPr>
              <w:t>-modified sharp score (</w:t>
            </w:r>
            <w:proofErr w:type="spellStart"/>
            <w:r w:rsidRPr="00CC3484">
              <w:rPr>
                <w:sz w:val="18"/>
                <w:szCs w:val="18"/>
              </w:rPr>
              <w:t>mTSS</w:t>
            </w:r>
            <w:proofErr w:type="spellEnd"/>
            <w:r w:rsidRPr="00CC3484">
              <w:rPr>
                <w:sz w:val="18"/>
                <w:szCs w:val="18"/>
              </w:rPr>
              <w:t>) from baseline to week 52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5A5B7660" w14:textId="317F58A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clear definition of secondary endpoints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2"/>
            <w:hideMark/>
          </w:tcPr>
          <w:p w14:paraId="01D91BF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01138DF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6639A9B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4D30239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4AD34B33" w14:textId="33009B05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189 patients (76%) experienced at least one AE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26F8C576" w14:textId="0DD91DFF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HAQ-DI significantly improv</w:t>
            </w:r>
            <w:r w:rsidR="00070287">
              <w:rPr>
                <w:sz w:val="18"/>
                <w:szCs w:val="18"/>
              </w:rPr>
              <w:t>ed at week 52 as compared to placebo.</w:t>
            </w:r>
          </w:p>
        </w:tc>
        <w:tc>
          <w:tcPr>
            <w:tcW w:w="1292" w:type="dxa"/>
            <w:gridSpan w:val="2"/>
            <w:hideMark/>
          </w:tcPr>
          <w:p w14:paraId="30BC02D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23 patients (9%) experienced at least one SAE. No deaths.</w:t>
            </w:r>
          </w:p>
        </w:tc>
      </w:tr>
      <w:tr w:rsidR="0062030C" w:rsidRPr="00CC3484" w14:paraId="745F35A6" w14:textId="77777777" w:rsidTr="00BA473A">
        <w:trPr>
          <w:trHeight w:val="1440"/>
        </w:trPr>
        <w:tc>
          <w:tcPr>
            <w:tcW w:w="1287" w:type="dxa"/>
            <w:vMerge/>
            <w:hideMark/>
          </w:tcPr>
          <w:p w14:paraId="4DA6345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hideMark/>
          </w:tcPr>
          <w:p w14:paraId="7C32964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3BBC86E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15. Retreatment was permitted after week 24 if DAS28 was ≥2.6.</w:t>
            </w:r>
          </w:p>
        </w:tc>
        <w:tc>
          <w:tcPr>
            <w:tcW w:w="1287" w:type="dxa"/>
            <w:gridSpan w:val="2"/>
            <w:hideMark/>
          </w:tcPr>
          <w:p w14:paraId="4A90F742" w14:textId="6CF36998" w:rsidR="0062030C" w:rsidRPr="00CC3484" w:rsidRDefault="0062030C" w:rsidP="00F271AC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Change in total </w:t>
            </w:r>
            <w:proofErr w:type="spellStart"/>
            <w:r w:rsidRPr="00CC3484">
              <w:rPr>
                <w:sz w:val="18"/>
                <w:szCs w:val="18"/>
              </w:rPr>
              <w:t>mTSS</w:t>
            </w:r>
            <w:proofErr w:type="spellEnd"/>
            <w:r w:rsidRPr="00CC3484">
              <w:rPr>
                <w:sz w:val="18"/>
                <w:szCs w:val="18"/>
              </w:rPr>
              <w:t xml:space="preserve"> from baseline to week 52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366A6B8E" w14:textId="27E5AF6E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clear definition of secondary endpoints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2"/>
            <w:hideMark/>
          </w:tcPr>
          <w:p w14:paraId="2BACF27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/>
            <w:hideMark/>
          </w:tcPr>
          <w:p w14:paraId="24DF7F5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2D246BC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/>
            <w:hideMark/>
          </w:tcPr>
          <w:p w14:paraId="6948200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0F01080E" w14:textId="765B4AC2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197 patients (79%) experienced at least one AE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359EC951" w14:textId="28902846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HAQ-DI significantly improved at week 52 as compared to </w:t>
            </w:r>
            <w:r w:rsidR="00070287">
              <w:rPr>
                <w:sz w:val="18"/>
                <w:szCs w:val="18"/>
              </w:rPr>
              <w:t>placebo.</w:t>
            </w:r>
          </w:p>
        </w:tc>
        <w:tc>
          <w:tcPr>
            <w:tcW w:w="1292" w:type="dxa"/>
            <w:gridSpan w:val="2"/>
            <w:hideMark/>
          </w:tcPr>
          <w:p w14:paraId="279E062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24 patients (10%) experienced at least one SAE. No deaths.</w:t>
            </w:r>
          </w:p>
        </w:tc>
      </w:tr>
      <w:tr w:rsidR="0062030C" w:rsidRPr="00CC3484" w14:paraId="40192AC1" w14:textId="77777777" w:rsidTr="00BA473A">
        <w:trPr>
          <w:trHeight w:val="1440"/>
        </w:trPr>
        <w:tc>
          <w:tcPr>
            <w:tcW w:w="1287" w:type="dxa"/>
            <w:vMerge w:val="restart"/>
            <w:hideMark/>
          </w:tcPr>
          <w:p w14:paraId="039A0A9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CC3484">
              <w:rPr>
                <w:sz w:val="18"/>
                <w:szCs w:val="18"/>
              </w:rPr>
              <w:lastRenderedPageBreak/>
              <w:t>Tak</w:t>
            </w:r>
            <w:proofErr w:type="spellEnd"/>
            <w:r w:rsidRPr="00CC3484">
              <w:rPr>
                <w:sz w:val="18"/>
                <w:szCs w:val="18"/>
              </w:rPr>
              <w:t xml:space="preserve"> et al., 2012 (Extension of the IMAGE trial)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4794B18C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748 (606 completed 104 weeks)</w:t>
            </w:r>
          </w:p>
        </w:tc>
        <w:tc>
          <w:tcPr>
            <w:tcW w:w="1287" w:type="dxa"/>
            <w:gridSpan w:val="2"/>
            <w:hideMark/>
          </w:tcPr>
          <w:p w14:paraId="2E6C234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500mg on days 1 and 15. Retreatment was permitted after week 24 if DAS28 was ≥2.6.</w:t>
            </w:r>
          </w:p>
        </w:tc>
        <w:tc>
          <w:tcPr>
            <w:tcW w:w="1287" w:type="dxa"/>
            <w:gridSpan w:val="2"/>
            <w:hideMark/>
          </w:tcPr>
          <w:p w14:paraId="0591FEFD" w14:textId="6BA4B2F9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primary endpoint defined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4CEFD91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Change in </w:t>
            </w:r>
            <w:proofErr w:type="spellStart"/>
            <w:r w:rsidRPr="00CC3484">
              <w:rPr>
                <w:sz w:val="18"/>
                <w:szCs w:val="18"/>
              </w:rPr>
              <w:t>mTSS</w:t>
            </w:r>
            <w:proofErr w:type="spellEnd"/>
            <w:r w:rsidRPr="00CC3484">
              <w:rPr>
                <w:sz w:val="18"/>
                <w:szCs w:val="18"/>
              </w:rPr>
              <w:t>, total erosion score and joint space narrowing score from baseline to week 104.</w:t>
            </w:r>
          </w:p>
        </w:tc>
        <w:tc>
          <w:tcPr>
            <w:tcW w:w="1288" w:type="dxa"/>
            <w:gridSpan w:val="2"/>
            <w:hideMark/>
          </w:tcPr>
          <w:p w14:paraId="2869505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6B3C819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0B4418C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Main progressive joint damage occurred from baseline to week 24. Thereafter only minimal change occurred.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4E76860B" w14:textId="06DD8DA3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Progressive joint damage develops in a near-linear fashion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34013D59" w14:textId="5865C9A5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206 patients (83%) with at least one AE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2E9B41A5" w14:textId="2FDD200E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HAQ-DI significantly improved at week 104 as compared to </w:t>
            </w:r>
            <w:r w:rsidR="00070287">
              <w:rPr>
                <w:sz w:val="18"/>
                <w:szCs w:val="18"/>
              </w:rPr>
              <w:t>placebo.</w:t>
            </w:r>
          </w:p>
        </w:tc>
        <w:tc>
          <w:tcPr>
            <w:tcW w:w="1292" w:type="dxa"/>
            <w:gridSpan w:val="2"/>
            <w:hideMark/>
          </w:tcPr>
          <w:p w14:paraId="15322744" w14:textId="0B8895A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37 patients (15%) with at least one SAE. 2 deaths: pneumonia and </w:t>
            </w:r>
            <w:r>
              <w:rPr>
                <w:sz w:val="18"/>
                <w:szCs w:val="18"/>
              </w:rPr>
              <w:t>unknown</w:t>
            </w:r>
            <w:r w:rsidRPr="00CC3484">
              <w:rPr>
                <w:sz w:val="18"/>
                <w:szCs w:val="18"/>
              </w:rPr>
              <w:t xml:space="preserve"> reason</w:t>
            </w:r>
            <w:r w:rsidR="00070287">
              <w:rPr>
                <w:sz w:val="18"/>
                <w:szCs w:val="18"/>
              </w:rPr>
              <w:t>.</w:t>
            </w:r>
          </w:p>
        </w:tc>
      </w:tr>
      <w:tr w:rsidR="0062030C" w:rsidRPr="00CC3484" w14:paraId="7AB5BEE7" w14:textId="77777777" w:rsidTr="00BA473A">
        <w:trPr>
          <w:trHeight w:val="1440"/>
        </w:trPr>
        <w:tc>
          <w:tcPr>
            <w:tcW w:w="1287" w:type="dxa"/>
            <w:vMerge/>
            <w:hideMark/>
          </w:tcPr>
          <w:p w14:paraId="2089F9C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hideMark/>
          </w:tcPr>
          <w:p w14:paraId="6840A5C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1323C21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15. Retreatment was permitted after week 24 if DAS28 was ≥2.6.</w:t>
            </w:r>
          </w:p>
        </w:tc>
        <w:tc>
          <w:tcPr>
            <w:tcW w:w="1287" w:type="dxa"/>
            <w:gridSpan w:val="2"/>
            <w:hideMark/>
          </w:tcPr>
          <w:p w14:paraId="5DDACD0B" w14:textId="6C11271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primary endpoint defined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2DF8F82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Change in </w:t>
            </w:r>
            <w:proofErr w:type="spellStart"/>
            <w:r w:rsidRPr="00CC3484">
              <w:rPr>
                <w:sz w:val="18"/>
                <w:szCs w:val="18"/>
              </w:rPr>
              <w:t>mTSS</w:t>
            </w:r>
            <w:proofErr w:type="spellEnd"/>
            <w:r w:rsidRPr="00CC3484">
              <w:rPr>
                <w:sz w:val="18"/>
                <w:szCs w:val="18"/>
              </w:rPr>
              <w:t>, total erosion score and joint space narrowing score from baseline to week 104.</w:t>
            </w:r>
          </w:p>
        </w:tc>
        <w:tc>
          <w:tcPr>
            <w:tcW w:w="1288" w:type="dxa"/>
            <w:gridSpan w:val="2"/>
            <w:hideMark/>
          </w:tcPr>
          <w:p w14:paraId="43551C9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/>
            <w:hideMark/>
          </w:tcPr>
          <w:p w14:paraId="333631E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412475F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Main progressive joint damage </w:t>
            </w:r>
            <w:r>
              <w:rPr>
                <w:sz w:val="18"/>
                <w:szCs w:val="18"/>
              </w:rPr>
              <w:t>occurred</w:t>
            </w:r>
            <w:r w:rsidRPr="00CC3484">
              <w:rPr>
                <w:sz w:val="18"/>
                <w:szCs w:val="18"/>
              </w:rPr>
              <w:t xml:space="preserve"> from baseline to week 24. Thereafter only minimal change occurred.</w:t>
            </w:r>
          </w:p>
        </w:tc>
        <w:tc>
          <w:tcPr>
            <w:tcW w:w="1287" w:type="dxa"/>
            <w:gridSpan w:val="2"/>
            <w:vMerge/>
            <w:hideMark/>
          </w:tcPr>
          <w:p w14:paraId="2ECDFD1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2F7320F7" w14:textId="704D9B44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217 patients (87%) with at least one AE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6EC473C0" w14:textId="413FF0E2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HAQ-DI significantly improved at week 104 as compared to </w:t>
            </w:r>
            <w:r w:rsidR="00070287">
              <w:rPr>
                <w:sz w:val="18"/>
                <w:szCs w:val="18"/>
              </w:rPr>
              <w:t>placebo.</w:t>
            </w:r>
          </w:p>
        </w:tc>
        <w:tc>
          <w:tcPr>
            <w:tcW w:w="1292" w:type="dxa"/>
            <w:gridSpan w:val="2"/>
            <w:hideMark/>
          </w:tcPr>
          <w:p w14:paraId="01998CA8" w14:textId="45E6EA2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33 patients (13%) with at least one SAE. 1 death: duodenal cancer</w:t>
            </w:r>
            <w:r w:rsidR="00070287">
              <w:rPr>
                <w:sz w:val="18"/>
                <w:szCs w:val="18"/>
              </w:rPr>
              <w:t>.</w:t>
            </w:r>
          </w:p>
        </w:tc>
      </w:tr>
      <w:tr w:rsidR="001D4D68" w:rsidRPr="00CC3484" w14:paraId="5DC2EEA2" w14:textId="77777777" w:rsidTr="00BA473A">
        <w:trPr>
          <w:trHeight w:val="347"/>
        </w:trPr>
        <w:tc>
          <w:tcPr>
            <w:tcW w:w="1287" w:type="dxa"/>
            <w:shd w:val="clear" w:color="auto" w:fill="FFCC99"/>
          </w:tcPr>
          <w:p w14:paraId="296994C3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527CD0FC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196A2CB7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194221CE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19178D97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288" w:type="dxa"/>
            <w:gridSpan w:val="2"/>
            <w:shd w:val="clear" w:color="auto" w:fill="FFCC99"/>
          </w:tcPr>
          <w:p w14:paraId="379FA4B6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027E9F3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4EAE5380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10C62587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1C9A7639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FFCC99"/>
          </w:tcPr>
          <w:p w14:paraId="6CB63BCD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92" w:type="dxa"/>
            <w:gridSpan w:val="2"/>
            <w:shd w:val="clear" w:color="auto" w:fill="FFCC99"/>
          </w:tcPr>
          <w:p w14:paraId="2621122C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62030C" w:rsidRPr="00CC3484" w14:paraId="1A547902" w14:textId="77777777" w:rsidTr="00BA473A">
        <w:trPr>
          <w:trHeight w:val="1200"/>
        </w:trPr>
        <w:tc>
          <w:tcPr>
            <w:tcW w:w="1287" w:type="dxa"/>
            <w:hideMark/>
          </w:tcPr>
          <w:p w14:paraId="1A49B61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Mariette et al., 2014 (SMART trial)</w:t>
            </w:r>
          </w:p>
        </w:tc>
        <w:tc>
          <w:tcPr>
            <w:tcW w:w="1287" w:type="dxa"/>
            <w:gridSpan w:val="2"/>
            <w:hideMark/>
          </w:tcPr>
          <w:p w14:paraId="18DB3FC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143</w:t>
            </w:r>
          </w:p>
        </w:tc>
        <w:tc>
          <w:tcPr>
            <w:tcW w:w="1287" w:type="dxa"/>
            <w:gridSpan w:val="2"/>
            <w:hideMark/>
          </w:tcPr>
          <w:p w14:paraId="2E2ADB0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 1 of week 24. Further retreatments were scheduled based on DAS28 &gt;3.2.</w:t>
            </w:r>
          </w:p>
        </w:tc>
        <w:tc>
          <w:tcPr>
            <w:tcW w:w="1287" w:type="dxa"/>
            <w:gridSpan w:val="2"/>
            <w:hideMark/>
          </w:tcPr>
          <w:p w14:paraId="3D21BA0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DAS28-CRP area under the curve over 104 weeks with a non-inferiority margin defined by 20% of the mean DAS28-CRP of the reference data. </w:t>
            </w:r>
          </w:p>
        </w:tc>
        <w:tc>
          <w:tcPr>
            <w:tcW w:w="1287" w:type="dxa"/>
            <w:gridSpan w:val="2"/>
            <w:hideMark/>
          </w:tcPr>
          <w:p w14:paraId="51EA0BCF" w14:textId="0BBFF411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DAS28-CRP, ACR20/50/70, EULAR response, low disease activity, remission rates, tender joint count, swollen joint count, number of required RTX courses, time to second retreatment, safety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2"/>
            <w:hideMark/>
          </w:tcPr>
          <w:p w14:paraId="1AD3F4A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505E103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43A22FB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400CFF0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4DA0AC4C" w14:textId="0FECCD63" w:rsidR="0062030C" w:rsidRPr="00CC3484" w:rsidRDefault="0062030C" w:rsidP="00C53E0E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61 patients (92%) experienced at least one </w:t>
            </w:r>
            <w:r w:rsidR="00C53E0E">
              <w:rPr>
                <w:sz w:val="18"/>
                <w:szCs w:val="18"/>
              </w:rPr>
              <w:t>treatment</w:t>
            </w:r>
            <w:r w:rsidR="00D15571">
              <w:rPr>
                <w:sz w:val="18"/>
                <w:szCs w:val="18"/>
              </w:rPr>
              <w:t xml:space="preserve"> </w:t>
            </w:r>
            <w:r w:rsidRPr="0020745C">
              <w:rPr>
                <w:sz w:val="18"/>
                <w:szCs w:val="18"/>
              </w:rPr>
              <w:t>AE</w:t>
            </w:r>
            <w:r w:rsidRPr="00CC3484">
              <w:rPr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2"/>
            <w:hideMark/>
          </w:tcPr>
          <w:p w14:paraId="27FECA02" w14:textId="09A18A95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No significant difference in </w:t>
            </w:r>
            <w:proofErr w:type="spellStart"/>
            <w:r w:rsidR="00FD2E65">
              <w:rPr>
                <w:sz w:val="18"/>
                <w:szCs w:val="18"/>
              </w:rPr>
              <w:t>QoL</w:t>
            </w:r>
            <w:proofErr w:type="spellEnd"/>
            <w:r w:rsidRPr="00CC3484">
              <w:rPr>
                <w:sz w:val="18"/>
                <w:szCs w:val="18"/>
              </w:rPr>
              <w:t xml:space="preserve"> was observed between the two treatment arms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92" w:type="dxa"/>
            <w:gridSpan w:val="2"/>
            <w:hideMark/>
          </w:tcPr>
          <w:p w14:paraId="749885DE" w14:textId="3F466ADB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19 patients (29%) experienced at least one SAE</w:t>
            </w:r>
            <w:r w:rsidR="00070287">
              <w:rPr>
                <w:sz w:val="18"/>
                <w:szCs w:val="18"/>
              </w:rPr>
              <w:t>.</w:t>
            </w:r>
          </w:p>
        </w:tc>
      </w:tr>
      <w:tr w:rsidR="0062030C" w:rsidRPr="00CC3484" w14:paraId="5CBE63C4" w14:textId="77777777" w:rsidTr="00BA473A">
        <w:trPr>
          <w:trHeight w:val="558"/>
        </w:trPr>
        <w:tc>
          <w:tcPr>
            <w:tcW w:w="1287" w:type="dxa"/>
            <w:hideMark/>
          </w:tcPr>
          <w:p w14:paraId="35B2EFC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Vital et al., 2015</w:t>
            </w:r>
          </w:p>
        </w:tc>
        <w:tc>
          <w:tcPr>
            <w:tcW w:w="1287" w:type="dxa"/>
            <w:gridSpan w:val="2"/>
            <w:hideMark/>
          </w:tcPr>
          <w:p w14:paraId="2CA6A6E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25</w:t>
            </w:r>
          </w:p>
        </w:tc>
        <w:tc>
          <w:tcPr>
            <w:tcW w:w="1287" w:type="dxa"/>
            <w:gridSpan w:val="2"/>
            <w:hideMark/>
          </w:tcPr>
          <w:p w14:paraId="105CAE94" w14:textId="1BD73AF8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1000mg at week 2 and one infusion of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 at week 4. Further RTX courses </w:t>
            </w:r>
            <w:r w:rsidRPr="00CC3484">
              <w:rPr>
                <w:sz w:val="18"/>
                <w:szCs w:val="18"/>
              </w:rPr>
              <w:lastRenderedPageBreak/>
              <w:t xml:space="preserve">(2x1000mg) were allowed after week 28 if DAS increased at least 0.6 points. </w:t>
            </w:r>
          </w:p>
        </w:tc>
        <w:tc>
          <w:tcPr>
            <w:tcW w:w="1287" w:type="dxa"/>
            <w:gridSpan w:val="2"/>
            <w:hideMark/>
          </w:tcPr>
          <w:p w14:paraId="4EA2170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 xml:space="preserve">Proportion of patients achieving </w:t>
            </w:r>
            <w:proofErr w:type="gramStart"/>
            <w:r w:rsidRPr="00CC3484">
              <w:rPr>
                <w:sz w:val="18"/>
                <w:szCs w:val="18"/>
              </w:rPr>
              <w:t>a</w:t>
            </w:r>
            <w:proofErr w:type="gramEnd"/>
            <w:r w:rsidRPr="00CC3484">
              <w:rPr>
                <w:sz w:val="18"/>
                <w:szCs w:val="18"/>
              </w:rPr>
              <w:t xml:space="preserve"> ACR20 response at week 28.</w:t>
            </w:r>
          </w:p>
        </w:tc>
        <w:tc>
          <w:tcPr>
            <w:tcW w:w="1287" w:type="dxa"/>
            <w:gridSpan w:val="2"/>
            <w:hideMark/>
          </w:tcPr>
          <w:p w14:paraId="3B59D79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EULAR and ACR20/50/70 response at weeks 14, 28, 40, and 52, numbers of </w:t>
            </w:r>
            <w:r>
              <w:rPr>
                <w:sz w:val="18"/>
                <w:szCs w:val="18"/>
              </w:rPr>
              <w:t>B cell</w:t>
            </w:r>
            <w:r w:rsidRPr="00CC3484">
              <w:rPr>
                <w:sz w:val="18"/>
                <w:szCs w:val="18"/>
              </w:rPr>
              <w:t xml:space="preserve">s, </w:t>
            </w:r>
            <w:r w:rsidRPr="00CC3484">
              <w:rPr>
                <w:sz w:val="18"/>
                <w:szCs w:val="18"/>
              </w:rPr>
              <w:lastRenderedPageBreak/>
              <w:t xml:space="preserve">immunoglobulin </w:t>
            </w:r>
            <w:proofErr w:type="spellStart"/>
            <w:r w:rsidRPr="00CC3484">
              <w:rPr>
                <w:sz w:val="18"/>
                <w:szCs w:val="18"/>
              </w:rPr>
              <w:t>titres</w:t>
            </w:r>
            <w:proofErr w:type="spellEnd"/>
            <w:r w:rsidRPr="00CC3484">
              <w:rPr>
                <w:sz w:val="18"/>
                <w:szCs w:val="18"/>
              </w:rPr>
              <w:t>, and adverse event rates</w:t>
            </w:r>
          </w:p>
        </w:tc>
        <w:tc>
          <w:tcPr>
            <w:tcW w:w="1288" w:type="dxa"/>
            <w:gridSpan w:val="2"/>
            <w:hideMark/>
          </w:tcPr>
          <w:p w14:paraId="00B054E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62.0%</w:t>
            </w:r>
          </w:p>
        </w:tc>
        <w:tc>
          <w:tcPr>
            <w:tcW w:w="1287" w:type="dxa"/>
            <w:gridSpan w:val="2"/>
            <w:hideMark/>
          </w:tcPr>
          <w:p w14:paraId="07B52F3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67.0%</w:t>
            </w:r>
          </w:p>
        </w:tc>
        <w:tc>
          <w:tcPr>
            <w:tcW w:w="1287" w:type="dxa"/>
            <w:gridSpan w:val="2"/>
            <w:hideMark/>
          </w:tcPr>
          <w:p w14:paraId="4CE0B435" w14:textId="10A9A7E8" w:rsidR="0062030C" w:rsidRPr="00CC3484" w:rsidRDefault="0062030C" w:rsidP="00C53E0E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W</w:t>
            </w:r>
            <w:r w:rsidR="00C53E0E">
              <w:rPr>
                <w:sz w:val="18"/>
                <w:szCs w:val="18"/>
              </w:rPr>
              <w:t>eek</w:t>
            </w:r>
            <w:r w:rsidRPr="00CC3484">
              <w:rPr>
                <w:sz w:val="18"/>
                <w:szCs w:val="18"/>
              </w:rPr>
              <w:t xml:space="preserve"> 40: ACR20 response: 31%. EULAR good or moderate response: </w:t>
            </w:r>
            <w:r w:rsidRPr="00CC3484">
              <w:rPr>
                <w:sz w:val="18"/>
                <w:szCs w:val="18"/>
              </w:rPr>
              <w:lastRenderedPageBreak/>
              <w:t xml:space="preserve">54%. WEEK 52: ACR20 response: 8%. EULAR good or moderate response: 17%. Differences in ACR50/70 and EULAR good response rates as well as immunoglobulin </w:t>
            </w:r>
            <w:proofErr w:type="spellStart"/>
            <w:r w:rsidRPr="00CC3484">
              <w:rPr>
                <w:sz w:val="18"/>
                <w:szCs w:val="18"/>
              </w:rPr>
              <w:t>titres</w:t>
            </w:r>
            <w:proofErr w:type="spellEnd"/>
            <w:r w:rsidRPr="00CC3484">
              <w:rPr>
                <w:sz w:val="18"/>
                <w:szCs w:val="18"/>
              </w:rPr>
              <w:t xml:space="preserve"> were not significant. </w:t>
            </w:r>
          </w:p>
        </w:tc>
        <w:tc>
          <w:tcPr>
            <w:tcW w:w="1287" w:type="dxa"/>
            <w:gridSpan w:val="2"/>
            <w:hideMark/>
          </w:tcPr>
          <w:p w14:paraId="636E442F" w14:textId="4CC0125A" w:rsidR="0062030C" w:rsidRPr="00CC3484" w:rsidRDefault="0062030C" w:rsidP="00C53E0E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W</w:t>
            </w:r>
            <w:r w:rsidR="00C53E0E">
              <w:rPr>
                <w:sz w:val="18"/>
                <w:szCs w:val="18"/>
              </w:rPr>
              <w:t>eek</w:t>
            </w:r>
            <w:r w:rsidRPr="00CC3484">
              <w:rPr>
                <w:sz w:val="18"/>
                <w:szCs w:val="18"/>
              </w:rPr>
              <w:t xml:space="preserve"> 40: ACR20 response: 75% (p=0.027). EULAR good or moderate response: 92% </w:t>
            </w:r>
            <w:r w:rsidRPr="00CC3484">
              <w:rPr>
                <w:sz w:val="18"/>
                <w:szCs w:val="18"/>
              </w:rPr>
              <w:lastRenderedPageBreak/>
              <w:t xml:space="preserve">(p=0.035). WEEK 52: ACR20 response: 45% (p=0.043). EULAR good or moderate response: 64% (p=0.021). Differences in ACR50/70 and EULAR good response rates as well as immunoglobulin </w:t>
            </w:r>
            <w:proofErr w:type="spellStart"/>
            <w:r w:rsidRPr="00CC3484">
              <w:rPr>
                <w:sz w:val="18"/>
                <w:szCs w:val="18"/>
              </w:rPr>
              <w:t>titres</w:t>
            </w:r>
            <w:proofErr w:type="spellEnd"/>
            <w:r w:rsidRPr="00CC3484">
              <w:rPr>
                <w:sz w:val="18"/>
                <w:szCs w:val="18"/>
              </w:rPr>
              <w:t xml:space="preserve"> were not significant. </w:t>
            </w:r>
          </w:p>
        </w:tc>
        <w:tc>
          <w:tcPr>
            <w:tcW w:w="1287" w:type="dxa"/>
            <w:gridSpan w:val="2"/>
            <w:hideMark/>
          </w:tcPr>
          <w:p w14:paraId="183AA90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 xml:space="preserve">54 </w:t>
            </w:r>
            <w:r>
              <w:rPr>
                <w:sz w:val="18"/>
                <w:szCs w:val="18"/>
              </w:rPr>
              <w:t>AEs</w:t>
            </w:r>
            <w:r w:rsidRPr="00CC3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occurred</w:t>
            </w:r>
            <w:r w:rsidRPr="00CC3484">
              <w:rPr>
                <w:sz w:val="18"/>
                <w:szCs w:val="18"/>
              </w:rPr>
              <w:t xml:space="preserve"> during 12 months</w:t>
            </w:r>
          </w:p>
        </w:tc>
        <w:tc>
          <w:tcPr>
            <w:tcW w:w="1287" w:type="dxa"/>
            <w:gridSpan w:val="2"/>
            <w:hideMark/>
          </w:tcPr>
          <w:p w14:paraId="1D731EE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92" w:type="dxa"/>
            <w:gridSpan w:val="2"/>
            <w:hideMark/>
          </w:tcPr>
          <w:p w14:paraId="64744D17" w14:textId="292C32DE" w:rsidR="0062030C" w:rsidRPr="00CC3484" w:rsidRDefault="0062030C" w:rsidP="00C53E0E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 SAE: el</w:t>
            </w:r>
            <w:r w:rsidR="00C53E0E">
              <w:rPr>
                <w:sz w:val="18"/>
                <w:szCs w:val="18"/>
              </w:rPr>
              <w:t>ective surgery hospitalization.</w:t>
            </w:r>
          </w:p>
        </w:tc>
      </w:tr>
      <w:tr w:rsidR="0062030C" w:rsidRPr="00CC3484" w14:paraId="11B81E30" w14:textId="77777777" w:rsidTr="00BA473A">
        <w:trPr>
          <w:trHeight w:val="699"/>
        </w:trPr>
        <w:tc>
          <w:tcPr>
            <w:tcW w:w="1287" w:type="dxa"/>
            <w:vMerge w:val="restart"/>
            <w:hideMark/>
          </w:tcPr>
          <w:p w14:paraId="0F062C1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CC3484">
              <w:rPr>
                <w:sz w:val="18"/>
                <w:szCs w:val="18"/>
              </w:rPr>
              <w:t>Peterfy</w:t>
            </w:r>
            <w:proofErr w:type="spellEnd"/>
            <w:r w:rsidRPr="00CC3484">
              <w:rPr>
                <w:sz w:val="18"/>
                <w:szCs w:val="18"/>
              </w:rPr>
              <w:t xml:space="preserve"> et al., 2016 (RA-SCORE trial)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7AD58E8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185</w:t>
            </w:r>
          </w:p>
        </w:tc>
        <w:tc>
          <w:tcPr>
            <w:tcW w:w="1287" w:type="dxa"/>
            <w:gridSpan w:val="2"/>
            <w:hideMark/>
          </w:tcPr>
          <w:p w14:paraId="6DC9784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500mg on days 1 and 15. Retreatment was permitted after week 24 if DAS28 was ≥2.6.</w:t>
            </w:r>
          </w:p>
        </w:tc>
        <w:tc>
          <w:tcPr>
            <w:tcW w:w="1287" w:type="dxa"/>
            <w:gridSpan w:val="2"/>
            <w:hideMark/>
          </w:tcPr>
          <w:p w14:paraId="6519291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Change in RAMRIS erosion score from baseline to week 24</w:t>
            </w:r>
          </w:p>
        </w:tc>
        <w:tc>
          <w:tcPr>
            <w:tcW w:w="1287" w:type="dxa"/>
            <w:gridSpan w:val="2"/>
            <w:hideMark/>
          </w:tcPr>
          <w:p w14:paraId="11495E3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Change from baseline in RAMRIS erosion score at week 12 and 52, RAMRIS synovitis and </w:t>
            </w:r>
            <w:proofErr w:type="spellStart"/>
            <w:r w:rsidRPr="00CC3484">
              <w:rPr>
                <w:sz w:val="18"/>
                <w:szCs w:val="18"/>
              </w:rPr>
              <w:t>osteitis</w:t>
            </w:r>
            <w:proofErr w:type="spellEnd"/>
            <w:r w:rsidRPr="00CC3484">
              <w:rPr>
                <w:sz w:val="18"/>
                <w:szCs w:val="18"/>
              </w:rPr>
              <w:t xml:space="preserve"> at weeks 12, 24, and 52, and </w:t>
            </w:r>
            <w:proofErr w:type="spellStart"/>
            <w:r w:rsidRPr="00CC3484">
              <w:rPr>
                <w:sz w:val="18"/>
                <w:szCs w:val="18"/>
              </w:rPr>
              <w:t>porportion</w:t>
            </w:r>
            <w:proofErr w:type="spellEnd"/>
            <w:r w:rsidRPr="00CC3484">
              <w:rPr>
                <w:sz w:val="18"/>
                <w:szCs w:val="18"/>
              </w:rPr>
              <w:t xml:space="preserve"> of patients with no progression in RAMRIS erosion score at weeks 24, and 52. </w:t>
            </w:r>
          </w:p>
        </w:tc>
        <w:tc>
          <w:tcPr>
            <w:tcW w:w="1288" w:type="dxa"/>
            <w:gridSpan w:val="2"/>
            <w:hideMark/>
          </w:tcPr>
          <w:p w14:paraId="46AF890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57284B0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3FD3069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 w:val="restart"/>
            <w:hideMark/>
          </w:tcPr>
          <w:p w14:paraId="1DB0876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hideMark/>
          </w:tcPr>
          <w:p w14:paraId="18483FC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35 patients (56.5%) experienced at least one TEAE</w:t>
            </w:r>
          </w:p>
        </w:tc>
        <w:tc>
          <w:tcPr>
            <w:tcW w:w="1287" w:type="dxa"/>
            <w:gridSpan w:val="2"/>
            <w:hideMark/>
          </w:tcPr>
          <w:p w14:paraId="26C2C32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92" w:type="dxa"/>
            <w:gridSpan w:val="2"/>
            <w:hideMark/>
          </w:tcPr>
          <w:p w14:paraId="18C67D0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 patients (4.8%) experienced at least one SAE. No deaths</w:t>
            </w:r>
          </w:p>
        </w:tc>
      </w:tr>
      <w:tr w:rsidR="0062030C" w:rsidRPr="00CC3484" w14:paraId="35AE7C99" w14:textId="77777777" w:rsidTr="00BA473A">
        <w:trPr>
          <w:trHeight w:val="1440"/>
        </w:trPr>
        <w:tc>
          <w:tcPr>
            <w:tcW w:w="1287" w:type="dxa"/>
            <w:vMerge/>
            <w:hideMark/>
          </w:tcPr>
          <w:p w14:paraId="5F6ACF5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hideMark/>
          </w:tcPr>
          <w:p w14:paraId="1FA0DD0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794D082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15. Retreatment was permitted after week 24 if DAS28 was ≥2.6.</w:t>
            </w:r>
          </w:p>
        </w:tc>
        <w:tc>
          <w:tcPr>
            <w:tcW w:w="1287" w:type="dxa"/>
            <w:gridSpan w:val="2"/>
            <w:hideMark/>
          </w:tcPr>
          <w:p w14:paraId="1B3E7E2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Change in RAMRIS erosion score from baseline to week 24</w:t>
            </w:r>
          </w:p>
        </w:tc>
        <w:tc>
          <w:tcPr>
            <w:tcW w:w="1287" w:type="dxa"/>
            <w:gridSpan w:val="2"/>
            <w:hideMark/>
          </w:tcPr>
          <w:p w14:paraId="4779C09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Change from baseline in RAMRIS erosion score at week 12 and 52, RAMRIS synovitis and </w:t>
            </w:r>
            <w:proofErr w:type="spellStart"/>
            <w:r w:rsidRPr="00CC3484">
              <w:rPr>
                <w:sz w:val="18"/>
                <w:szCs w:val="18"/>
              </w:rPr>
              <w:t>osteitis</w:t>
            </w:r>
            <w:proofErr w:type="spellEnd"/>
            <w:r w:rsidRPr="00CC3484">
              <w:rPr>
                <w:sz w:val="18"/>
                <w:szCs w:val="18"/>
              </w:rPr>
              <w:t xml:space="preserve"> at </w:t>
            </w:r>
            <w:r w:rsidRPr="00CC3484">
              <w:rPr>
                <w:sz w:val="18"/>
                <w:szCs w:val="18"/>
              </w:rPr>
              <w:lastRenderedPageBreak/>
              <w:t xml:space="preserve">weeks 12, 24, and 52, and </w:t>
            </w:r>
            <w:proofErr w:type="spellStart"/>
            <w:r w:rsidRPr="00CC3484">
              <w:rPr>
                <w:sz w:val="18"/>
                <w:szCs w:val="18"/>
              </w:rPr>
              <w:t>porportion</w:t>
            </w:r>
            <w:proofErr w:type="spellEnd"/>
            <w:r w:rsidRPr="00CC3484">
              <w:rPr>
                <w:sz w:val="18"/>
                <w:szCs w:val="18"/>
              </w:rPr>
              <w:t xml:space="preserve"> of patients with no progression in RAMRIS erosion score at weeks 24, and 52. </w:t>
            </w:r>
          </w:p>
        </w:tc>
        <w:tc>
          <w:tcPr>
            <w:tcW w:w="1288" w:type="dxa"/>
            <w:gridSpan w:val="2"/>
            <w:hideMark/>
          </w:tcPr>
          <w:p w14:paraId="24DDF2FD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 information.</w:t>
            </w:r>
          </w:p>
        </w:tc>
        <w:tc>
          <w:tcPr>
            <w:tcW w:w="1287" w:type="dxa"/>
            <w:gridSpan w:val="2"/>
            <w:vMerge/>
            <w:hideMark/>
          </w:tcPr>
          <w:p w14:paraId="71BFAC1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613A334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7" w:type="dxa"/>
            <w:gridSpan w:val="2"/>
            <w:vMerge/>
            <w:hideMark/>
          </w:tcPr>
          <w:p w14:paraId="10CD9F0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hideMark/>
          </w:tcPr>
          <w:p w14:paraId="3B5ABBE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36 patients (60%) experienced at least one TEAE</w:t>
            </w:r>
          </w:p>
        </w:tc>
        <w:tc>
          <w:tcPr>
            <w:tcW w:w="1287" w:type="dxa"/>
            <w:gridSpan w:val="2"/>
            <w:hideMark/>
          </w:tcPr>
          <w:p w14:paraId="22E6E65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92" w:type="dxa"/>
            <w:gridSpan w:val="2"/>
            <w:hideMark/>
          </w:tcPr>
          <w:p w14:paraId="0F1F0FD1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4 patients (6.7%) experienced at least one SAE. No deaths.</w:t>
            </w:r>
          </w:p>
        </w:tc>
      </w:tr>
      <w:tr w:rsidR="0062030C" w:rsidRPr="00CC3484" w14:paraId="7A3C98F7" w14:textId="77777777" w:rsidTr="00BA473A">
        <w:trPr>
          <w:trHeight w:val="480"/>
        </w:trPr>
        <w:tc>
          <w:tcPr>
            <w:tcW w:w="15450" w:type="dxa"/>
            <w:gridSpan w:val="23"/>
            <w:shd w:val="clear" w:color="auto" w:fill="FFCC99"/>
          </w:tcPr>
          <w:p w14:paraId="41F54A9F" w14:textId="77777777" w:rsidR="0062030C" w:rsidRPr="00CC3484" w:rsidRDefault="001047C8" w:rsidP="00DE668B">
            <w:pPr>
              <w:spacing w:after="16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Sjö</w:t>
            </w:r>
            <w:r w:rsidR="0062030C" w:rsidRPr="00EA5B69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g</w:t>
            </w:r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r</w:t>
            </w:r>
            <w:r w:rsidR="0062030C" w:rsidRPr="00EA5B69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en</w:t>
            </w:r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’s</w:t>
            </w:r>
            <w:proofErr w:type="spellEnd"/>
            <w:r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 xml:space="preserve"> s</w:t>
            </w:r>
            <w:r w:rsidR="0062030C" w:rsidRPr="00EA5B69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yndrome</w:t>
            </w:r>
          </w:p>
        </w:tc>
      </w:tr>
      <w:tr w:rsidR="001D4D68" w:rsidRPr="00CC3484" w14:paraId="21309704" w14:textId="77777777" w:rsidTr="00BA473A">
        <w:trPr>
          <w:trHeight w:val="480"/>
        </w:trPr>
        <w:tc>
          <w:tcPr>
            <w:tcW w:w="1310" w:type="dxa"/>
            <w:gridSpan w:val="2"/>
            <w:shd w:val="clear" w:color="auto" w:fill="FFCC99"/>
            <w:hideMark/>
          </w:tcPr>
          <w:p w14:paraId="01C53F7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gridSpan w:val="2"/>
            <w:shd w:val="clear" w:color="auto" w:fill="FFCC99"/>
            <w:hideMark/>
          </w:tcPr>
          <w:p w14:paraId="07202B92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282" w:type="dxa"/>
            <w:gridSpan w:val="2"/>
            <w:shd w:val="clear" w:color="auto" w:fill="FFCC99"/>
            <w:hideMark/>
          </w:tcPr>
          <w:p w14:paraId="78343F2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283" w:type="dxa"/>
            <w:gridSpan w:val="2"/>
            <w:shd w:val="clear" w:color="auto" w:fill="FFCC99"/>
            <w:hideMark/>
          </w:tcPr>
          <w:p w14:paraId="0766C394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283" w:type="dxa"/>
            <w:gridSpan w:val="2"/>
            <w:shd w:val="clear" w:color="auto" w:fill="FFCC99"/>
            <w:hideMark/>
          </w:tcPr>
          <w:p w14:paraId="0C69AD0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283" w:type="dxa"/>
            <w:gridSpan w:val="2"/>
            <w:shd w:val="clear" w:color="auto" w:fill="FFCC99"/>
            <w:hideMark/>
          </w:tcPr>
          <w:p w14:paraId="4D1EC798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FFCC99"/>
            <w:hideMark/>
          </w:tcPr>
          <w:p w14:paraId="30DBEFF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FFCC99"/>
            <w:hideMark/>
          </w:tcPr>
          <w:p w14:paraId="00914666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FFCC99"/>
            <w:hideMark/>
          </w:tcPr>
          <w:p w14:paraId="604679F7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FFCC99"/>
            <w:hideMark/>
          </w:tcPr>
          <w:p w14:paraId="0AC1DA71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FFCC99"/>
            <w:hideMark/>
          </w:tcPr>
          <w:p w14:paraId="49E5DA98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shd w:val="clear" w:color="auto" w:fill="FFCC99"/>
            <w:hideMark/>
          </w:tcPr>
          <w:p w14:paraId="11FFE63E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62030C" w:rsidRPr="00CC3484" w14:paraId="52315427" w14:textId="77777777" w:rsidTr="00BA473A">
        <w:trPr>
          <w:trHeight w:val="699"/>
        </w:trPr>
        <w:tc>
          <w:tcPr>
            <w:tcW w:w="1310" w:type="dxa"/>
            <w:gridSpan w:val="2"/>
            <w:hideMark/>
          </w:tcPr>
          <w:p w14:paraId="601E3AA9" w14:textId="77777777" w:rsidR="0062030C" w:rsidRPr="005D02C8" w:rsidRDefault="0062030C" w:rsidP="00DE668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D02C8">
              <w:rPr>
                <w:sz w:val="18"/>
                <w:szCs w:val="18"/>
              </w:rPr>
              <w:t>Dass</w:t>
            </w:r>
            <w:proofErr w:type="spellEnd"/>
            <w:r w:rsidRPr="005D02C8">
              <w:rPr>
                <w:sz w:val="18"/>
                <w:szCs w:val="18"/>
              </w:rPr>
              <w:t xml:space="preserve"> et al., 2008</w:t>
            </w:r>
          </w:p>
        </w:tc>
        <w:tc>
          <w:tcPr>
            <w:tcW w:w="1311" w:type="dxa"/>
            <w:gridSpan w:val="2"/>
            <w:hideMark/>
          </w:tcPr>
          <w:p w14:paraId="02BD46CE" w14:textId="77777777" w:rsidR="0062030C" w:rsidRPr="005B7412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5B7412">
              <w:rPr>
                <w:sz w:val="18"/>
                <w:szCs w:val="18"/>
              </w:rPr>
              <w:t>17</w:t>
            </w:r>
          </w:p>
        </w:tc>
        <w:tc>
          <w:tcPr>
            <w:tcW w:w="1282" w:type="dxa"/>
            <w:gridSpan w:val="2"/>
            <w:hideMark/>
          </w:tcPr>
          <w:p w14:paraId="32520568" w14:textId="77777777" w:rsidR="0062030C" w:rsidRPr="005D02C8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5D02C8">
              <w:rPr>
                <w:sz w:val="18"/>
                <w:szCs w:val="18"/>
              </w:rPr>
              <w:t>1000mg on days 1 and 15</w:t>
            </w:r>
          </w:p>
        </w:tc>
        <w:tc>
          <w:tcPr>
            <w:tcW w:w="1283" w:type="dxa"/>
            <w:gridSpan w:val="2"/>
            <w:hideMark/>
          </w:tcPr>
          <w:p w14:paraId="0FA645F2" w14:textId="3847672C" w:rsidR="0062030C" w:rsidRPr="005D02C8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5D02C8">
              <w:rPr>
                <w:sz w:val="18"/>
                <w:szCs w:val="18"/>
              </w:rPr>
              <w:t xml:space="preserve">20% improvement on fatigue </w:t>
            </w:r>
            <w:r w:rsidR="008943AE" w:rsidRPr="005D02C8">
              <w:rPr>
                <w:sz w:val="18"/>
                <w:szCs w:val="18"/>
              </w:rPr>
              <w:t>visual analogue scale (</w:t>
            </w:r>
            <w:r w:rsidRPr="005D02C8">
              <w:rPr>
                <w:sz w:val="18"/>
                <w:szCs w:val="18"/>
              </w:rPr>
              <w:t>VAS</w:t>
            </w:r>
            <w:r w:rsidR="008943AE" w:rsidRPr="005D02C8">
              <w:rPr>
                <w:sz w:val="18"/>
                <w:szCs w:val="18"/>
              </w:rPr>
              <w:t>)</w:t>
            </w:r>
            <w:r w:rsidRPr="005D02C8">
              <w:rPr>
                <w:sz w:val="18"/>
                <w:szCs w:val="18"/>
              </w:rPr>
              <w:t xml:space="preserve"> score at 6 months</w:t>
            </w:r>
          </w:p>
        </w:tc>
        <w:tc>
          <w:tcPr>
            <w:tcW w:w="1283" w:type="dxa"/>
            <w:gridSpan w:val="2"/>
            <w:hideMark/>
          </w:tcPr>
          <w:p w14:paraId="78D61340" w14:textId="05152C0B" w:rsidR="0062030C" w:rsidRPr="005D02C8" w:rsidRDefault="0062030C" w:rsidP="00F14D87">
            <w:pPr>
              <w:spacing w:line="240" w:lineRule="auto"/>
              <w:rPr>
                <w:sz w:val="18"/>
                <w:szCs w:val="18"/>
              </w:rPr>
            </w:pPr>
            <w:r w:rsidRPr="005B7412">
              <w:rPr>
                <w:sz w:val="18"/>
                <w:szCs w:val="18"/>
              </w:rPr>
              <w:t>SF-36 questionnaire, Functional Assessment of Chronic Illness Therapy-Fatigue, Profile of Fatigu</w:t>
            </w:r>
            <w:r w:rsidR="00F14D87" w:rsidRPr="005D02C8">
              <w:rPr>
                <w:sz w:val="18"/>
                <w:szCs w:val="18"/>
              </w:rPr>
              <w:t>e and Discomfort questionnaire</w:t>
            </w:r>
            <w:r w:rsidRPr="005D02C8">
              <w:rPr>
                <w:sz w:val="18"/>
                <w:szCs w:val="18"/>
              </w:rPr>
              <w:t xml:space="preserve">, </w:t>
            </w:r>
            <w:proofErr w:type="spellStart"/>
            <w:r w:rsidRPr="005D02C8">
              <w:rPr>
                <w:sz w:val="18"/>
                <w:szCs w:val="18"/>
              </w:rPr>
              <w:t>sicca</w:t>
            </w:r>
            <w:proofErr w:type="spellEnd"/>
            <w:r w:rsidRPr="005D02C8">
              <w:rPr>
                <w:sz w:val="18"/>
                <w:szCs w:val="18"/>
              </w:rPr>
              <w:t xml:space="preserve"> score, combined fatigue and discomfort score, Schirmer-1 test, ESR, and CRP.</w:t>
            </w:r>
          </w:p>
        </w:tc>
        <w:tc>
          <w:tcPr>
            <w:tcW w:w="1283" w:type="dxa"/>
            <w:gridSpan w:val="2"/>
            <w:hideMark/>
          </w:tcPr>
          <w:p w14:paraId="47AD833F" w14:textId="02D45773" w:rsidR="0062030C" w:rsidRPr="005D02C8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5D02C8">
              <w:rPr>
                <w:sz w:val="18"/>
                <w:szCs w:val="18"/>
              </w:rPr>
              <w:t>87.5% (p=0.36)</w:t>
            </w:r>
            <w:r w:rsidR="00F14D87" w:rsidRPr="005D02C8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hideMark/>
          </w:tcPr>
          <w:p w14:paraId="6690F19C" w14:textId="77777777" w:rsidR="0062030C" w:rsidRPr="005D02C8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5D02C8">
              <w:rPr>
                <w:sz w:val="18"/>
                <w:szCs w:val="18"/>
              </w:rPr>
              <w:t>55.6%</w:t>
            </w:r>
          </w:p>
        </w:tc>
        <w:tc>
          <w:tcPr>
            <w:tcW w:w="1283" w:type="dxa"/>
            <w:gridSpan w:val="2"/>
            <w:hideMark/>
          </w:tcPr>
          <w:p w14:paraId="6191D2D3" w14:textId="2A6A245D" w:rsidR="0062030C" w:rsidRPr="00270F57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5D02C8">
              <w:rPr>
                <w:sz w:val="18"/>
                <w:szCs w:val="18"/>
              </w:rPr>
              <w:t>Mean improvement in fatigue VAS at 6 months: 49.5% (p=0.24)</w:t>
            </w:r>
            <w:r w:rsidR="00F14D87" w:rsidRPr="005B7412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hideMark/>
          </w:tcPr>
          <w:p w14:paraId="3251CABC" w14:textId="49F55B8E" w:rsidR="0062030C" w:rsidRPr="00270F57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5D02C8">
              <w:rPr>
                <w:sz w:val="18"/>
                <w:szCs w:val="18"/>
              </w:rPr>
              <w:t>Mean improvement in fatigue VAS at 6 months: 20.5%</w:t>
            </w:r>
            <w:r w:rsidR="00F14D87" w:rsidRPr="005B7412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hideMark/>
          </w:tcPr>
          <w:p w14:paraId="06DB5F39" w14:textId="77777777" w:rsidR="0062030C" w:rsidRPr="00B81BD8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5D02C8">
              <w:rPr>
                <w:sz w:val="18"/>
                <w:szCs w:val="18"/>
              </w:rPr>
              <w:t>No clear information. 2 patients experienced infusion re</w:t>
            </w:r>
            <w:r w:rsidRPr="00B81BD8">
              <w:rPr>
                <w:sz w:val="18"/>
                <w:szCs w:val="18"/>
              </w:rPr>
              <w:t xml:space="preserve">actions. </w:t>
            </w:r>
          </w:p>
        </w:tc>
        <w:tc>
          <w:tcPr>
            <w:tcW w:w="1283" w:type="dxa"/>
            <w:gridSpan w:val="2"/>
            <w:hideMark/>
          </w:tcPr>
          <w:p w14:paraId="28E0C7C7" w14:textId="1F32D643" w:rsidR="0062030C" w:rsidRPr="00CC3484" w:rsidRDefault="0062030C" w:rsidP="007F21B0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Significant improvement in social functioning score of SF-36 after 6 months of RTX therapy (p=0.01). Difference in mental health domain score of SF-36 was not significant (p=0.06). No significant change was seen in the mental component summary of the SF-36, the physical health component of SF-36 and pain VAS.  Significant reduction in </w:t>
            </w:r>
            <w:r w:rsidR="007F21B0" w:rsidRPr="00CC3484">
              <w:rPr>
                <w:sz w:val="18"/>
                <w:szCs w:val="18"/>
              </w:rPr>
              <w:t>Profile of Fatigu</w:t>
            </w:r>
            <w:r w:rsidR="007F21B0">
              <w:rPr>
                <w:sz w:val="18"/>
                <w:szCs w:val="18"/>
              </w:rPr>
              <w:t xml:space="preserve">e and </w:t>
            </w:r>
            <w:r w:rsidR="007F21B0">
              <w:rPr>
                <w:sz w:val="18"/>
                <w:szCs w:val="18"/>
              </w:rPr>
              <w:lastRenderedPageBreak/>
              <w:t>Discomfort questionnaire</w:t>
            </w:r>
            <w:r w:rsidRPr="00CC3484">
              <w:rPr>
                <w:sz w:val="18"/>
                <w:szCs w:val="18"/>
              </w:rPr>
              <w:t xml:space="preserve"> (p=0.026)</w:t>
            </w:r>
            <w:r w:rsidR="00F14D87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hideMark/>
          </w:tcPr>
          <w:p w14:paraId="525CEE5D" w14:textId="09355AC4" w:rsidR="0062030C" w:rsidRPr="00CC3484" w:rsidRDefault="0062030C" w:rsidP="00FD2E65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3 S</w:t>
            </w:r>
            <w:r>
              <w:rPr>
                <w:sz w:val="18"/>
                <w:szCs w:val="18"/>
              </w:rPr>
              <w:t>AEs</w:t>
            </w:r>
            <w:r w:rsidRPr="00CC3484">
              <w:rPr>
                <w:sz w:val="18"/>
                <w:szCs w:val="18"/>
              </w:rPr>
              <w:t xml:space="preserve"> were observed in 2 patients: serum sickness in 1 patient, gastroenteritis and palpitations leading to 2 hospitalizations in another patient. </w:t>
            </w:r>
            <w:r>
              <w:rPr>
                <w:sz w:val="18"/>
                <w:szCs w:val="18"/>
              </w:rPr>
              <w:t>No information</w:t>
            </w:r>
            <w:r w:rsidRPr="00CC3484">
              <w:rPr>
                <w:sz w:val="18"/>
                <w:szCs w:val="18"/>
              </w:rPr>
              <w:t xml:space="preserve"> </w:t>
            </w:r>
            <w:r w:rsidR="00FD2E65">
              <w:rPr>
                <w:sz w:val="18"/>
                <w:szCs w:val="18"/>
              </w:rPr>
              <w:t>on</w:t>
            </w:r>
            <w:r w:rsidRPr="00CC3484">
              <w:rPr>
                <w:sz w:val="18"/>
                <w:szCs w:val="18"/>
              </w:rPr>
              <w:t xml:space="preserve"> deaths. </w:t>
            </w:r>
          </w:p>
        </w:tc>
      </w:tr>
      <w:tr w:rsidR="00BA473A" w:rsidRPr="00CC3484" w14:paraId="6B7D717A" w14:textId="77777777" w:rsidTr="00BA473A">
        <w:trPr>
          <w:trHeight w:val="1920"/>
        </w:trPr>
        <w:tc>
          <w:tcPr>
            <w:tcW w:w="1310" w:type="dxa"/>
            <w:gridSpan w:val="2"/>
            <w:hideMark/>
          </w:tcPr>
          <w:p w14:paraId="49764B5C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Meijer et al., 2010</w:t>
            </w:r>
          </w:p>
        </w:tc>
        <w:tc>
          <w:tcPr>
            <w:tcW w:w="1311" w:type="dxa"/>
            <w:gridSpan w:val="2"/>
            <w:hideMark/>
          </w:tcPr>
          <w:p w14:paraId="5A35F78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gridSpan w:val="2"/>
            <w:hideMark/>
          </w:tcPr>
          <w:p w14:paraId="6366514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</w:t>
            </w:r>
          </w:p>
        </w:tc>
        <w:tc>
          <w:tcPr>
            <w:tcW w:w="1283" w:type="dxa"/>
            <w:gridSpan w:val="2"/>
            <w:hideMark/>
          </w:tcPr>
          <w:p w14:paraId="6749236D" w14:textId="353F4F7A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Significant improvement in stimulated whole saliva flow rate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hideMark/>
          </w:tcPr>
          <w:p w14:paraId="7BE0F87E" w14:textId="6865988C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Salivary/lacrimal function, immunologic variables, subjective variables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hideMark/>
          </w:tcPr>
          <w:p w14:paraId="00A9E932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gridSpan w:val="2"/>
            <w:hideMark/>
          </w:tcPr>
          <w:p w14:paraId="1163DA8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gridSpan w:val="2"/>
            <w:hideMark/>
          </w:tcPr>
          <w:p w14:paraId="3EC39C8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>B cell</w:t>
            </w:r>
            <w:r w:rsidRPr="00CC3484">
              <w:rPr>
                <w:sz w:val="18"/>
                <w:szCs w:val="18"/>
              </w:rPr>
              <w:t xml:space="preserve"> depletion was achieved.</w:t>
            </w:r>
          </w:p>
        </w:tc>
        <w:tc>
          <w:tcPr>
            <w:tcW w:w="1283" w:type="dxa"/>
            <w:gridSpan w:val="2"/>
            <w:hideMark/>
          </w:tcPr>
          <w:p w14:paraId="7158B57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No significant change in </w:t>
            </w:r>
            <w:r>
              <w:rPr>
                <w:sz w:val="18"/>
                <w:szCs w:val="18"/>
              </w:rPr>
              <w:t>B cell</w:t>
            </w:r>
            <w:r w:rsidRPr="00CC3484">
              <w:rPr>
                <w:sz w:val="18"/>
                <w:szCs w:val="18"/>
              </w:rPr>
              <w:t xml:space="preserve"> number. </w:t>
            </w:r>
          </w:p>
        </w:tc>
        <w:tc>
          <w:tcPr>
            <w:tcW w:w="1283" w:type="dxa"/>
            <w:gridSpan w:val="2"/>
            <w:hideMark/>
          </w:tcPr>
          <w:p w14:paraId="73361388" w14:textId="56B0F484" w:rsidR="0062030C" w:rsidRPr="00270F57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B81BD8">
              <w:rPr>
                <w:sz w:val="18"/>
                <w:szCs w:val="18"/>
              </w:rPr>
              <w:t>No clear information</w:t>
            </w:r>
            <w:r w:rsidR="00070287" w:rsidRPr="005B7412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hideMark/>
          </w:tcPr>
          <w:p w14:paraId="7C9833ED" w14:textId="2139ADBD" w:rsidR="0062030C" w:rsidRPr="00270F57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B81BD8">
              <w:rPr>
                <w:sz w:val="18"/>
                <w:szCs w:val="18"/>
              </w:rPr>
              <w:t xml:space="preserve">Significant improvement in MFI score and SF-36 score for vitality as compared with </w:t>
            </w:r>
            <w:r w:rsidR="00070287" w:rsidRPr="00B81BD8">
              <w:rPr>
                <w:sz w:val="18"/>
                <w:szCs w:val="18"/>
              </w:rPr>
              <w:t>placebo</w:t>
            </w:r>
            <w:r w:rsidRPr="00B81BD8">
              <w:rPr>
                <w:sz w:val="18"/>
                <w:szCs w:val="18"/>
              </w:rPr>
              <w:t xml:space="preserve"> was achieved. Furthermore all VAS scores for oral and ocular </w:t>
            </w:r>
            <w:proofErr w:type="spellStart"/>
            <w:r w:rsidRPr="00B81BD8">
              <w:rPr>
                <w:sz w:val="18"/>
                <w:szCs w:val="18"/>
              </w:rPr>
              <w:t>sicca</w:t>
            </w:r>
            <w:proofErr w:type="spellEnd"/>
            <w:r w:rsidRPr="00B81BD8">
              <w:rPr>
                <w:sz w:val="18"/>
                <w:szCs w:val="18"/>
              </w:rPr>
              <w:t xml:space="preserve"> </w:t>
            </w:r>
            <w:r w:rsidR="00FD2E65" w:rsidRPr="005B7412">
              <w:rPr>
                <w:sz w:val="18"/>
                <w:szCs w:val="18"/>
              </w:rPr>
              <w:t>symptoms</w:t>
            </w:r>
            <w:r w:rsidRPr="00270F57">
              <w:rPr>
                <w:sz w:val="18"/>
                <w:szCs w:val="18"/>
              </w:rPr>
              <w:t xml:space="preserve"> improved significantly. </w:t>
            </w:r>
          </w:p>
        </w:tc>
        <w:tc>
          <w:tcPr>
            <w:tcW w:w="1283" w:type="dxa"/>
            <w:hideMark/>
          </w:tcPr>
          <w:p w14:paraId="760CFE1C" w14:textId="77777777" w:rsidR="0062030C" w:rsidRPr="00B81BD8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B81BD8">
              <w:rPr>
                <w:sz w:val="18"/>
                <w:szCs w:val="18"/>
              </w:rPr>
              <w:t>No information.</w:t>
            </w:r>
          </w:p>
        </w:tc>
      </w:tr>
      <w:tr w:rsidR="00BA473A" w:rsidRPr="00CC3484" w14:paraId="455AC50B" w14:textId="77777777" w:rsidTr="00BA473A">
        <w:trPr>
          <w:trHeight w:val="416"/>
        </w:trPr>
        <w:tc>
          <w:tcPr>
            <w:tcW w:w="1310" w:type="dxa"/>
            <w:gridSpan w:val="2"/>
            <w:hideMark/>
          </w:tcPr>
          <w:p w14:paraId="4677588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  <w:lang w:val="fr-FR"/>
              </w:rPr>
            </w:pPr>
            <w:proofErr w:type="spellStart"/>
            <w:r w:rsidRPr="00CC3484">
              <w:rPr>
                <w:sz w:val="18"/>
                <w:szCs w:val="18"/>
                <w:lang w:val="fr-FR"/>
              </w:rPr>
              <w:t>Devauchelle-Pensec</w:t>
            </w:r>
            <w:proofErr w:type="spellEnd"/>
            <w:r w:rsidRPr="00CC3484">
              <w:rPr>
                <w:sz w:val="18"/>
                <w:szCs w:val="18"/>
                <w:lang w:val="fr-FR"/>
              </w:rPr>
              <w:t xml:space="preserve"> et al., 2014 (TEARS trial)</w:t>
            </w:r>
          </w:p>
        </w:tc>
        <w:tc>
          <w:tcPr>
            <w:tcW w:w="1311" w:type="dxa"/>
            <w:gridSpan w:val="2"/>
            <w:hideMark/>
          </w:tcPr>
          <w:p w14:paraId="6B8BC24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120</w:t>
            </w:r>
          </w:p>
        </w:tc>
        <w:tc>
          <w:tcPr>
            <w:tcW w:w="1282" w:type="dxa"/>
            <w:gridSpan w:val="2"/>
            <w:hideMark/>
          </w:tcPr>
          <w:p w14:paraId="6BA80C94" w14:textId="17C5C994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on days 1 and 15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hideMark/>
          </w:tcPr>
          <w:p w14:paraId="28F7895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Improvement of at least 30mm in 2 of 4 VASs by week 24.</w:t>
            </w:r>
          </w:p>
        </w:tc>
        <w:tc>
          <w:tcPr>
            <w:tcW w:w="1283" w:type="dxa"/>
            <w:gridSpan w:val="2"/>
            <w:hideMark/>
          </w:tcPr>
          <w:p w14:paraId="3B5DC1E0" w14:textId="2E3A72A4" w:rsidR="0062030C" w:rsidRPr="00E0142B" w:rsidRDefault="0062030C" w:rsidP="00C53E0E">
            <w:pPr>
              <w:spacing w:line="240" w:lineRule="auto"/>
              <w:rPr>
                <w:sz w:val="18"/>
                <w:szCs w:val="18"/>
              </w:rPr>
            </w:pPr>
            <w:r w:rsidRPr="004659D0">
              <w:rPr>
                <w:sz w:val="18"/>
                <w:szCs w:val="18"/>
              </w:rPr>
              <w:t>Variations from baseline in the individual VAS scores at weeks 6 and 16, disease ac</w:t>
            </w:r>
            <w:r w:rsidR="00C53E0E">
              <w:rPr>
                <w:sz w:val="18"/>
                <w:szCs w:val="18"/>
              </w:rPr>
              <w:t>tivity, systemic manifestations and</w:t>
            </w:r>
            <w:r w:rsidRPr="004659D0">
              <w:rPr>
                <w:sz w:val="18"/>
                <w:szCs w:val="18"/>
              </w:rPr>
              <w:t xml:space="preserve"> treatment activity </w:t>
            </w:r>
            <w:r w:rsidR="00C53E0E">
              <w:rPr>
                <w:sz w:val="18"/>
                <w:szCs w:val="18"/>
              </w:rPr>
              <w:t>as assessed by the investigator.</w:t>
            </w:r>
          </w:p>
        </w:tc>
        <w:tc>
          <w:tcPr>
            <w:tcW w:w="1283" w:type="dxa"/>
            <w:gridSpan w:val="2"/>
            <w:hideMark/>
          </w:tcPr>
          <w:p w14:paraId="16E38957" w14:textId="1253FD20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23.0%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the primary endpoint. This was not a significant difference to patients treated with </w:t>
            </w:r>
            <w:r w:rsidR="00070287">
              <w:rPr>
                <w:sz w:val="18"/>
                <w:szCs w:val="18"/>
              </w:rPr>
              <w:t>placebo</w:t>
            </w:r>
            <w:r w:rsidRPr="00CC348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83" w:type="dxa"/>
            <w:gridSpan w:val="2"/>
            <w:hideMark/>
          </w:tcPr>
          <w:p w14:paraId="321895B7" w14:textId="0A092D4A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22%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the primary endpoint</w:t>
            </w:r>
            <w:r w:rsidR="00070287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hideMark/>
          </w:tcPr>
          <w:p w14:paraId="74344F6A" w14:textId="3F31C552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37.5%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a 30-mm decrease in the VAS fatigue score at week 6 (p&lt;0.001)</w:t>
            </w:r>
            <w:r w:rsidR="00503699">
              <w:rPr>
                <w:sz w:val="18"/>
                <w:szCs w:val="18"/>
              </w:rPr>
              <w:t xml:space="preserve"> </w:t>
            </w:r>
            <w:r w:rsidRPr="00CC3484">
              <w:rPr>
                <w:sz w:val="18"/>
                <w:szCs w:val="18"/>
              </w:rPr>
              <w:t>and 32.6% at week 16 (p=0.012). At week 24 significant improvements were seen in the levels of IgG, IgA, IgM, and beta2-microglobulin. BAFF did not decrease significantly.</w:t>
            </w:r>
          </w:p>
        </w:tc>
        <w:tc>
          <w:tcPr>
            <w:tcW w:w="1283" w:type="dxa"/>
            <w:gridSpan w:val="2"/>
            <w:hideMark/>
          </w:tcPr>
          <w:p w14:paraId="15D78FB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15.7% </w:t>
            </w:r>
            <w:r>
              <w:rPr>
                <w:sz w:val="18"/>
                <w:szCs w:val="18"/>
              </w:rPr>
              <w:t>of patients</w:t>
            </w:r>
            <w:r w:rsidRPr="00CC3484">
              <w:rPr>
                <w:sz w:val="18"/>
                <w:szCs w:val="18"/>
              </w:rPr>
              <w:t xml:space="preserve"> achieved a 30-mm decrease in the VAS fatigue score at week 6 and 4.1% at week 16. </w:t>
            </w:r>
          </w:p>
        </w:tc>
        <w:tc>
          <w:tcPr>
            <w:tcW w:w="1283" w:type="dxa"/>
            <w:gridSpan w:val="2"/>
            <w:hideMark/>
          </w:tcPr>
          <w:p w14:paraId="09B1433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55 patients experienced at least one AE (87.3%). Infusion reactions </w:t>
            </w:r>
            <w:r>
              <w:rPr>
                <w:sz w:val="18"/>
                <w:szCs w:val="18"/>
              </w:rPr>
              <w:t>occurred</w:t>
            </w:r>
            <w:r w:rsidRPr="00CC3484">
              <w:rPr>
                <w:sz w:val="18"/>
                <w:szCs w:val="18"/>
              </w:rPr>
              <w:t xml:space="preserve"> significantly more often in the RTX group. </w:t>
            </w:r>
          </w:p>
        </w:tc>
        <w:tc>
          <w:tcPr>
            <w:tcW w:w="1283" w:type="dxa"/>
            <w:gridSpan w:val="2"/>
            <w:hideMark/>
          </w:tcPr>
          <w:p w14:paraId="706C3F63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hideMark/>
          </w:tcPr>
          <w:p w14:paraId="03C8B1D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13 patients (20.6%) experienced at least one SAE. No deaths. </w:t>
            </w:r>
          </w:p>
        </w:tc>
      </w:tr>
      <w:tr w:rsidR="00BA473A" w:rsidRPr="00CC3484" w14:paraId="26737D04" w14:textId="77777777" w:rsidTr="00BA473A">
        <w:trPr>
          <w:trHeight w:val="720"/>
        </w:trPr>
        <w:tc>
          <w:tcPr>
            <w:tcW w:w="1310" w:type="dxa"/>
            <w:gridSpan w:val="2"/>
            <w:tcBorders>
              <w:bottom w:val="single" w:sz="4" w:space="0" w:color="auto"/>
            </w:tcBorders>
            <w:hideMark/>
          </w:tcPr>
          <w:p w14:paraId="4646053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Bowman et al., 2017 (TRACTISS)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hideMark/>
          </w:tcPr>
          <w:p w14:paraId="0743277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131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hideMark/>
          </w:tcPr>
          <w:p w14:paraId="364DA5D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 at weeks 0, 2,24 and 26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5BE0305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Achievement of a reduction of at least </w:t>
            </w:r>
            <w:r w:rsidRPr="00CC3484">
              <w:rPr>
                <w:sz w:val="18"/>
                <w:szCs w:val="18"/>
              </w:rPr>
              <w:lastRenderedPageBreak/>
              <w:t>30% in the VAS assessment of either fatigue or oral dryness at week 48.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42ABC13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 xml:space="preserve">Measurements of salivary </w:t>
            </w:r>
            <w:r w:rsidRPr="00CC3484">
              <w:rPr>
                <w:sz w:val="18"/>
                <w:szCs w:val="18"/>
              </w:rPr>
              <w:lastRenderedPageBreak/>
              <w:t>and lacrimal flow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5220309F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39.3% (p=0.76)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37F6353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0.375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7B63E5E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4276C859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61F0CF7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61 patients with at least one AE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6E5470A8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difference concerning SF-36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hideMark/>
          </w:tcPr>
          <w:p w14:paraId="3872C81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 xml:space="preserve">9 patients with at least one </w:t>
            </w:r>
            <w:r w:rsidRPr="00CC3484">
              <w:rPr>
                <w:sz w:val="18"/>
                <w:szCs w:val="18"/>
              </w:rPr>
              <w:lastRenderedPageBreak/>
              <w:t>SAE. No deaths</w:t>
            </w:r>
          </w:p>
        </w:tc>
      </w:tr>
      <w:tr w:rsidR="00BA473A" w:rsidRPr="00CC3484" w14:paraId="19FE84E5" w14:textId="77777777" w:rsidTr="00BA473A">
        <w:trPr>
          <w:trHeight w:val="1439"/>
        </w:trPr>
        <w:tc>
          <w:tcPr>
            <w:tcW w:w="1310" w:type="dxa"/>
            <w:gridSpan w:val="2"/>
            <w:tcBorders>
              <w:bottom w:val="single" w:sz="4" w:space="0" w:color="auto"/>
            </w:tcBorders>
            <w:hideMark/>
          </w:tcPr>
          <w:p w14:paraId="378FC7B0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lastRenderedPageBreak/>
              <w:t>Fisher et al., 2018 (</w:t>
            </w:r>
            <w:proofErr w:type="spellStart"/>
            <w:r w:rsidRPr="00CC3484">
              <w:rPr>
                <w:sz w:val="18"/>
                <w:szCs w:val="18"/>
              </w:rPr>
              <w:t>substudy</w:t>
            </w:r>
            <w:proofErr w:type="spellEnd"/>
            <w:r w:rsidRPr="00CC3484">
              <w:rPr>
                <w:sz w:val="18"/>
                <w:szCs w:val="18"/>
              </w:rPr>
              <w:t xml:space="preserve"> of TRACTISS)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hideMark/>
          </w:tcPr>
          <w:p w14:paraId="21EC7E7C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52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hideMark/>
          </w:tcPr>
          <w:p w14:paraId="08BD22D5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1000mg  at weeks 0, 2,24 and 27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5AEDF94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Total ultrasound score at weeks 16 and 48 as compared to baseline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7681FA74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No secondary endpoints defined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73721B2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7B89112A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546482A6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2EF5070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091B6087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See original study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14:paraId="7A52CB5E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See original study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hideMark/>
          </w:tcPr>
          <w:p w14:paraId="5550DB6B" w14:textId="77777777" w:rsidR="0062030C" w:rsidRPr="00CC3484" w:rsidRDefault="0062030C" w:rsidP="00DE668B">
            <w:pPr>
              <w:spacing w:line="240" w:lineRule="auto"/>
              <w:rPr>
                <w:sz w:val="18"/>
                <w:szCs w:val="18"/>
              </w:rPr>
            </w:pPr>
            <w:r w:rsidRPr="00CC3484">
              <w:rPr>
                <w:sz w:val="18"/>
                <w:szCs w:val="18"/>
              </w:rPr>
              <w:t>See original study</w:t>
            </w:r>
          </w:p>
        </w:tc>
      </w:tr>
      <w:tr w:rsidR="00694479" w:rsidRPr="00CC3484" w14:paraId="43C316C8" w14:textId="77777777" w:rsidTr="00BA473A">
        <w:trPr>
          <w:trHeight w:val="450"/>
        </w:trPr>
        <w:tc>
          <w:tcPr>
            <w:tcW w:w="15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14:paraId="543D03AE" w14:textId="77777777" w:rsidR="00694479" w:rsidRPr="00CC3484" w:rsidRDefault="00694479" w:rsidP="0069447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694479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Spondyloarthropathy</w:t>
            </w:r>
            <w:proofErr w:type="spellEnd"/>
          </w:p>
        </w:tc>
      </w:tr>
      <w:tr w:rsidR="00BA473A" w:rsidRPr="00CC3484" w14:paraId="382A8603" w14:textId="77777777" w:rsidTr="00BA473A">
        <w:trPr>
          <w:trHeight w:val="428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E4DD810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66BCBE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F63CA8C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25E2AB6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1995765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2BA77E9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69704A8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A9A60CB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F803BB0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57EB704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93FD364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09D935A" w14:textId="77777777" w:rsidR="001D4D68" w:rsidRPr="0025711C" w:rsidRDefault="001D4D68" w:rsidP="001D4D68">
            <w:pPr>
              <w:spacing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BA473A" w:rsidRPr="00CC3484" w14:paraId="556D1AB8" w14:textId="77777777" w:rsidTr="00BA473A">
        <w:trPr>
          <w:trHeight w:val="72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0246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Song et al., 2010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0CEC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20 (10 TNF inhibitor naive and 10 TNF inhibitor failures)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9D3D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1000mg twice given 2 weeks apart. Additional courses were given upon flare.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0F64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Proportion of patients with ASAS20 response at week 24.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4E43" w14:textId="48E846D2" w:rsidR="00694479" w:rsidRPr="00CC3484" w:rsidRDefault="00694479" w:rsidP="00FD2E65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 xml:space="preserve">Proportion of patients with </w:t>
            </w:r>
            <w:proofErr w:type="gramStart"/>
            <w:r w:rsidRPr="00CC3484">
              <w:rPr>
                <w:sz w:val="18"/>
              </w:rPr>
              <w:t>a</w:t>
            </w:r>
            <w:proofErr w:type="gramEnd"/>
            <w:r w:rsidRPr="00CC3484">
              <w:rPr>
                <w:sz w:val="18"/>
              </w:rPr>
              <w:t xml:space="preserve"> ASAS40 response, a BASDAI20 response, or a BASDAI50 response, partial remission according to ASAS criteria, and mean improvement in BASDAI, BASFI and health-related </w:t>
            </w:r>
            <w:proofErr w:type="spellStart"/>
            <w:r w:rsidR="00FD2E65">
              <w:rPr>
                <w:sz w:val="18"/>
              </w:rPr>
              <w:t>QoL</w:t>
            </w:r>
            <w:proofErr w:type="spellEnd"/>
            <w:r w:rsidRPr="00CC3484">
              <w:rPr>
                <w:sz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3F80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 xml:space="preserve">40% </w:t>
            </w:r>
            <w:r>
              <w:rPr>
                <w:sz w:val="18"/>
              </w:rPr>
              <w:t>of patients</w:t>
            </w:r>
            <w:r w:rsidRPr="00CC3484">
              <w:rPr>
                <w:sz w:val="18"/>
              </w:rPr>
              <w:t xml:space="preserve"> achieved ASAS20 response.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DF33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8F3A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 xml:space="preserve">Combined response rates: 25% </w:t>
            </w:r>
            <w:r>
              <w:rPr>
                <w:sz w:val="18"/>
              </w:rPr>
              <w:t>of patients</w:t>
            </w:r>
            <w:r w:rsidRPr="00CC3484">
              <w:rPr>
                <w:sz w:val="18"/>
              </w:rPr>
              <w:t xml:space="preserve"> achieved ASAS40 response, 15% achieved partial remission, </w:t>
            </w:r>
            <w:proofErr w:type="gramStart"/>
            <w:r w:rsidRPr="00CC3484">
              <w:rPr>
                <w:sz w:val="18"/>
              </w:rPr>
              <w:t>40</w:t>
            </w:r>
            <w:proofErr w:type="gramEnd"/>
            <w:r w:rsidRPr="00CC3484">
              <w:rPr>
                <w:sz w:val="18"/>
              </w:rPr>
              <w:t xml:space="preserve">% achieved BASDAI20 </w:t>
            </w:r>
            <w:proofErr w:type="spellStart"/>
            <w:r w:rsidRPr="00CC3484">
              <w:rPr>
                <w:sz w:val="18"/>
              </w:rPr>
              <w:t>repsonse</w:t>
            </w:r>
            <w:proofErr w:type="spellEnd"/>
            <w:r w:rsidRPr="00CC3484">
              <w:rPr>
                <w:sz w:val="18"/>
              </w:rPr>
              <w:t xml:space="preserve"> and 25% </w:t>
            </w:r>
            <w:proofErr w:type="spellStart"/>
            <w:r w:rsidRPr="00CC3484">
              <w:rPr>
                <w:sz w:val="18"/>
              </w:rPr>
              <w:t>achiev</w:t>
            </w:r>
            <w:proofErr w:type="spellEnd"/>
            <w:r w:rsidRPr="00CC3484">
              <w:rPr>
                <w:sz w:val="18"/>
              </w:rPr>
              <w:t xml:space="preserve"> BASDAI50 response. Patients naive to TNF inhibitors showed higher response rates according to ASAS20 (50%), ASAS40 (40%), partial remission </w:t>
            </w:r>
            <w:r w:rsidRPr="00CC3484">
              <w:rPr>
                <w:sz w:val="18"/>
              </w:rPr>
              <w:lastRenderedPageBreak/>
              <w:t>(30%), BASDAI20 (60%), and BASDAI50 (50%).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8CE5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No control.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0B73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 xml:space="preserve">90 </w:t>
            </w:r>
            <w:r>
              <w:rPr>
                <w:sz w:val="18"/>
              </w:rPr>
              <w:t>AEs</w:t>
            </w:r>
            <w:r w:rsidRPr="00CC3484">
              <w:rPr>
                <w:sz w:val="18"/>
              </w:rPr>
              <w:t xml:space="preserve"> </w:t>
            </w:r>
            <w:r>
              <w:rPr>
                <w:sz w:val="18"/>
              </w:rPr>
              <w:t>occurred</w:t>
            </w:r>
            <w:r w:rsidRPr="00CC3484">
              <w:rPr>
                <w:sz w:val="18"/>
              </w:rPr>
              <w:t xml:space="preserve"> until week 24. The most common were upper respiratory tract infections and infusion reactions.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27F3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No clear information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61B5" w14:textId="445B1E03" w:rsidR="00694479" w:rsidRPr="00CC3484" w:rsidRDefault="00694479" w:rsidP="00FD2E65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5 S</w:t>
            </w:r>
            <w:r>
              <w:rPr>
                <w:sz w:val="18"/>
              </w:rPr>
              <w:t>AEs</w:t>
            </w:r>
            <w:r w:rsidRPr="00CC3484">
              <w:rPr>
                <w:sz w:val="18"/>
              </w:rPr>
              <w:t xml:space="preserve">: surgical treatment of </w:t>
            </w:r>
            <w:proofErr w:type="spellStart"/>
            <w:r w:rsidRPr="00CC3484">
              <w:rPr>
                <w:sz w:val="18"/>
              </w:rPr>
              <w:t>haemorrhoids</w:t>
            </w:r>
            <w:proofErr w:type="spellEnd"/>
            <w:r w:rsidRPr="00CC3484">
              <w:rPr>
                <w:sz w:val="18"/>
              </w:rPr>
              <w:t xml:space="preserve"> prior to baseline, ulnar fracture, nephrolithiasis, skin abscess, and gastrointestinal bleeding. None of these were considered as related to study drug. </w:t>
            </w:r>
            <w:r>
              <w:rPr>
                <w:sz w:val="18"/>
              </w:rPr>
              <w:t>No information</w:t>
            </w:r>
            <w:r w:rsidR="00FD2E65">
              <w:rPr>
                <w:sz w:val="18"/>
              </w:rPr>
              <w:t xml:space="preserve"> on</w:t>
            </w:r>
            <w:r w:rsidRPr="00CC3484">
              <w:rPr>
                <w:sz w:val="18"/>
              </w:rPr>
              <w:t xml:space="preserve"> death</w:t>
            </w:r>
            <w:r w:rsidR="00FD2E65">
              <w:rPr>
                <w:sz w:val="18"/>
              </w:rPr>
              <w:t>s</w:t>
            </w:r>
            <w:r w:rsidRPr="00CC3484">
              <w:rPr>
                <w:sz w:val="18"/>
              </w:rPr>
              <w:t>.</w:t>
            </w:r>
          </w:p>
        </w:tc>
      </w:tr>
      <w:tr w:rsidR="00BA473A" w:rsidRPr="00CC3484" w14:paraId="5CBB092D" w14:textId="77777777" w:rsidTr="00BA473A">
        <w:trPr>
          <w:trHeight w:val="72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E700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Song et al., 2013 (Follow-up trial of Song et al., 2010)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C2E3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8124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1000mg twice given 2 weeks apart. Additional courses were given upon flare.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387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No primary endpoint defined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E688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No secondary endpoint defined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A3A1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487B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6D3A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1C0B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A0E6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554C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No clear information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11DD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</w:tr>
      <w:tr w:rsidR="00BA473A" w:rsidRPr="00CC3484" w14:paraId="7A81A3FA" w14:textId="77777777" w:rsidTr="00BA473A">
        <w:trPr>
          <w:trHeight w:val="72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DE8A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Jimenez et al., 2012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09C7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1998" w14:textId="77777777" w:rsidR="00694479" w:rsidRPr="007D503B" w:rsidRDefault="00694479" w:rsidP="00694479">
            <w:pPr>
              <w:spacing w:line="240" w:lineRule="auto"/>
              <w:rPr>
                <w:sz w:val="18"/>
              </w:rPr>
            </w:pPr>
            <w:r w:rsidRPr="007D503B">
              <w:rPr>
                <w:sz w:val="18"/>
              </w:rPr>
              <w:t>1000mg on days 0 and 14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B144" w14:textId="617EEACD" w:rsidR="00694479" w:rsidRPr="007D503B" w:rsidRDefault="00C6663D" w:rsidP="00311F55">
            <w:pPr>
              <w:spacing w:line="240" w:lineRule="auto"/>
              <w:rPr>
                <w:sz w:val="18"/>
              </w:rPr>
            </w:pPr>
            <w:r w:rsidRPr="007D503B">
              <w:rPr>
                <w:sz w:val="18"/>
              </w:rPr>
              <w:t xml:space="preserve">Psoriatic arthritis </w:t>
            </w:r>
            <w:r w:rsidR="00694479" w:rsidRPr="007D503B">
              <w:rPr>
                <w:sz w:val="18"/>
              </w:rPr>
              <w:t>response criteria (</w:t>
            </w:r>
            <w:proofErr w:type="spellStart"/>
            <w:r w:rsidR="00694479" w:rsidRPr="007D503B">
              <w:rPr>
                <w:sz w:val="18"/>
              </w:rPr>
              <w:t>PsARC</w:t>
            </w:r>
            <w:proofErr w:type="spellEnd"/>
            <w:r w:rsidR="00694479" w:rsidRPr="007D503B">
              <w:rPr>
                <w:sz w:val="18"/>
              </w:rPr>
              <w:t xml:space="preserve">) improvement by 30% of tender and swollen joint count or if only one fulfilled, an additional 30% improvement of VAS patient global assessment or evaluator global </w:t>
            </w:r>
            <w:r w:rsidR="00311F55" w:rsidRPr="007D503B">
              <w:rPr>
                <w:sz w:val="18"/>
              </w:rPr>
              <w:t>assessment</w:t>
            </w:r>
            <w:r w:rsidR="00694479" w:rsidRPr="007D503B">
              <w:rPr>
                <w:sz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3767" w14:textId="5CEE1647" w:rsidR="00694479" w:rsidRPr="007D503B" w:rsidRDefault="00694479" w:rsidP="00311F55">
            <w:pPr>
              <w:spacing w:line="240" w:lineRule="auto"/>
              <w:rPr>
                <w:sz w:val="18"/>
              </w:rPr>
            </w:pPr>
            <w:r w:rsidRPr="007D503B">
              <w:rPr>
                <w:sz w:val="18"/>
              </w:rPr>
              <w:t xml:space="preserve">Changes in DAS28, simplified disease activity index, clinical disease activity </w:t>
            </w:r>
            <w:r w:rsidR="00311F55" w:rsidRPr="007D503B">
              <w:rPr>
                <w:sz w:val="18"/>
              </w:rPr>
              <w:t>index</w:t>
            </w:r>
            <w:r w:rsidRPr="007D503B">
              <w:rPr>
                <w:sz w:val="18"/>
              </w:rPr>
              <w:t xml:space="preserve">, </w:t>
            </w:r>
            <w:proofErr w:type="gramStart"/>
            <w:r w:rsidR="007D503B" w:rsidRPr="007D503B">
              <w:rPr>
                <w:sz w:val="18"/>
              </w:rPr>
              <w:t>d</w:t>
            </w:r>
            <w:r w:rsidRPr="007D503B">
              <w:rPr>
                <w:sz w:val="18"/>
              </w:rPr>
              <w:t>isease</w:t>
            </w:r>
            <w:proofErr w:type="gramEnd"/>
            <w:r w:rsidRPr="007D503B">
              <w:rPr>
                <w:sz w:val="18"/>
              </w:rPr>
              <w:t xml:space="preserve"> activity index for </w:t>
            </w:r>
            <w:proofErr w:type="spellStart"/>
            <w:r w:rsidRPr="007D503B">
              <w:rPr>
                <w:sz w:val="18"/>
              </w:rPr>
              <w:t>PsA</w:t>
            </w:r>
            <w:proofErr w:type="spellEnd"/>
            <w:r w:rsidRPr="007D503B">
              <w:rPr>
                <w:sz w:val="18"/>
              </w:rPr>
              <w:t>, and HAQ.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18A6" w14:textId="77777777" w:rsidR="00694479" w:rsidRPr="007D503B" w:rsidRDefault="00694479" w:rsidP="00694479">
            <w:pPr>
              <w:spacing w:line="240" w:lineRule="auto"/>
              <w:rPr>
                <w:sz w:val="18"/>
              </w:rPr>
            </w:pPr>
            <w:r w:rsidRPr="007D503B">
              <w:rPr>
                <w:sz w:val="18"/>
              </w:rPr>
              <w:t xml:space="preserve">56% of patients achieved ≥30% improvement by </w:t>
            </w:r>
            <w:proofErr w:type="spellStart"/>
            <w:r w:rsidRPr="007D503B">
              <w:rPr>
                <w:sz w:val="18"/>
              </w:rPr>
              <w:t>PsARC</w:t>
            </w:r>
            <w:proofErr w:type="spellEnd"/>
            <w:r w:rsidRPr="007D503B">
              <w:rPr>
                <w:sz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74EB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2253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information.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AE1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control.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5F9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No clear information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424D" w14:textId="77777777" w:rsidR="00694479" w:rsidRPr="00CC3484" w:rsidRDefault="00694479" w:rsidP="00694479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HAQ improved significantly (p=0.03)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4C95" w14:textId="1C86FC65" w:rsidR="00694479" w:rsidRPr="00CC3484" w:rsidRDefault="00694479" w:rsidP="00FD2E65">
            <w:pPr>
              <w:spacing w:line="240" w:lineRule="auto"/>
              <w:rPr>
                <w:sz w:val="18"/>
              </w:rPr>
            </w:pPr>
            <w:r w:rsidRPr="00CC3484">
              <w:rPr>
                <w:sz w:val="18"/>
              </w:rPr>
              <w:t>No S</w:t>
            </w:r>
            <w:r>
              <w:rPr>
                <w:sz w:val="18"/>
              </w:rPr>
              <w:t>AEs</w:t>
            </w:r>
            <w:r w:rsidRPr="00CC3484">
              <w:rPr>
                <w:sz w:val="18"/>
              </w:rPr>
              <w:t xml:space="preserve">. </w:t>
            </w:r>
            <w:r w:rsidR="00FD2E65">
              <w:rPr>
                <w:sz w:val="18"/>
              </w:rPr>
              <w:t>No information on</w:t>
            </w:r>
            <w:r w:rsidRPr="00CC3484">
              <w:rPr>
                <w:sz w:val="18"/>
              </w:rPr>
              <w:t xml:space="preserve"> deaths.</w:t>
            </w:r>
          </w:p>
        </w:tc>
      </w:tr>
    </w:tbl>
    <w:p w14:paraId="5A7CA255" w14:textId="77777777" w:rsidR="0062030C" w:rsidRDefault="0062030C">
      <w:r>
        <w:br w:type="page"/>
      </w:r>
    </w:p>
    <w:tbl>
      <w:tblPr>
        <w:tblpPr w:leftFromText="180" w:rightFromText="180" w:vertAnchor="text" w:horzAnchor="margin" w:tblpY="-71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F27538" w:rsidRPr="0025711C" w14:paraId="2FC7F683" w14:textId="77777777" w:rsidTr="00BA473A">
        <w:trPr>
          <w:trHeight w:val="413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A6C8219" w14:textId="77777777" w:rsidR="00F27538" w:rsidRPr="00CC3484" w:rsidRDefault="00F27538" w:rsidP="00F27538">
            <w:pPr>
              <w:spacing w:line="240" w:lineRule="auto"/>
              <w:rPr>
                <w:sz w:val="18"/>
              </w:rPr>
            </w:pPr>
            <w:r w:rsidRPr="00E85462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lastRenderedPageBreak/>
              <w:t>Systemic lupus erythematosus</w:t>
            </w:r>
          </w:p>
        </w:tc>
      </w:tr>
      <w:tr w:rsidR="005F3F89" w:rsidRPr="0025711C" w14:paraId="1C1DAE61" w14:textId="77777777" w:rsidTr="00BA473A">
        <w:trPr>
          <w:trHeight w:val="40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548DC21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7319DF9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5865E4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EDCB21F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AA3CA9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4E5DA5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F6F9C0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D81E0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704E64E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2043088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5C67DFD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ADC2FAB" w14:textId="77777777" w:rsidR="001D4D68" w:rsidRPr="0025711C" w:rsidRDefault="001D4D68" w:rsidP="001D4D6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5F3F89" w:rsidRPr="0025711C" w14:paraId="794EA37C" w14:textId="77777777" w:rsidTr="00BA473A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16F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Andrade-Ortega et al., 2010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321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0BA" w14:textId="1FD48BF5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1000mg on days 1 and 15</w:t>
            </w:r>
            <w:r w:rsidR="0007028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44F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64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410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Remission (MEX-SLEDAI&lt;3) was achieved in 8 patients after 6 months and in 9 patients after a year.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B71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Remission (MEX-SLEDAI&lt;3) was achieved in 6 patients after 6 months and in 8 patients after 1 year.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1E5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significant differences in the cumulative corticosteroid </w:t>
            </w:r>
            <w:proofErr w:type="spellStart"/>
            <w:r>
              <w:rPr>
                <w:color w:val="000000"/>
                <w:sz w:val="18"/>
                <w:szCs w:val="18"/>
              </w:rPr>
              <w:t>dosis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were observed.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AA1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significant differences in the cumulative corticosteroid doses were observed.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AF2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Both medications were well tolerated.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969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8F4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SAE: septic arthritis and </w:t>
            </w:r>
            <w:proofErr w:type="spellStart"/>
            <w:r>
              <w:rPr>
                <w:color w:val="000000"/>
                <w:sz w:val="18"/>
                <w:szCs w:val="18"/>
              </w:rPr>
              <w:t>hemarthrosis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5F3F89" w:rsidRPr="0025711C" w14:paraId="693006BA" w14:textId="77777777" w:rsidTr="00BA473A">
        <w:trPr>
          <w:trHeight w:val="7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CFF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Merrill et al., 2010 (EXPLORER trial)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B5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DE8" w14:textId="1E929BF0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1000mg on days 1, 15, 168, and 182</w:t>
            </w:r>
            <w:r w:rsidR="0007028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4C5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Achieving and maintaining a major clinical response, a partial clinical response, or no clinical response at week 52 (Major clinical response = BILAG C scores or better in all organs at 24 weeks without experiencing a severe flare, and maintaining this response without a moderate or severe flare to week 52. Partial response = achieving BILAG C scores or better at week 24 and maintaining this response without a new </w:t>
            </w:r>
            <w:r>
              <w:rPr>
                <w:color w:val="000000"/>
                <w:sz w:val="18"/>
                <w:szCs w:val="18"/>
              </w:rPr>
              <w:lastRenderedPageBreak/>
              <w:t>BILAG A or B score for 16 consecutive weeks / achieving no more than 1 organ with a BILAG B score at week 24 without achieving one new BILAG A or B score to week 52 / achieving a maximum of 2 BILAG B scores at week 24 without developing BILAG A or B scores in dew domains until week 52 if baseline BILAG score for the patient was 1A score plus ≥2B scores, ≥2A scores, or ≥4 B scores. No clinical response: failure to meet the definition of major or partial clinical response).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8D7" w14:textId="34D982D3" w:rsidR="00F27538" w:rsidRDefault="00F27538" w:rsidP="00311F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Proportion of patients with a major clinical response, proportion of patients with a partial clinical response, proportion of patients with a BILAG C score or better in all organs at week 24, time to first moderate or severe flare, improvement in </w:t>
            </w:r>
            <w:proofErr w:type="spellStart"/>
            <w:r>
              <w:rPr>
                <w:color w:val="000000"/>
                <w:sz w:val="18"/>
                <w:szCs w:val="18"/>
              </w:rPr>
              <w:t>QoL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 measured by the </w:t>
            </w:r>
            <w:r w:rsidR="00311F55">
              <w:rPr>
                <w:color w:val="000000"/>
                <w:sz w:val="18"/>
                <w:szCs w:val="18"/>
              </w:rPr>
              <w:t xml:space="preserve">lupus </w:t>
            </w:r>
            <w:proofErr w:type="spellStart"/>
            <w:r>
              <w:rPr>
                <w:color w:val="000000"/>
                <w:sz w:val="18"/>
                <w:szCs w:val="18"/>
              </w:rPr>
              <w:t>QoL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proportion of patients with a major clinical response and a corticosteroid dose of &lt;10mg/d from week 24 to 52.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7B1" w14:textId="35B7F450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12.4% had a major clinical response, 17.2% had a partial clinical response (no significant difference). However African American/Hispanic patients achieved significantly better major and partial clinical responses with RTX than </w:t>
            </w:r>
            <w:r w:rsidR="00070287">
              <w:rPr>
                <w:color w:val="000000"/>
                <w:sz w:val="18"/>
                <w:szCs w:val="18"/>
              </w:rPr>
              <w:t>placebo</w:t>
            </w:r>
            <w:r>
              <w:rPr>
                <w:color w:val="000000"/>
                <w:sz w:val="18"/>
                <w:szCs w:val="18"/>
              </w:rPr>
              <w:t xml:space="preserve"> (p=0.0408)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73E" w14:textId="6E7CAD5E" w:rsidR="00F27538" w:rsidRDefault="00F27538" w:rsidP="005F3F89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15.9% had a major clinical response, 12% had a partial clinical response.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C7A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Proportion of patients with a BILAG C score or better after 24 weeks: 24.9%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DD4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Proportion of patients with a BILAG C score or better after 24 weeks: 27.3%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8C2" w14:textId="2847473A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RTX patients experienced more grade 3 and grade 4 </w:t>
            </w:r>
            <w:proofErr w:type="spellStart"/>
            <w:r>
              <w:rPr>
                <w:color w:val="000000"/>
                <w:sz w:val="18"/>
                <w:szCs w:val="18"/>
              </w:rPr>
              <w:t>neutropenias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The number of infectious AEs was comparable. The proportion of patient with serious infections was greater in the </w:t>
            </w:r>
            <w:r w:rsidR="00070287">
              <w:rPr>
                <w:color w:val="000000"/>
                <w:sz w:val="18"/>
                <w:szCs w:val="18"/>
              </w:rPr>
              <w:t>placebo</w:t>
            </w:r>
            <w:r>
              <w:rPr>
                <w:color w:val="000000"/>
                <w:sz w:val="18"/>
                <w:szCs w:val="18"/>
              </w:rPr>
              <w:t xml:space="preserve"> group.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3E7" w14:textId="50F67980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significant difference in the change of SF-36 </w:t>
            </w:r>
            <w:proofErr w:type="spellStart"/>
            <w:r w:rsidR="00FD2E65">
              <w:rPr>
                <w:color w:val="000000"/>
                <w:sz w:val="18"/>
                <w:szCs w:val="18"/>
              </w:rPr>
              <w:t>QoL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physical component summary score.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E32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patients (37.9%) had at least one SAE. Only 13 were considered as treatment related. 4 deaths (perforated bowel, multiple drug intoxication, unknown cause, and neonatal death).</w:t>
            </w:r>
          </w:p>
        </w:tc>
      </w:tr>
      <w:tr w:rsidR="005F3F89" w:rsidRPr="0025711C" w14:paraId="41DCA19F" w14:textId="77777777" w:rsidTr="00BA473A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35B" w14:textId="77777777" w:rsidR="00F27538" w:rsidRPr="000D0098" w:rsidRDefault="00F27538" w:rsidP="00F27538">
            <w:pPr>
              <w:spacing w:line="240" w:lineRule="auto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0D0098">
              <w:rPr>
                <w:color w:val="000000"/>
                <w:sz w:val="18"/>
                <w:szCs w:val="18"/>
                <w:lang w:val="fr-FR"/>
              </w:rPr>
              <w:t>Rovin</w:t>
            </w:r>
            <w:proofErr w:type="spellEnd"/>
            <w:r w:rsidRPr="000D0098">
              <w:rPr>
                <w:color w:val="000000"/>
                <w:sz w:val="18"/>
                <w:szCs w:val="18"/>
                <w:lang w:val="fr-FR"/>
              </w:rPr>
              <w:t xml:space="preserve"> et al., 2012 (LUNAR trial)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895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C9B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1000mg on days 1, 15, 168, and 182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428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Renal response status at week 52 (CRR= normal serum creatinine level if it was </w:t>
            </w:r>
            <w:r>
              <w:rPr>
                <w:color w:val="000000"/>
                <w:sz w:val="18"/>
                <w:szCs w:val="18"/>
              </w:rPr>
              <w:lastRenderedPageBreak/>
              <w:t>abnormal at baseline, or serum creatinine level of ≤115% of baseline if it was normal at baseline, inactive urinary sediment, and UPC ratio &lt;0.5, PRR= serum creatinine level ≤115% of baseline, RBCs/</w:t>
            </w:r>
            <w:proofErr w:type="spellStart"/>
            <w:r>
              <w:rPr>
                <w:color w:val="000000"/>
                <w:sz w:val="18"/>
                <w:szCs w:val="18"/>
              </w:rPr>
              <w:t>hpf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≤50% above baseline and no RBC casts, and at least a 50% decrease in the UPC ratio to &lt;1.0, NR= CRR and PRR criteria not met)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B0F2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CRR sustained from week 24 to week 52, CRR rates at week 52, reduction in the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baseline UPC ratio from &gt;3.0 to &lt;1.0 at week 52, time to first CRR, time-adjusted AUC minus the baseline BILAG score over 52 weeks, change in SF-36.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1985" w14:textId="177CBB1C" w:rsidR="00F27538" w:rsidRDefault="00F27538" w:rsidP="00311F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CRR: 26.4% of patients, PRR: 30.6% of patients, NR: 43.1% of patients </w:t>
            </w:r>
            <w:r>
              <w:rPr>
                <w:color w:val="000000"/>
                <w:sz w:val="18"/>
                <w:szCs w:val="18"/>
              </w:rPr>
              <w:lastRenderedPageBreak/>
              <w:t>(p=0.55). Overal</w:t>
            </w:r>
            <w:r w:rsidR="00311F55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 xml:space="preserve"> renal response rate: 56.9% (p=0.18). Black patients had higher renal response rates when treated with RTX (70%) as compared to</w:t>
            </w:r>
            <w:r w:rsidR="00F271AC">
              <w:rPr>
                <w:sz w:val="18"/>
                <w:szCs w:val="18"/>
              </w:rPr>
              <w:t xml:space="preserve"> placebo</w:t>
            </w:r>
            <w:r>
              <w:rPr>
                <w:color w:val="000000"/>
                <w:sz w:val="18"/>
                <w:szCs w:val="18"/>
              </w:rPr>
              <w:t xml:space="preserve"> (45%).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27B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CRR: 30.6% of patients, PRR: 15.3% of patients, NR: 54.2% of patients. </w:t>
            </w:r>
            <w:r>
              <w:rPr>
                <w:color w:val="000000"/>
                <w:sz w:val="18"/>
                <w:szCs w:val="18"/>
              </w:rPr>
              <w:lastRenderedPageBreak/>
              <w:t>Overall renal response rate: 45.8%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73F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3AB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169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patients (98.6%) experienced at least one AE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E43" w14:textId="09BDA224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significant difference in the change of SF-36 </w:t>
            </w:r>
            <w:proofErr w:type="spellStart"/>
            <w:r w:rsidR="00FD2E65">
              <w:rPr>
                <w:color w:val="000000"/>
                <w:sz w:val="18"/>
                <w:szCs w:val="18"/>
              </w:rPr>
              <w:t>QoL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physical function score.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75E" w14:textId="2722EE93" w:rsidR="00F27538" w:rsidRDefault="00F27538" w:rsidP="00311F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24 patients (32.9%) had at least one AE. 2 deaths (both considered as unrelated to </w:t>
            </w:r>
            <w:r>
              <w:rPr>
                <w:color w:val="000000"/>
                <w:sz w:val="18"/>
                <w:szCs w:val="18"/>
              </w:rPr>
              <w:lastRenderedPageBreak/>
              <w:t>RTX): sepsis secondary to S. aureus infection and alveolar hemorrhage.</w:t>
            </w:r>
          </w:p>
        </w:tc>
      </w:tr>
      <w:tr w:rsidR="005F3F89" w:rsidRPr="0025711C" w14:paraId="09C1CC77" w14:textId="77777777" w:rsidTr="00BA473A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DBF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Zhang et al., 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230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132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375mg/m</w:t>
            </w:r>
            <w:r w:rsidRPr="007439A8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at weeks 0, 2, 4, and 6 in combination with 800mg CYC at weeks 1 and 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8921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primary endpoint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61EB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secondary endpoints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7A5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64.3% with CR, 19% with PR, 16.7% with NR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7C6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21.4% with CR; 35.7% with PR, 42.9% with NR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0CF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32C9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DD7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C41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0EF" w14:textId="77777777" w:rsidR="00F27538" w:rsidRDefault="00F27538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information.</w:t>
            </w:r>
          </w:p>
        </w:tc>
      </w:tr>
      <w:tr w:rsidR="00DA3A18" w:rsidRPr="0025711C" w14:paraId="6F0C1BB9" w14:textId="77777777" w:rsidTr="00BA473A">
        <w:trPr>
          <w:trHeight w:val="248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ACDAA53" w14:textId="77777777" w:rsidR="00DA3A18" w:rsidRDefault="00DA3A18" w:rsidP="00862ED1">
            <w:pPr>
              <w:spacing w:line="240" w:lineRule="auto"/>
            </w:pPr>
            <w:r w:rsidRPr="00862ED1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Systemic sclerosis</w:t>
            </w:r>
          </w:p>
        </w:tc>
      </w:tr>
      <w:tr w:rsidR="005F3F89" w:rsidRPr="0025711C" w14:paraId="1427A9EC" w14:textId="77777777" w:rsidTr="00BA473A">
        <w:trPr>
          <w:trHeight w:val="24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E9085DD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96C3A4A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804FBE7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40B0A6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6C5A115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6C14EC3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F76828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E638DCA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434E41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1E0594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3C8E33F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C2B1B1" w14:textId="77777777" w:rsidR="00DA3A18" w:rsidRPr="0025711C" w:rsidRDefault="00DA3A18" w:rsidP="00DA3A18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5F3F89" w:rsidRPr="0025711C" w14:paraId="4E4923F8" w14:textId="77777777" w:rsidTr="00BA473A">
        <w:trPr>
          <w:trHeight w:val="24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754F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Daoussis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48D7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4496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375mg/m2 weekly for 4 weeks with a repeated course after 6 months.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F83A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Change in pulmonary function as assessed by pulmonary function test and clinical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assessment of skin involvement by the MRSS (modified </w:t>
            </w:r>
            <w:proofErr w:type="spellStart"/>
            <w:r>
              <w:rPr>
                <w:color w:val="000000"/>
                <w:sz w:val="18"/>
                <w:szCs w:val="18"/>
              </w:rPr>
              <w:t>Rodnan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skin score).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725B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Change in skin histology, HRCT scores, serum levels of soluble markers, and overall </w:t>
            </w:r>
            <w:r>
              <w:rPr>
                <w:color w:val="000000"/>
                <w:sz w:val="18"/>
                <w:szCs w:val="18"/>
              </w:rPr>
              <w:lastRenderedPageBreak/>
              <w:t>functional impairment.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EA1E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information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71AA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6EC3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E6CF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8757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Patient 4 suffered from a respiratory tract infection and was </w:t>
            </w:r>
            <w:r>
              <w:rPr>
                <w:color w:val="000000"/>
                <w:sz w:val="18"/>
                <w:szCs w:val="18"/>
              </w:rPr>
              <w:lastRenderedPageBreak/>
              <w:t>hospitalized for 3 days.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DCEA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Significant improvement in HAQ scores after 1 year as compared to control group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B5A" w14:textId="77777777" w:rsidR="00DA3A18" w:rsidRDefault="00DA3A18" w:rsidP="00DA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information</w:t>
            </w:r>
          </w:p>
        </w:tc>
      </w:tr>
      <w:tr w:rsidR="00397C04" w:rsidRPr="0025711C" w14:paraId="50BE40DF" w14:textId="77777777" w:rsidTr="00BA473A">
        <w:trPr>
          <w:trHeight w:val="248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C2273B7" w14:textId="77777777" w:rsidR="00397C04" w:rsidRDefault="00397C04" w:rsidP="00F2753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97C04">
              <w:rPr>
                <w:rFonts w:eastAsia="Times New Roman" w:cs="Arial"/>
                <w:b/>
                <w:bCs/>
                <w:color w:val="006100"/>
                <w:szCs w:val="20"/>
                <w:lang w:eastAsia="de-CH"/>
              </w:rPr>
              <w:t>Ulcerative colitis</w:t>
            </w:r>
          </w:p>
        </w:tc>
      </w:tr>
      <w:tr w:rsidR="00841A83" w:rsidRPr="0025711C" w14:paraId="066E7E08" w14:textId="77777777" w:rsidTr="00BA473A">
        <w:trPr>
          <w:trHeight w:val="67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DCB7B90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Source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25000E7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Patients treated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23F839A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TX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9A84ACA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Primary endpoint (1°) investigated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4A08CB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Secondary endpoint (2°) investigated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B402352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97D6E2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1°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A1B6AA1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Verum</w:t>
            </w:r>
            <w:proofErr w:type="spellEnd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8D663BF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Control reaching 2°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3BD9E9B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Adverse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C7A82D7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proofErr w:type="spellStart"/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QoL</w:t>
            </w:r>
            <w:proofErr w:type="spellEnd"/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2FA4679" w14:textId="77777777" w:rsidR="00841A83" w:rsidRPr="0025711C" w:rsidRDefault="00841A83" w:rsidP="00841A83">
            <w:pPr>
              <w:spacing w:after="0" w:line="240" w:lineRule="auto"/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</w:pP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S</w:t>
            </w:r>
            <w:r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>erious adverts events</w:t>
            </w:r>
            <w:r w:rsidRPr="0025711C">
              <w:rPr>
                <w:rFonts w:eastAsia="Times New Roman" w:cs="Arial"/>
                <w:b/>
                <w:color w:val="3F3F76"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397C04" w:rsidRPr="0025711C" w14:paraId="7F361333" w14:textId="77777777" w:rsidTr="00BA473A">
        <w:trPr>
          <w:trHeight w:val="12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A5F0" w14:textId="77777777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Leiper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al., 2011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C866" w14:textId="77777777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AD38" w14:textId="77777777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1000mg on weeks 0 and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3814" w14:textId="77777777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Remission at 4 weeks (=Mayo score ≤2)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1EF8" w14:textId="22A0DBD5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Clinical response (=Mayo score reduction of at least 3 points) at weeks 4 and 12, remission at weeks 8 and 12, endoscopic mucosal healing at weeks 4 and 12, and improvement in the IBD-specific </w:t>
            </w:r>
            <w:proofErr w:type="spellStart"/>
            <w:r w:rsidR="00FD2E65">
              <w:rPr>
                <w:color w:val="000000"/>
                <w:sz w:val="18"/>
                <w:szCs w:val="18"/>
              </w:rPr>
              <w:t>QoL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Index at weeks 4 and 12.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09C8" w14:textId="77777777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19% achieved remission (p=1.0)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F089" w14:textId="77777777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12.5% achieved remission.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810" w14:textId="1338BE5D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50% of the patients achieved clinical response at week 4, but the difference in comparison to </w:t>
            </w:r>
            <w:r w:rsidR="00070287">
              <w:rPr>
                <w:color w:val="000000"/>
                <w:sz w:val="18"/>
                <w:szCs w:val="18"/>
              </w:rPr>
              <w:t>placebo</w:t>
            </w:r>
            <w:r>
              <w:rPr>
                <w:color w:val="000000"/>
                <w:sz w:val="18"/>
                <w:szCs w:val="18"/>
              </w:rPr>
              <w:t xml:space="preserve"> was lost at week 8. No significant difference in reduction of Mayo score </w:t>
            </w:r>
            <w:r w:rsidR="00311F55">
              <w:rPr>
                <w:color w:val="000000"/>
                <w:sz w:val="18"/>
                <w:szCs w:val="18"/>
              </w:rPr>
              <w:t>occurred</w:t>
            </w:r>
            <w:r>
              <w:rPr>
                <w:color w:val="000000"/>
                <w:sz w:val="18"/>
                <w:szCs w:val="18"/>
              </w:rPr>
              <w:t xml:space="preserve"> at week 8 or 12.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AB72" w14:textId="53529129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25% of the patients achieved clinical response at week 4. No significant difference in reduction of Mayo score </w:t>
            </w:r>
            <w:r w:rsidR="00311F55">
              <w:rPr>
                <w:color w:val="000000"/>
                <w:sz w:val="18"/>
                <w:szCs w:val="18"/>
              </w:rPr>
              <w:t>occurred</w:t>
            </w:r>
            <w:r>
              <w:rPr>
                <w:color w:val="000000"/>
                <w:sz w:val="18"/>
                <w:szCs w:val="18"/>
              </w:rPr>
              <w:t xml:space="preserve"> at week 8 or 12.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FFA4" w14:textId="238DC4FC" w:rsidR="00397C04" w:rsidRDefault="00397C04" w:rsidP="00311F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15/16 patients experienced </w:t>
            </w:r>
            <w:r w:rsidR="00311F55">
              <w:rPr>
                <w:color w:val="000000"/>
                <w:sz w:val="18"/>
                <w:szCs w:val="18"/>
              </w:rPr>
              <w:t>AEs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1E81" w14:textId="77777777" w:rsidR="00397C04" w:rsidRDefault="00397C04" w:rsidP="00397C0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significant improvement in IBDQ was observed.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124F" w14:textId="5B8790E7" w:rsidR="00397C04" w:rsidRDefault="00397C04" w:rsidP="00FD2E6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SAE: flare up of UC, pulmonary embolism, pregnancy. No information</w:t>
            </w:r>
            <w:r w:rsidR="00FD2E65">
              <w:rPr>
                <w:color w:val="000000"/>
                <w:sz w:val="18"/>
                <w:szCs w:val="18"/>
              </w:rPr>
              <w:t xml:space="preserve"> on</w:t>
            </w:r>
            <w:r>
              <w:rPr>
                <w:color w:val="000000"/>
                <w:sz w:val="18"/>
                <w:szCs w:val="18"/>
              </w:rPr>
              <w:t xml:space="preserve"> deaths. </w:t>
            </w:r>
          </w:p>
        </w:tc>
      </w:tr>
    </w:tbl>
    <w:p w14:paraId="17F3F8A3" w14:textId="0DFF0B1A" w:rsidR="00F27538" w:rsidRDefault="00F27538" w:rsidP="00BA473A"/>
    <w:sectPr w:rsidR="00F27538" w:rsidSect="00E16A02">
      <w:footerReference w:type="default" r:id="rId7"/>
      <w:pgSz w:w="16838" w:h="11906" w:orient="landscape"/>
      <w:pgMar w:top="1077" w:right="397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2C42D" w16cid:durableId="20091975"/>
  <w16cid:commentId w16cid:paraId="04DB9C48" w16cid:durableId="20091A51"/>
  <w16cid:commentId w16cid:paraId="52ACBD6D" w16cid:durableId="20091976"/>
  <w16cid:commentId w16cid:paraId="7A1439B4" w16cid:durableId="20091A83"/>
  <w16cid:commentId w16cid:paraId="47EBD896" w16cid:durableId="20091977"/>
  <w16cid:commentId w16cid:paraId="250F111D" w16cid:durableId="20091A94"/>
  <w16cid:commentId w16cid:paraId="398156DE" w16cid:durableId="20091978"/>
  <w16cid:commentId w16cid:paraId="3F2D3AA6" w16cid:durableId="20091979"/>
  <w16cid:commentId w16cid:paraId="151ED9DD" w16cid:durableId="20091BBB"/>
  <w16cid:commentId w16cid:paraId="3B1C5F76" w16cid:durableId="2009197A"/>
  <w16cid:commentId w16cid:paraId="4BA74C77" w16cid:durableId="20091BD9"/>
  <w16cid:commentId w16cid:paraId="2053DC45" w16cid:durableId="2009197B"/>
  <w16cid:commentId w16cid:paraId="3377BFDD" w16cid:durableId="20091C0E"/>
  <w16cid:commentId w16cid:paraId="3DB9B44B" w16cid:durableId="2009197C"/>
  <w16cid:commentId w16cid:paraId="0877A9DF" w16cid:durableId="20091C19"/>
  <w16cid:commentId w16cid:paraId="25BC888E" w16cid:durableId="2009197D"/>
  <w16cid:commentId w16cid:paraId="7A630230" w16cid:durableId="20091C8C"/>
  <w16cid:commentId w16cid:paraId="352A6ED6" w16cid:durableId="20091CE7"/>
  <w16cid:commentId w16cid:paraId="792AE479" w16cid:durableId="20091D1A"/>
  <w16cid:commentId w16cid:paraId="61A1A0A5" w16cid:durableId="20091D48"/>
  <w16cid:commentId w16cid:paraId="54614211" w16cid:durableId="20091D58"/>
  <w16cid:commentId w16cid:paraId="377B5AB9" w16cid:durableId="20091D99"/>
  <w16cid:commentId w16cid:paraId="4B7FF4B5" w16cid:durableId="20091DD3"/>
  <w16cid:commentId w16cid:paraId="25A67A91" w16cid:durableId="20091F35"/>
  <w16cid:commentId w16cid:paraId="36BD3F39" w16cid:durableId="20091F52"/>
  <w16cid:commentId w16cid:paraId="00E625B7" w16cid:durableId="20091F60"/>
  <w16cid:commentId w16cid:paraId="093D9412" w16cid:durableId="20091FA7"/>
  <w16cid:commentId w16cid:paraId="1CF565FF" w16cid:durableId="2009200E"/>
  <w16cid:commentId w16cid:paraId="1C672AA8" w16cid:durableId="20092038"/>
  <w16cid:commentId w16cid:paraId="7B08186F" w16cid:durableId="20092042"/>
  <w16cid:commentId w16cid:paraId="32AD02B3" w16cid:durableId="2009208F"/>
  <w16cid:commentId w16cid:paraId="2390B485" w16cid:durableId="20092098"/>
  <w16cid:commentId w16cid:paraId="3E6A7E13" w16cid:durableId="200920AA"/>
  <w16cid:commentId w16cid:paraId="4817B3F3" w16cid:durableId="20092103"/>
  <w16cid:commentId w16cid:paraId="3B9BC1A5" w16cid:durableId="200921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7F46" w14:textId="77777777" w:rsidR="003D2AB9" w:rsidRDefault="003D2AB9" w:rsidP="009A70DC">
      <w:pPr>
        <w:spacing w:after="0" w:line="240" w:lineRule="auto"/>
      </w:pPr>
      <w:r>
        <w:separator/>
      </w:r>
    </w:p>
  </w:endnote>
  <w:endnote w:type="continuationSeparator" w:id="0">
    <w:p w14:paraId="34E7DD32" w14:textId="77777777" w:rsidR="003D2AB9" w:rsidRDefault="003D2AB9" w:rsidP="009A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818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19319" w14:textId="7ECE8FB4" w:rsidR="003D2AB9" w:rsidRDefault="003D2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56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5D4E806" w14:textId="77777777" w:rsidR="003D2AB9" w:rsidRDefault="003D2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0097" w14:textId="77777777" w:rsidR="003D2AB9" w:rsidRDefault="003D2AB9" w:rsidP="009A70DC">
      <w:pPr>
        <w:spacing w:after="0" w:line="240" w:lineRule="auto"/>
      </w:pPr>
      <w:r>
        <w:separator/>
      </w:r>
    </w:p>
  </w:footnote>
  <w:footnote w:type="continuationSeparator" w:id="0">
    <w:p w14:paraId="0F36C107" w14:textId="77777777" w:rsidR="003D2AB9" w:rsidRDefault="003D2AB9" w:rsidP="009A7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43"/>
    <w:rsid w:val="00004D67"/>
    <w:rsid w:val="0001692E"/>
    <w:rsid w:val="0002437D"/>
    <w:rsid w:val="00026132"/>
    <w:rsid w:val="000369FC"/>
    <w:rsid w:val="0004358B"/>
    <w:rsid w:val="00043FC3"/>
    <w:rsid w:val="00052469"/>
    <w:rsid w:val="00070287"/>
    <w:rsid w:val="00084C00"/>
    <w:rsid w:val="000D0098"/>
    <w:rsid w:val="000D27FC"/>
    <w:rsid w:val="000D360C"/>
    <w:rsid w:val="000D48B0"/>
    <w:rsid w:val="00103543"/>
    <w:rsid w:val="001047C8"/>
    <w:rsid w:val="00104A43"/>
    <w:rsid w:val="0010564F"/>
    <w:rsid w:val="00105DC6"/>
    <w:rsid w:val="0011024C"/>
    <w:rsid w:val="00113505"/>
    <w:rsid w:val="00117491"/>
    <w:rsid w:val="00127638"/>
    <w:rsid w:val="001732EA"/>
    <w:rsid w:val="001A36BF"/>
    <w:rsid w:val="001C3947"/>
    <w:rsid w:val="001D1700"/>
    <w:rsid w:val="001D4D68"/>
    <w:rsid w:val="001E1568"/>
    <w:rsid w:val="001E61DE"/>
    <w:rsid w:val="001E6A3E"/>
    <w:rsid w:val="002035F3"/>
    <w:rsid w:val="002068B8"/>
    <w:rsid w:val="0020745C"/>
    <w:rsid w:val="00207921"/>
    <w:rsid w:val="00212649"/>
    <w:rsid w:val="00215562"/>
    <w:rsid w:val="0022071A"/>
    <w:rsid w:val="0023617F"/>
    <w:rsid w:val="00242537"/>
    <w:rsid w:val="00244D5E"/>
    <w:rsid w:val="00250192"/>
    <w:rsid w:val="00256CBE"/>
    <w:rsid w:val="00270F57"/>
    <w:rsid w:val="00273BFB"/>
    <w:rsid w:val="00277AFD"/>
    <w:rsid w:val="002830D5"/>
    <w:rsid w:val="0028693C"/>
    <w:rsid w:val="002918E1"/>
    <w:rsid w:val="002B7D4E"/>
    <w:rsid w:val="0030351A"/>
    <w:rsid w:val="003105EF"/>
    <w:rsid w:val="00311F55"/>
    <w:rsid w:val="00341E32"/>
    <w:rsid w:val="00360770"/>
    <w:rsid w:val="00363E47"/>
    <w:rsid w:val="00384893"/>
    <w:rsid w:val="003852B0"/>
    <w:rsid w:val="00395BCF"/>
    <w:rsid w:val="00396D7D"/>
    <w:rsid w:val="00397C04"/>
    <w:rsid w:val="003C2F79"/>
    <w:rsid w:val="003D2AB9"/>
    <w:rsid w:val="003F453F"/>
    <w:rsid w:val="004104B9"/>
    <w:rsid w:val="004271D4"/>
    <w:rsid w:val="00427BC4"/>
    <w:rsid w:val="00433219"/>
    <w:rsid w:val="00435564"/>
    <w:rsid w:val="00456547"/>
    <w:rsid w:val="004659D0"/>
    <w:rsid w:val="00474B8E"/>
    <w:rsid w:val="004B3F42"/>
    <w:rsid w:val="004C2402"/>
    <w:rsid w:val="004C5FEB"/>
    <w:rsid w:val="004D14C4"/>
    <w:rsid w:val="004E68FF"/>
    <w:rsid w:val="004F4958"/>
    <w:rsid w:val="00503341"/>
    <w:rsid w:val="00503699"/>
    <w:rsid w:val="005061B7"/>
    <w:rsid w:val="00517241"/>
    <w:rsid w:val="00553C8D"/>
    <w:rsid w:val="005B7412"/>
    <w:rsid w:val="005D02C8"/>
    <w:rsid w:val="005F3F89"/>
    <w:rsid w:val="0062030C"/>
    <w:rsid w:val="006212BD"/>
    <w:rsid w:val="00637894"/>
    <w:rsid w:val="00637C4B"/>
    <w:rsid w:val="006408EA"/>
    <w:rsid w:val="006418C9"/>
    <w:rsid w:val="00642627"/>
    <w:rsid w:val="00652F71"/>
    <w:rsid w:val="00670946"/>
    <w:rsid w:val="00674694"/>
    <w:rsid w:val="006874E9"/>
    <w:rsid w:val="00694479"/>
    <w:rsid w:val="006A1E3C"/>
    <w:rsid w:val="006C5FBE"/>
    <w:rsid w:val="006F7DCB"/>
    <w:rsid w:val="0073646F"/>
    <w:rsid w:val="0073674C"/>
    <w:rsid w:val="007439A8"/>
    <w:rsid w:val="00750AE9"/>
    <w:rsid w:val="00761D46"/>
    <w:rsid w:val="007C2318"/>
    <w:rsid w:val="007D503B"/>
    <w:rsid w:val="007E0ACB"/>
    <w:rsid w:val="007F078A"/>
    <w:rsid w:val="007F21B0"/>
    <w:rsid w:val="007F4145"/>
    <w:rsid w:val="007F6C08"/>
    <w:rsid w:val="0081427D"/>
    <w:rsid w:val="0082202D"/>
    <w:rsid w:val="00841A83"/>
    <w:rsid w:val="00862ED1"/>
    <w:rsid w:val="00873547"/>
    <w:rsid w:val="008746A1"/>
    <w:rsid w:val="008813C8"/>
    <w:rsid w:val="00883D59"/>
    <w:rsid w:val="00892A2B"/>
    <w:rsid w:val="008943AE"/>
    <w:rsid w:val="008D3AD6"/>
    <w:rsid w:val="008E2A2B"/>
    <w:rsid w:val="008F373F"/>
    <w:rsid w:val="009A70DC"/>
    <w:rsid w:val="009C3FA8"/>
    <w:rsid w:val="00A26F44"/>
    <w:rsid w:val="00A40E56"/>
    <w:rsid w:val="00A57A81"/>
    <w:rsid w:val="00A85C14"/>
    <w:rsid w:val="00AA2F72"/>
    <w:rsid w:val="00B00DCD"/>
    <w:rsid w:val="00B51B85"/>
    <w:rsid w:val="00B52A8F"/>
    <w:rsid w:val="00B545A7"/>
    <w:rsid w:val="00B80208"/>
    <w:rsid w:val="00B81BD8"/>
    <w:rsid w:val="00B8581F"/>
    <w:rsid w:val="00BA473A"/>
    <w:rsid w:val="00BC1143"/>
    <w:rsid w:val="00BD4FB8"/>
    <w:rsid w:val="00BF02EC"/>
    <w:rsid w:val="00BF1F82"/>
    <w:rsid w:val="00C10953"/>
    <w:rsid w:val="00C116B7"/>
    <w:rsid w:val="00C1386C"/>
    <w:rsid w:val="00C16457"/>
    <w:rsid w:val="00C40F7D"/>
    <w:rsid w:val="00C41BBC"/>
    <w:rsid w:val="00C53E0E"/>
    <w:rsid w:val="00C56CE7"/>
    <w:rsid w:val="00C6663D"/>
    <w:rsid w:val="00C66FDE"/>
    <w:rsid w:val="00CA3CE6"/>
    <w:rsid w:val="00CB7A39"/>
    <w:rsid w:val="00CC3484"/>
    <w:rsid w:val="00CD1D02"/>
    <w:rsid w:val="00CE2F3A"/>
    <w:rsid w:val="00CE62AE"/>
    <w:rsid w:val="00D029AD"/>
    <w:rsid w:val="00D050DB"/>
    <w:rsid w:val="00D0523C"/>
    <w:rsid w:val="00D15571"/>
    <w:rsid w:val="00D20AE5"/>
    <w:rsid w:val="00D46D7A"/>
    <w:rsid w:val="00D97FD7"/>
    <w:rsid w:val="00DA3A18"/>
    <w:rsid w:val="00DB78DD"/>
    <w:rsid w:val="00DD007E"/>
    <w:rsid w:val="00DE668B"/>
    <w:rsid w:val="00DF21E5"/>
    <w:rsid w:val="00DF4FB7"/>
    <w:rsid w:val="00E0142B"/>
    <w:rsid w:val="00E06344"/>
    <w:rsid w:val="00E16A02"/>
    <w:rsid w:val="00E27267"/>
    <w:rsid w:val="00E324D7"/>
    <w:rsid w:val="00E67913"/>
    <w:rsid w:val="00E75F7F"/>
    <w:rsid w:val="00E80398"/>
    <w:rsid w:val="00E85462"/>
    <w:rsid w:val="00EA5B69"/>
    <w:rsid w:val="00EE16A4"/>
    <w:rsid w:val="00EE4E0C"/>
    <w:rsid w:val="00EE6CAB"/>
    <w:rsid w:val="00EE7DB7"/>
    <w:rsid w:val="00EF5A30"/>
    <w:rsid w:val="00F06133"/>
    <w:rsid w:val="00F14D87"/>
    <w:rsid w:val="00F1659A"/>
    <w:rsid w:val="00F21B53"/>
    <w:rsid w:val="00F271AC"/>
    <w:rsid w:val="00F27538"/>
    <w:rsid w:val="00F84A9E"/>
    <w:rsid w:val="00F96071"/>
    <w:rsid w:val="00FB0EDE"/>
    <w:rsid w:val="00FC43E8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44D3A8"/>
  <w15:docId w15:val="{066D8B7B-1D6A-4035-BE18-18325319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53"/>
    <w:pPr>
      <w:spacing w:line="480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6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DC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DC"/>
    <w:rPr>
      <w:rFonts w:ascii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3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60C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0C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3A5B-591C-4745-A8D8-E0F00927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12088</Words>
  <Characters>68906</Characters>
  <Application>Microsoft Office Word</Application>
  <DocSecurity>0</DocSecurity>
  <Lines>574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80833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 Catherine</dc:creator>
  <cp:keywords/>
  <dc:description/>
  <cp:lastModifiedBy>Crowley Catherine</cp:lastModifiedBy>
  <cp:revision>3</cp:revision>
  <cp:lastPrinted>2019-02-15T08:37:00Z</cp:lastPrinted>
  <dcterms:created xsi:type="dcterms:W3CDTF">2019-03-27T08:54:00Z</dcterms:created>
  <dcterms:modified xsi:type="dcterms:W3CDTF">2019-03-27T08:55:00Z</dcterms:modified>
</cp:coreProperties>
</file>