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9D6E8" w14:textId="77777777" w:rsidR="006B2A6E" w:rsidRPr="003A612A" w:rsidRDefault="006B2A6E" w:rsidP="006B2A6E">
      <w:pPr>
        <w:pStyle w:val="Title"/>
        <w:rPr>
          <w:sz w:val="24"/>
          <w:szCs w:val="24"/>
        </w:rPr>
      </w:pPr>
      <w:bookmarkStart w:id="0" w:name="_GoBack"/>
      <w:bookmarkEnd w:id="0"/>
      <w:r w:rsidRPr="003A612A">
        <w:rPr>
          <w:sz w:val="24"/>
          <w:szCs w:val="24"/>
        </w:rPr>
        <w:t xml:space="preserve">PINK1/Parkin-mediated mitophagy regulation by </w:t>
      </w:r>
      <w:r w:rsidRPr="00783AA7">
        <w:rPr>
          <w:sz w:val="24"/>
          <w:szCs w:val="24"/>
        </w:rPr>
        <w:t>reactive oxygen species</w:t>
      </w:r>
      <w:r w:rsidRPr="003A612A">
        <w:rPr>
          <w:sz w:val="24"/>
          <w:szCs w:val="24"/>
        </w:rPr>
        <w:t xml:space="preserve"> alleviates </w:t>
      </w:r>
      <w:proofErr w:type="spellStart"/>
      <w:r w:rsidRPr="003A612A">
        <w:rPr>
          <w:sz w:val="24"/>
          <w:szCs w:val="24"/>
        </w:rPr>
        <w:t>Rocaglamide</w:t>
      </w:r>
      <w:proofErr w:type="spellEnd"/>
      <w:r w:rsidRPr="003A612A">
        <w:rPr>
          <w:sz w:val="24"/>
          <w:szCs w:val="24"/>
        </w:rPr>
        <w:t xml:space="preserve"> A-induced apoptosis in pancreatic cancer cells</w:t>
      </w:r>
    </w:p>
    <w:p w14:paraId="45565201" w14:textId="77777777" w:rsidR="006B2A6E" w:rsidRPr="003A612A" w:rsidRDefault="006B2A6E" w:rsidP="006B2A6E">
      <w:pPr>
        <w:pStyle w:val="AuthorList"/>
      </w:pPr>
      <w:proofErr w:type="spellStart"/>
      <w:r w:rsidRPr="003A612A">
        <w:t>Chunle</w:t>
      </w:r>
      <w:proofErr w:type="spellEnd"/>
      <w:r w:rsidRPr="003A612A">
        <w:t xml:space="preserve"> Zhao </w:t>
      </w:r>
      <w:r w:rsidRPr="003A612A">
        <w:rPr>
          <w:vertAlign w:val="superscript"/>
        </w:rPr>
        <w:t>1</w:t>
      </w:r>
      <w:r>
        <w:rPr>
          <w:vertAlign w:val="superscript"/>
        </w:rPr>
        <w:t xml:space="preserve">, </w:t>
      </w:r>
      <w:proofErr w:type="gramStart"/>
      <w:r>
        <w:rPr>
          <w:vertAlign w:val="superscript"/>
        </w:rPr>
        <w:t>*</w:t>
      </w:r>
      <w:r w:rsidRPr="003A612A">
        <w:rPr>
          <w:vertAlign w:val="superscript"/>
        </w:rPr>
        <w:t xml:space="preserve"> </w:t>
      </w:r>
      <w:r>
        <w:rPr>
          <w:rFonts w:hint="eastAsia"/>
          <w:lang w:eastAsia="zh-CN"/>
        </w:rPr>
        <w:t>,</w:t>
      </w:r>
      <w:proofErr w:type="gramEnd"/>
      <w:r w:rsidRPr="003A612A">
        <w:t xml:space="preserve"> </w:t>
      </w:r>
      <w:proofErr w:type="spellStart"/>
      <w:r w:rsidRPr="003A612A">
        <w:t>Ruizhi</w:t>
      </w:r>
      <w:proofErr w:type="spellEnd"/>
      <w:r w:rsidRPr="003A612A">
        <w:t xml:space="preserve"> He </w:t>
      </w:r>
      <w:r w:rsidRPr="003A612A">
        <w:rPr>
          <w:vertAlign w:val="superscript"/>
        </w:rPr>
        <w:t>1</w:t>
      </w:r>
      <w:r>
        <w:rPr>
          <w:vertAlign w:val="superscript"/>
        </w:rPr>
        <w:t>,*</w:t>
      </w:r>
      <w:r w:rsidRPr="003A612A">
        <w:rPr>
          <w:vertAlign w:val="superscript"/>
        </w:rPr>
        <w:t xml:space="preserve"> </w:t>
      </w:r>
      <w:r w:rsidRPr="003A612A">
        <w:t xml:space="preserve">, Ming Shen </w:t>
      </w:r>
      <w:r w:rsidRPr="003A612A">
        <w:rPr>
          <w:vertAlign w:val="superscript"/>
        </w:rPr>
        <w:t>1</w:t>
      </w:r>
      <w:r>
        <w:rPr>
          <w:vertAlign w:val="superscript"/>
        </w:rPr>
        <w:t>,*</w:t>
      </w:r>
      <w:r w:rsidRPr="003A612A">
        <w:rPr>
          <w:vertAlign w:val="superscript"/>
        </w:rPr>
        <w:t xml:space="preserve"> </w:t>
      </w:r>
      <w:r w:rsidRPr="003A612A">
        <w:t xml:space="preserve">, Feng Zhu </w:t>
      </w:r>
      <w:r w:rsidRPr="003A612A">
        <w:rPr>
          <w:vertAlign w:val="superscript"/>
        </w:rPr>
        <w:t>1</w:t>
      </w:r>
      <w:r w:rsidRPr="003A612A">
        <w:t xml:space="preserve">, Min Wang </w:t>
      </w:r>
      <w:r w:rsidRPr="003A612A">
        <w:rPr>
          <w:vertAlign w:val="superscript"/>
        </w:rPr>
        <w:t>1</w:t>
      </w:r>
      <w:r w:rsidRPr="003A612A">
        <w:t xml:space="preserve">, </w:t>
      </w:r>
      <w:proofErr w:type="spellStart"/>
      <w:r w:rsidRPr="003A612A">
        <w:t>Yuhui</w:t>
      </w:r>
      <w:proofErr w:type="spellEnd"/>
      <w:r w:rsidRPr="003A612A">
        <w:t xml:space="preserve"> Liu </w:t>
      </w:r>
      <w:r w:rsidRPr="003A612A">
        <w:rPr>
          <w:vertAlign w:val="superscript"/>
        </w:rPr>
        <w:t>1</w:t>
      </w:r>
      <w:r w:rsidRPr="003A612A">
        <w:t xml:space="preserve">, Hua Chen </w:t>
      </w:r>
      <w:r w:rsidRPr="003A612A">
        <w:rPr>
          <w:vertAlign w:val="superscript"/>
        </w:rPr>
        <w:t>1</w:t>
      </w:r>
      <w:r w:rsidRPr="003A612A">
        <w:t>, Xu Li</w:t>
      </w:r>
      <w:r w:rsidRPr="003A612A">
        <w:rPr>
          <w:vertAlign w:val="superscript"/>
        </w:rPr>
        <w:t>1,</w:t>
      </w:r>
      <w:r>
        <w:rPr>
          <w:vertAlign w:val="superscript"/>
        </w:rPr>
        <w:t>#</w:t>
      </w:r>
      <w:r w:rsidRPr="003A612A">
        <w:t xml:space="preserve">, </w:t>
      </w:r>
      <w:proofErr w:type="spellStart"/>
      <w:r w:rsidRPr="003A612A">
        <w:t>Renyi</w:t>
      </w:r>
      <w:proofErr w:type="spellEnd"/>
      <w:r w:rsidRPr="003A612A">
        <w:t xml:space="preserve"> Qin</w:t>
      </w:r>
      <w:r w:rsidRPr="003A612A">
        <w:rPr>
          <w:vertAlign w:val="superscript"/>
        </w:rPr>
        <w:t>1,</w:t>
      </w:r>
      <w:r>
        <w:rPr>
          <w:vertAlign w:val="superscript"/>
        </w:rPr>
        <w:t>#</w:t>
      </w:r>
    </w:p>
    <w:p w14:paraId="1B94D465" w14:textId="77777777" w:rsidR="006B2A6E" w:rsidRPr="003A612A" w:rsidRDefault="006B2A6E" w:rsidP="006B2A6E">
      <w:pPr>
        <w:pStyle w:val="AuthorList"/>
        <w:rPr>
          <w:b w:val="0"/>
        </w:rPr>
      </w:pPr>
      <w:r w:rsidRPr="003A612A">
        <w:rPr>
          <w:vertAlign w:val="superscript"/>
        </w:rPr>
        <w:t>1</w:t>
      </w:r>
      <w:r>
        <w:t>Laboratory of Biliary-Pancreatic Surgery, D</w:t>
      </w:r>
      <w:r w:rsidRPr="003A612A">
        <w:t>epartment of Biliary-Pancreatic Surgery,</w:t>
      </w:r>
      <w:r>
        <w:t xml:space="preserve"> </w:t>
      </w:r>
      <w:r w:rsidRPr="003A612A">
        <w:t>Affiliated Tongji Hospital, Tongji Medical College, Huazhong University of Science and Technology, Wuhan</w:t>
      </w:r>
      <w:r>
        <w:t xml:space="preserve">, </w:t>
      </w:r>
      <w:r w:rsidRPr="003A612A">
        <w:t>Hubei, China</w:t>
      </w:r>
    </w:p>
    <w:p w14:paraId="37A4ECFA" w14:textId="77777777" w:rsidR="006B2A6E" w:rsidRDefault="006B2A6E" w:rsidP="006B2A6E">
      <w:pPr>
        <w:spacing w:before="240" w:after="0"/>
        <w:rPr>
          <w:rFonts w:cs="Times New Roman"/>
          <w:szCs w:val="24"/>
          <w:vertAlign w:val="superscript"/>
        </w:rPr>
      </w:pPr>
      <w:r w:rsidRPr="003A612A">
        <w:rPr>
          <w:rFonts w:cs="Times New Roman"/>
          <w:b/>
          <w:szCs w:val="24"/>
        </w:rPr>
        <w:t>*</w:t>
      </w:r>
      <w:r w:rsidRPr="00F50349">
        <w:rPr>
          <w:rFonts w:cs="Times New Roman"/>
          <w:szCs w:val="24"/>
        </w:rPr>
        <w:t xml:space="preserve">These authors equally contributed to this </w:t>
      </w:r>
      <w:r>
        <w:rPr>
          <w:rFonts w:cs="Times New Roman"/>
          <w:szCs w:val="24"/>
        </w:rPr>
        <w:t>research</w:t>
      </w:r>
    </w:p>
    <w:p w14:paraId="6F95F263" w14:textId="5C30A10F" w:rsidR="006B2A6E" w:rsidRDefault="006B2A6E" w:rsidP="001C5E19">
      <w:pPr>
        <w:spacing w:before="240" w:after="0"/>
        <w:rPr>
          <w:rFonts w:cs="Times New Roman"/>
          <w:szCs w:val="24"/>
          <w:lang w:eastAsia="zh-CN"/>
        </w:rPr>
      </w:pPr>
      <w:r w:rsidRPr="00DD0D93">
        <w:rPr>
          <w:rFonts w:cs="Times New Roman"/>
          <w:szCs w:val="24"/>
          <w:vertAlign w:val="superscript"/>
        </w:rPr>
        <w:t>#</w:t>
      </w:r>
      <w:r w:rsidRPr="003A612A">
        <w:rPr>
          <w:rFonts w:cs="Times New Roman"/>
          <w:szCs w:val="24"/>
        </w:rPr>
        <w:t xml:space="preserve">Corresponding </w:t>
      </w:r>
      <w:r>
        <w:rPr>
          <w:rFonts w:cs="Times New Roman"/>
          <w:szCs w:val="24"/>
        </w:rPr>
        <w:t>a</w:t>
      </w:r>
      <w:r w:rsidRPr="003A612A">
        <w:rPr>
          <w:rFonts w:cs="Times New Roman"/>
          <w:szCs w:val="24"/>
        </w:rPr>
        <w:t>uthor</w:t>
      </w:r>
      <w:r>
        <w:rPr>
          <w:rFonts w:cs="Times New Roman"/>
          <w:szCs w:val="24"/>
          <w:lang w:eastAsia="zh-CN"/>
        </w:rPr>
        <w:t xml:space="preserve">: </w:t>
      </w:r>
      <w:r w:rsidRPr="003A612A">
        <w:rPr>
          <w:rFonts w:cs="Times New Roman"/>
          <w:szCs w:val="24"/>
        </w:rPr>
        <w:t>Xu Li</w:t>
      </w:r>
      <w:r>
        <w:rPr>
          <w:rFonts w:cs="Times New Roman" w:hint="eastAsia"/>
          <w:szCs w:val="24"/>
          <w:lang w:eastAsia="zh-CN"/>
        </w:rPr>
        <w:t>(</w:t>
      </w:r>
      <w:hyperlink r:id="rId7" w:history="1">
        <w:r w:rsidRPr="00862231">
          <w:rPr>
            <w:rStyle w:val="Hyperlink"/>
          </w:rPr>
          <w:t>2013tj0574@hust.edu.cn</w:t>
        </w:r>
      </w:hyperlink>
      <w:r>
        <w:rPr>
          <w:rFonts w:cs="Times New Roman" w:hint="eastAsia"/>
          <w:szCs w:val="24"/>
          <w:lang w:eastAsia="zh-CN"/>
        </w:rPr>
        <w:t>);</w:t>
      </w:r>
      <w:r>
        <w:rPr>
          <w:rFonts w:cs="Times New Roman"/>
          <w:szCs w:val="24"/>
          <w:lang w:eastAsia="zh-CN"/>
        </w:rPr>
        <w:t xml:space="preserve"> </w:t>
      </w:r>
      <w:proofErr w:type="spellStart"/>
      <w:r w:rsidRPr="003A612A">
        <w:rPr>
          <w:rFonts w:cs="Times New Roman"/>
          <w:szCs w:val="24"/>
          <w:lang w:eastAsia="zh-CN"/>
        </w:rPr>
        <w:t>Renyi</w:t>
      </w:r>
      <w:proofErr w:type="spellEnd"/>
      <w:r w:rsidRPr="003A612A">
        <w:rPr>
          <w:rFonts w:cs="Times New Roman"/>
          <w:szCs w:val="24"/>
          <w:lang w:eastAsia="zh-CN"/>
        </w:rPr>
        <w:t xml:space="preserve"> Qin</w:t>
      </w:r>
      <w:r>
        <w:rPr>
          <w:rFonts w:cs="Times New Roman" w:hint="eastAsia"/>
          <w:szCs w:val="24"/>
          <w:lang w:eastAsia="zh-CN"/>
        </w:rPr>
        <w:t>(</w:t>
      </w:r>
      <w:hyperlink r:id="rId8" w:history="1">
        <w:r w:rsidRPr="00862231">
          <w:rPr>
            <w:rStyle w:val="Hyperlink"/>
          </w:rPr>
          <w:t>ryqin@tjh.tjmu.edu.cn</w:t>
        </w:r>
      </w:hyperlink>
      <w:r>
        <w:rPr>
          <w:rFonts w:cs="Times New Roman" w:hint="eastAsia"/>
          <w:szCs w:val="24"/>
          <w:lang w:eastAsia="zh-CN"/>
        </w:rPr>
        <w:t>)</w:t>
      </w:r>
    </w:p>
    <w:p w14:paraId="509FAE1D" w14:textId="4976D098" w:rsidR="001C5E19" w:rsidRPr="001C5E19" w:rsidRDefault="001C5E19" w:rsidP="001C5E19">
      <w:pPr>
        <w:spacing w:before="240" w:after="0"/>
        <w:jc w:val="center"/>
        <w:rPr>
          <w:rFonts w:cs="Times New Roman"/>
          <w:szCs w:val="24"/>
          <w:lang w:eastAsia="zh-CN"/>
        </w:rPr>
      </w:pPr>
      <w:r>
        <w:rPr>
          <w:noProof/>
        </w:rPr>
        <w:drawing>
          <wp:inline distT="0" distB="0" distL="0" distR="0" wp14:anchorId="28280630" wp14:editId="6A195B98">
            <wp:extent cx="3695700" cy="2260801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27" cy="226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BD05" w14:textId="77777777" w:rsidR="006B2A6E" w:rsidRPr="00D5191A" w:rsidRDefault="006B2A6E" w:rsidP="006B2A6E">
      <w:pPr>
        <w:rPr>
          <w:rFonts w:cs="Times New Roman"/>
          <w:bCs/>
          <w:szCs w:val="24"/>
          <w:lang w:eastAsia="zh-CN"/>
        </w:rPr>
      </w:pPr>
      <w:r w:rsidRPr="00D5191A">
        <w:rPr>
          <w:rFonts w:cs="Times New Roman"/>
          <w:b/>
          <w:szCs w:val="24"/>
          <w:lang w:eastAsia="zh-CN"/>
        </w:rPr>
        <w:t>Supplementary Figure 1. Roc-A inhibits growth of other gastrointestinal tumor cells growth in vitro.</w:t>
      </w:r>
      <w:r w:rsidRPr="00D5191A">
        <w:rPr>
          <w:rFonts w:cs="Times New Roman"/>
          <w:bCs/>
          <w:szCs w:val="24"/>
          <w:lang w:eastAsia="zh-CN"/>
        </w:rPr>
        <w:t xml:space="preserve"> </w:t>
      </w:r>
    </w:p>
    <w:p w14:paraId="73E048CC" w14:textId="1ED75B29" w:rsidR="006B2A6E" w:rsidRDefault="006B2A6E" w:rsidP="006B2A6E">
      <w:pPr>
        <w:rPr>
          <w:rFonts w:cs="Times New Roman"/>
          <w:bCs/>
          <w:szCs w:val="24"/>
          <w:lang w:eastAsia="zh-CN"/>
        </w:rPr>
      </w:pPr>
      <w:r w:rsidRPr="00D5191A">
        <w:rPr>
          <w:rFonts w:cs="Times New Roman" w:hint="eastAsia"/>
          <w:bCs/>
          <w:szCs w:val="24"/>
          <w:lang w:eastAsia="zh-CN"/>
        </w:rPr>
        <w:t>C</w:t>
      </w:r>
      <w:r w:rsidRPr="00D5191A">
        <w:rPr>
          <w:rFonts w:cs="Times New Roman"/>
          <w:bCs/>
          <w:szCs w:val="24"/>
          <w:lang w:eastAsia="zh-CN"/>
        </w:rPr>
        <w:t xml:space="preserve">ell viability was measured by CCK-8. Data are presented as mean ± SD from three independent experiments. </w:t>
      </w:r>
      <w:r w:rsidRPr="00D5191A">
        <w:rPr>
          <w:rFonts w:cs="Times New Roman" w:hint="eastAsia"/>
          <w:bCs/>
          <w:szCs w:val="24"/>
          <w:lang w:eastAsia="zh-CN"/>
        </w:rPr>
        <w:t>H</w:t>
      </w:r>
      <w:r w:rsidRPr="00D5191A">
        <w:rPr>
          <w:rFonts w:cs="Times New Roman"/>
          <w:bCs/>
          <w:szCs w:val="24"/>
          <w:lang w:eastAsia="zh-CN"/>
        </w:rPr>
        <w:t xml:space="preserve">K-2 </w:t>
      </w:r>
      <w:r w:rsidRPr="00D5191A">
        <w:rPr>
          <w:rFonts w:cs="Times New Roman" w:hint="eastAsia"/>
          <w:bCs/>
          <w:szCs w:val="24"/>
          <w:lang w:eastAsia="zh-CN"/>
        </w:rPr>
        <w:t>(</w:t>
      </w:r>
      <w:r w:rsidRPr="00D5191A">
        <w:rPr>
          <w:rFonts w:cs="Times New Roman"/>
          <w:bCs/>
          <w:szCs w:val="24"/>
          <w:lang w:eastAsia="zh-CN"/>
        </w:rPr>
        <w:t>human renal tubular epithelial cell</w:t>
      </w:r>
      <w:r w:rsidRPr="00D5191A">
        <w:rPr>
          <w:rFonts w:cs="Times New Roman" w:hint="eastAsia"/>
          <w:bCs/>
          <w:szCs w:val="24"/>
          <w:lang w:eastAsia="zh-CN"/>
        </w:rPr>
        <w:t>);</w:t>
      </w:r>
      <w:r w:rsidRPr="00D5191A">
        <w:rPr>
          <w:rFonts w:cs="Times New Roman"/>
          <w:bCs/>
          <w:szCs w:val="24"/>
          <w:lang w:eastAsia="zh-CN"/>
        </w:rPr>
        <w:t xml:space="preserve"> LO2 </w:t>
      </w:r>
      <w:r w:rsidRPr="00D5191A">
        <w:rPr>
          <w:rFonts w:cs="Times New Roman" w:hint="eastAsia"/>
          <w:bCs/>
          <w:szCs w:val="24"/>
          <w:lang w:eastAsia="zh-CN"/>
        </w:rPr>
        <w:t>(</w:t>
      </w:r>
      <w:r w:rsidRPr="00D5191A">
        <w:rPr>
          <w:rFonts w:cs="Times New Roman"/>
          <w:bCs/>
          <w:szCs w:val="24"/>
          <w:lang w:eastAsia="zh-CN"/>
        </w:rPr>
        <w:t>human live cell)</w:t>
      </w:r>
      <w:r w:rsidRPr="00D5191A">
        <w:rPr>
          <w:rFonts w:cs="Times New Roman" w:hint="eastAsia"/>
          <w:bCs/>
          <w:szCs w:val="24"/>
          <w:lang w:eastAsia="zh-CN"/>
        </w:rPr>
        <w:t>;</w:t>
      </w:r>
      <w:r w:rsidR="003A50B0" w:rsidRPr="00D5191A">
        <w:rPr>
          <w:rFonts w:cs="Times New Roman"/>
          <w:bCs/>
          <w:szCs w:val="24"/>
          <w:lang w:eastAsia="zh-CN"/>
        </w:rPr>
        <w:t xml:space="preserve"> </w:t>
      </w:r>
      <w:r w:rsidRPr="00D5191A">
        <w:rPr>
          <w:rFonts w:cs="Times New Roman" w:hint="eastAsia"/>
          <w:bCs/>
          <w:szCs w:val="24"/>
          <w:lang w:eastAsia="zh-CN"/>
        </w:rPr>
        <w:t>TFK-1</w:t>
      </w:r>
      <w:r w:rsidRPr="00D5191A">
        <w:rPr>
          <w:rFonts w:cs="Times New Roman"/>
          <w:bCs/>
          <w:szCs w:val="24"/>
          <w:lang w:eastAsia="zh-CN"/>
        </w:rPr>
        <w:t xml:space="preserve"> </w:t>
      </w:r>
      <w:r w:rsidRPr="00D5191A">
        <w:rPr>
          <w:rFonts w:cs="Times New Roman" w:hint="eastAsia"/>
          <w:bCs/>
          <w:szCs w:val="24"/>
          <w:lang w:eastAsia="zh-CN"/>
        </w:rPr>
        <w:t>(</w:t>
      </w:r>
      <w:r w:rsidRPr="00D5191A">
        <w:rPr>
          <w:rFonts w:cs="Times New Roman"/>
          <w:bCs/>
          <w:szCs w:val="24"/>
          <w:lang w:eastAsia="zh-CN"/>
        </w:rPr>
        <w:t>human cholangiocarcinoma cell</w:t>
      </w:r>
      <w:r w:rsidRPr="00D5191A">
        <w:rPr>
          <w:rFonts w:cs="Times New Roman" w:hint="eastAsia"/>
          <w:bCs/>
          <w:szCs w:val="24"/>
          <w:lang w:eastAsia="zh-CN"/>
        </w:rPr>
        <w:t>);</w:t>
      </w:r>
      <w:r w:rsidR="003A50B0" w:rsidRPr="00D5191A">
        <w:rPr>
          <w:rFonts w:cs="Times New Roman"/>
          <w:bCs/>
          <w:szCs w:val="24"/>
          <w:lang w:eastAsia="zh-CN"/>
        </w:rPr>
        <w:t xml:space="preserve"> </w:t>
      </w:r>
      <w:r w:rsidRPr="00D5191A">
        <w:rPr>
          <w:rFonts w:cs="Times New Roman" w:hint="eastAsia"/>
          <w:bCs/>
          <w:szCs w:val="24"/>
          <w:lang w:eastAsia="zh-CN"/>
        </w:rPr>
        <w:t>HepG2</w:t>
      </w:r>
      <w:r w:rsidRPr="00D5191A">
        <w:rPr>
          <w:rFonts w:cs="Times New Roman"/>
          <w:bCs/>
          <w:szCs w:val="24"/>
          <w:lang w:eastAsia="zh-CN"/>
        </w:rPr>
        <w:t xml:space="preserve"> </w:t>
      </w:r>
      <w:r w:rsidRPr="00D5191A">
        <w:rPr>
          <w:rFonts w:cs="Times New Roman" w:hint="eastAsia"/>
          <w:bCs/>
          <w:szCs w:val="24"/>
          <w:lang w:eastAsia="zh-CN"/>
        </w:rPr>
        <w:t>(</w:t>
      </w:r>
      <w:r w:rsidRPr="00D5191A">
        <w:rPr>
          <w:rFonts w:cs="Times New Roman"/>
          <w:bCs/>
          <w:szCs w:val="24"/>
          <w:lang w:eastAsia="zh-CN"/>
        </w:rPr>
        <w:t>human hepatoma carcinoma cell</w:t>
      </w:r>
      <w:r w:rsidRPr="00D5191A">
        <w:rPr>
          <w:rFonts w:cs="Times New Roman" w:hint="eastAsia"/>
          <w:bCs/>
          <w:szCs w:val="24"/>
          <w:lang w:eastAsia="zh-CN"/>
        </w:rPr>
        <w:t>);</w:t>
      </w:r>
      <w:r w:rsidRPr="00D5191A">
        <w:rPr>
          <w:rFonts w:cs="Times New Roman"/>
          <w:bCs/>
          <w:szCs w:val="24"/>
          <w:lang w:eastAsia="zh-CN"/>
        </w:rPr>
        <w:t xml:space="preserve"> </w:t>
      </w:r>
      <w:r w:rsidRPr="00D5191A">
        <w:rPr>
          <w:rFonts w:cs="Times New Roman" w:hint="eastAsia"/>
          <w:bCs/>
          <w:szCs w:val="24"/>
          <w:lang w:eastAsia="zh-CN"/>
        </w:rPr>
        <w:t>HCT-116</w:t>
      </w:r>
      <w:r w:rsidRPr="00D5191A">
        <w:rPr>
          <w:rFonts w:cs="Times New Roman"/>
          <w:bCs/>
          <w:szCs w:val="24"/>
          <w:lang w:eastAsia="zh-CN"/>
        </w:rPr>
        <w:t xml:space="preserve"> </w:t>
      </w:r>
      <w:r w:rsidRPr="00D5191A">
        <w:rPr>
          <w:rFonts w:cs="Times New Roman" w:hint="eastAsia"/>
          <w:bCs/>
          <w:szCs w:val="24"/>
          <w:lang w:eastAsia="zh-CN"/>
        </w:rPr>
        <w:t>(</w:t>
      </w:r>
      <w:r w:rsidRPr="00D5191A">
        <w:rPr>
          <w:rFonts w:cs="Times New Roman"/>
          <w:bCs/>
          <w:szCs w:val="24"/>
          <w:lang w:eastAsia="zh-CN"/>
        </w:rPr>
        <w:t>human colon cancer cell</w:t>
      </w:r>
      <w:r w:rsidRPr="00D5191A">
        <w:rPr>
          <w:rFonts w:cs="Times New Roman" w:hint="eastAsia"/>
          <w:bCs/>
          <w:szCs w:val="24"/>
          <w:lang w:eastAsia="zh-CN"/>
        </w:rPr>
        <w:t>).</w:t>
      </w:r>
    </w:p>
    <w:p w14:paraId="46D0F3A9" w14:textId="39F57369" w:rsidR="001C5E19" w:rsidRPr="00D5191A" w:rsidRDefault="001C5E19" w:rsidP="001C5E19">
      <w:pPr>
        <w:jc w:val="center"/>
        <w:rPr>
          <w:rFonts w:cs="Times New Roman"/>
          <w:b/>
          <w:szCs w:val="24"/>
          <w:lang w:eastAsia="zh-CN"/>
        </w:rPr>
      </w:pPr>
      <w:r>
        <w:rPr>
          <w:noProof/>
        </w:rPr>
        <w:drawing>
          <wp:inline distT="0" distB="0" distL="0" distR="0" wp14:anchorId="6CCBA4E0" wp14:editId="42C511D3">
            <wp:extent cx="4632726" cy="17602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85" cy="17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5AE18" w14:textId="77777777" w:rsidR="006B2A6E" w:rsidRPr="00D5191A" w:rsidRDefault="006B2A6E" w:rsidP="006B2A6E">
      <w:pPr>
        <w:rPr>
          <w:rFonts w:cs="Times New Roman"/>
          <w:b/>
          <w:szCs w:val="24"/>
          <w:lang w:eastAsia="zh-CN"/>
        </w:rPr>
      </w:pPr>
      <w:r w:rsidRPr="00D5191A">
        <w:rPr>
          <w:rFonts w:cs="Times New Roman"/>
          <w:b/>
          <w:szCs w:val="24"/>
          <w:lang w:eastAsia="zh-CN"/>
        </w:rPr>
        <w:lastRenderedPageBreak/>
        <w:t xml:space="preserve">Supplementary Figure 2. Roc-A induces cell apoptosis is not involved in ferroptosis and </w:t>
      </w:r>
      <w:proofErr w:type="spellStart"/>
      <w:r w:rsidRPr="00D5191A">
        <w:rPr>
          <w:rFonts w:cs="Times New Roman"/>
          <w:b/>
          <w:szCs w:val="24"/>
          <w:lang w:eastAsia="zh-CN"/>
        </w:rPr>
        <w:t>pyroptosis</w:t>
      </w:r>
      <w:proofErr w:type="spellEnd"/>
      <w:r w:rsidRPr="00D5191A">
        <w:rPr>
          <w:rFonts w:cs="Times New Roman"/>
          <w:b/>
          <w:szCs w:val="24"/>
          <w:lang w:eastAsia="zh-CN"/>
        </w:rPr>
        <w:t xml:space="preserve">. </w:t>
      </w:r>
    </w:p>
    <w:p w14:paraId="3804D5D1" w14:textId="3E9C4B26" w:rsidR="006B2A6E" w:rsidRDefault="006B2A6E" w:rsidP="006B2A6E">
      <w:pPr>
        <w:rPr>
          <w:rFonts w:cs="Times New Roman"/>
          <w:szCs w:val="24"/>
          <w:lang w:eastAsia="zh-CN"/>
        </w:rPr>
      </w:pPr>
      <w:r w:rsidRPr="00D5191A">
        <w:rPr>
          <w:rFonts w:cs="Times New Roman"/>
          <w:szCs w:val="24"/>
          <w:lang w:eastAsia="zh-CN"/>
        </w:rPr>
        <w:t xml:space="preserve">Western blot analyzed the levels GPX4 and Caspase-1. Cells were treated with Roc-A at the indicated concentration for 24 </w:t>
      </w:r>
      <w:proofErr w:type="gramStart"/>
      <w:r w:rsidRPr="00D5191A">
        <w:rPr>
          <w:rFonts w:cs="Times New Roman"/>
          <w:szCs w:val="24"/>
          <w:lang w:eastAsia="zh-CN"/>
        </w:rPr>
        <w:t>hours, and</w:t>
      </w:r>
      <w:proofErr w:type="gramEnd"/>
      <w:r w:rsidRPr="00D5191A">
        <w:rPr>
          <w:rFonts w:cs="Times New Roman"/>
          <w:szCs w:val="24"/>
          <w:lang w:eastAsia="zh-CN"/>
        </w:rPr>
        <w:t xml:space="preserve"> extracted the supernatant for western blot.</w:t>
      </w:r>
    </w:p>
    <w:p w14:paraId="0CFBD476" w14:textId="238F5BC8" w:rsidR="001C5E19" w:rsidRPr="00D5191A" w:rsidRDefault="001C5E19" w:rsidP="001C5E19">
      <w:pPr>
        <w:jc w:val="center"/>
        <w:rPr>
          <w:rFonts w:cs="Times New Roman"/>
          <w:b/>
          <w:szCs w:val="24"/>
          <w:lang w:eastAsia="zh-CN"/>
        </w:rPr>
      </w:pPr>
      <w:r>
        <w:rPr>
          <w:noProof/>
        </w:rPr>
        <w:drawing>
          <wp:inline distT="0" distB="0" distL="0" distR="0" wp14:anchorId="0385F110" wp14:editId="7949A553">
            <wp:extent cx="4488462" cy="216408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25" cy="21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B7996" w14:textId="77777777" w:rsidR="006B2A6E" w:rsidRPr="00D5191A" w:rsidRDefault="006B2A6E" w:rsidP="006B2A6E">
      <w:pPr>
        <w:rPr>
          <w:rFonts w:cs="Times New Roman"/>
          <w:b/>
          <w:szCs w:val="24"/>
          <w:lang w:eastAsia="zh-CN"/>
        </w:rPr>
      </w:pPr>
      <w:r w:rsidRPr="00D5191A">
        <w:rPr>
          <w:rFonts w:cs="Times New Roman"/>
          <w:b/>
          <w:szCs w:val="24"/>
          <w:lang w:eastAsia="zh-CN"/>
        </w:rPr>
        <w:t>Supplementary Figure 3. Roc-A promotes mitophagy is not involved in BNIP3L and FUNDC1 in PC cells</w:t>
      </w:r>
      <w:r w:rsidRPr="00D5191A">
        <w:rPr>
          <w:rFonts w:cs="Times New Roman" w:hint="eastAsia"/>
          <w:b/>
          <w:szCs w:val="24"/>
          <w:lang w:eastAsia="zh-CN"/>
        </w:rPr>
        <w:t>.</w:t>
      </w:r>
      <w:r w:rsidRPr="00D5191A">
        <w:rPr>
          <w:rFonts w:cs="Times New Roman"/>
          <w:b/>
          <w:szCs w:val="24"/>
          <w:lang w:eastAsia="zh-CN"/>
        </w:rPr>
        <w:t xml:space="preserve"> </w:t>
      </w:r>
    </w:p>
    <w:p w14:paraId="7DC42DFB" w14:textId="7DC1C263" w:rsidR="006B2A6E" w:rsidRDefault="006B2A6E" w:rsidP="006B2A6E">
      <w:pPr>
        <w:rPr>
          <w:lang w:eastAsia="zh-CN"/>
        </w:rPr>
      </w:pPr>
      <w:r w:rsidRPr="00D5191A">
        <w:rPr>
          <w:rFonts w:cs="Times New Roman"/>
          <w:szCs w:val="24"/>
          <w:lang w:eastAsia="zh-CN"/>
        </w:rPr>
        <w:t>Western blot analyzed the protein level of BNIP3L and FUNDC1.</w:t>
      </w:r>
      <w:r w:rsidRPr="00D5191A">
        <w:rPr>
          <w:lang w:eastAsia="zh-CN"/>
        </w:rPr>
        <w:t xml:space="preserve"> </w:t>
      </w:r>
    </w:p>
    <w:p w14:paraId="0D4B4648" w14:textId="69E45AF8" w:rsidR="001C5E19" w:rsidRPr="00D5191A" w:rsidRDefault="001C5E19" w:rsidP="001C5E19">
      <w:pPr>
        <w:jc w:val="center"/>
        <w:rPr>
          <w:rFonts w:cs="Times New Roman"/>
          <w:b/>
          <w:szCs w:val="24"/>
          <w:lang w:eastAsia="zh-CN"/>
        </w:rPr>
      </w:pPr>
      <w:r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7591F755" wp14:editId="3E8AB23B">
            <wp:extent cx="5047615" cy="3420110"/>
            <wp:effectExtent l="0" t="0" r="63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2F960" w14:textId="77777777" w:rsidR="001C5E19" w:rsidRDefault="006B2A6E" w:rsidP="001C5E19">
      <w:pPr>
        <w:rPr>
          <w:rFonts w:cs="Times New Roman"/>
          <w:b/>
          <w:szCs w:val="24"/>
          <w:lang w:eastAsia="zh-CN"/>
        </w:rPr>
      </w:pPr>
      <w:r w:rsidRPr="00D5191A">
        <w:rPr>
          <w:rFonts w:cs="Times New Roman"/>
          <w:b/>
          <w:szCs w:val="24"/>
          <w:lang w:eastAsia="zh-CN"/>
        </w:rPr>
        <w:t xml:space="preserve">Supplementary Figure </w:t>
      </w:r>
      <w:r w:rsidRPr="00D5191A">
        <w:rPr>
          <w:rFonts w:cs="Times New Roman" w:hint="eastAsia"/>
          <w:b/>
          <w:szCs w:val="24"/>
          <w:lang w:eastAsia="zh-CN"/>
        </w:rPr>
        <w:t>4</w:t>
      </w:r>
      <w:r w:rsidRPr="00D5191A">
        <w:rPr>
          <w:rFonts w:cs="Times New Roman"/>
          <w:b/>
          <w:szCs w:val="24"/>
          <w:lang w:eastAsia="zh-CN"/>
        </w:rPr>
        <w:t>. Silenced PINK1 can also reduce Roc-A-induced cell viability and mitophagy.</w:t>
      </w:r>
      <w:r w:rsidRPr="00D5191A">
        <w:rPr>
          <w:rFonts w:cs="Times New Roman" w:hint="eastAsia"/>
          <w:b/>
          <w:szCs w:val="24"/>
          <w:lang w:eastAsia="zh-CN"/>
        </w:rPr>
        <w:t xml:space="preserve"> </w:t>
      </w:r>
    </w:p>
    <w:p w14:paraId="241BE799" w14:textId="57B727E9" w:rsidR="006B2A6E" w:rsidRPr="001C5E19" w:rsidRDefault="006B2A6E" w:rsidP="001C5E19">
      <w:pPr>
        <w:rPr>
          <w:rFonts w:cs="Times New Roman"/>
          <w:b/>
          <w:szCs w:val="24"/>
          <w:lang w:eastAsia="zh-CN"/>
        </w:rPr>
      </w:pPr>
      <w:r w:rsidRPr="00D5191A">
        <w:rPr>
          <w:lang w:eastAsia="zh-CN"/>
        </w:rPr>
        <w:t xml:space="preserve">Western blotting analyzed the protein level of PINK1 after cells were transfected with siRNA against PINK1. B. CCK-8 assay measured cell viability after cells were transfected with siRNA against </w:t>
      </w:r>
      <w:r w:rsidRPr="00D5191A">
        <w:rPr>
          <w:lang w:eastAsia="zh-CN"/>
        </w:rPr>
        <w:lastRenderedPageBreak/>
        <w:t xml:space="preserve">PINK1 in the absence or presence with Roc-A (50 </w:t>
      </w:r>
      <w:proofErr w:type="spellStart"/>
      <w:r w:rsidRPr="00D5191A">
        <w:rPr>
          <w:lang w:eastAsia="zh-CN"/>
        </w:rPr>
        <w:t>nM</w:t>
      </w:r>
      <w:proofErr w:type="spellEnd"/>
      <w:r w:rsidRPr="00D5191A">
        <w:rPr>
          <w:lang w:eastAsia="zh-CN"/>
        </w:rPr>
        <w:t xml:space="preserve">). </w:t>
      </w:r>
      <w:r w:rsidRPr="00D5191A">
        <w:rPr>
          <w:lang w:eastAsia="en-GB"/>
        </w:rPr>
        <w:t xml:space="preserve">Data are presented as mean ± SD from three independent experiments. </w:t>
      </w:r>
      <w:r w:rsidRPr="00D5191A">
        <w:rPr>
          <w:lang w:eastAsia="zh-CN"/>
        </w:rPr>
        <w:t xml:space="preserve">The asterisks indicate a statistically significant effect of treatment. </w:t>
      </w:r>
      <w:r w:rsidRPr="00D5191A">
        <w:rPr>
          <w:lang w:eastAsia="en-GB"/>
        </w:rPr>
        <w:t>*, p &lt;. 05.</w:t>
      </w:r>
      <w:r w:rsidRPr="001C5E19">
        <w:rPr>
          <w:rFonts w:hint="eastAsia"/>
          <w:b/>
          <w:lang w:eastAsia="zh-CN"/>
        </w:rPr>
        <w:t xml:space="preserve"> </w:t>
      </w:r>
      <w:r w:rsidRPr="00D5191A">
        <w:rPr>
          <w:lang w:eastAsia="zh-CN"/>
        </w:rPr>
        <w:t xml:space="preserve">C. PANC-1 transfected with GFP-LC3B were incubated with or without Roc-A (50 </w:t>
      </w:r>
      <w:proofErr w:type="spellStart"/>
      <w:r w:rsidRPr="00D5191A">
        <w:rPr>
          <w:lang w:eastAsia="zh-CN"/>
        </w:rPr>
        <w:t>nM</w:t>
      </w:r>
      <w:proofErr w:type="spellEnd"/>
      <w:r w:rsidRPr="00D5191A">
        <w:rPr>
          <w:lang w:eastAsia="zh-CN"/>
        </w:rPr>
        <w:t xml:space="preserve">) for 24 hours and stained with </w:t>
      </w:r>
      <w:proofErr w:type="spellStart"/>
      <w:r w:rsidRPr="00D5191A">
        <w:rPr>
          <w:lang w:eastAsia="zh-CN"/>
        </w:rPr>
        <w:t>MitoTracker</w:t>
      </w:r>
      <w:proofErr w:type="spellEnd"/>
      <w:r w:rsidRPr="00D5191A">
        <w:rPr>
          <w:lang w:eastAsia="zh-CN"/>
        </w:rPr>
        <w:t xml:space="preserve"> Red. Confocal microscope was used to observe and photograph images.</w:t>
      </w:r>
    </w:p>
    <w:p w14:paraId="24743246" w14:textId="21D4B5BE" w:rsidR="001C5E19" w:rsidRPr="001C5E19" w:rsidRDefault="001C5E19" w:rsidP="001C5E19">
      <w:pPr>
        <w:jc w:val="center"/>
        <w:rPr>
          <w:b/>
          <w:lang w:eastAsia="zh-CN"/>
        </w:rPr>
      </w:pPr>
      <w:r>
        <w:rPr>
          <w:b/>
          <w:noProof/>
          <w:lang w:eastAsia="zh-CN"/>
        </w:rPr>
        <w:drawing>
          <wp:inline distT="0" distB="0" distL="0" distR="0" wp14:anchorId="672000CA" wp14:editId="3D4BD91B">
            <wp:extent cx="4151630" cy="3255645"/>
            <wp:effectExtent l="0" t="0" r="127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0981F" w14:textId="77777777" w:rsidR="006B2A6E" w:rsidRPr="00D5191A" w:rsidRDefault="006B2A6E" w:rsidP="006B2A6E">
      <w:pPr>
        <w:rPr>
          <w:rFonts w:eastAsia="SimSun"/>
          <w:szCs w:val="24"/>
          <w:lang w:eastAsia="zh-CN"/>
        </w:rPr>
      </w:pPr>
      <w:r w:rsidRPr="00D5191A">
        <w:rPr>
          <w:rFonts w:cs="Times New Roman"/>
          <w:b/>
          <w:szCs w:val="24"/>
          <w:lang w:eastAsia="zh-CN"/>
        </w:rPr>
        <w:t xml:space="preserve">Supplementary Figure 5. </w:t>
      </w:r>
      <w:r w:rsidRPr="00D5191A">
        <w:rPr>
          <w:rFonts w:eastAsia="SimSun"/>
          <w:szCs w:val="24"/>
          <w:lang w:eastAsia="zh-CN"/>
        </w:rPr>
        <w:t xml:space="preserve">NAC can decrease Roc-A together with siATG5 and </w:t>
      </w:r>
      <w:proofErr w:type="spellStart"/>
      <w:r w:rsidRPr="00D5191A">
        <w:rPr>
          <w:rFonts w:eastAsia="SimSun"/>
          <w:szCs w:val="24"/>
          <w:lang w:eastAsia="zh-CN"/>
        </w:rPr>
        <w:t>siParkin</w:t>
      </w:r>
      <w:proofErr w:type="spellEnd"/>
      <w:r w:rsidRPr="00D5191A">
        <w:rPr>
          <w:rFonts w:eastAsia="SimSun"/>
          <w:szCs w:val="24"/>
          <w:lang w:eastAsia="zh-CN"/>
        </w:rPr>
        <w:t xml:space="preserve"> induced cell death.</w:t>
      </w:r>
    </w:p>
    <w:p w14:paraId="721A6464" w14:textId="7B5F1A32" w:rsidR="00AC1DB0" w:rsidRPr="001C5E19" w:rsidRDefault="006B2A6E" w:rsidP="001C5E19">
      <w:pPr>
        <w:rPr>
          <w:lang w:eastAsia="en-GB"/>
        </w:rPr>
      </w:pPr>
      <w:r w:rsidRPr="00D5191A">
        <w:rPr>
          <w:lang w:eastAsia="zh-CN"/>
        </w:rPr>
        <w:t xml:space="preserve">CCK-8 assay measured cell viability after cells were treated with </w:t>
      </w:r>
      <w:r w:rsidRPr="00D5191A">
        <w:rPr>
          <w:rFonts w:eastAsia="SimSun"/>
          <w:szCs w:val="24"/>
          <w:lang w:eastAsia="zh-CN"/>
        </w:rPr>
        <w:t xml:space="preserve">Roc-A(50nM) together with siATG5 and </w:t>
      </w:r>
      <w:proofErr w:type="spellStart"/>
      <w:r w:rsidRPr="00D5191A">
        <w:rPr>
          <w:rFonts w:eastAsia="SimSun"/>
          <w:szCs w:val="24"/>
          <w:lang w:eastAsia="zh-CN"/>
        </w:rPr>
        <w:t>siParkin</w:t>
      </w:r>
      <w:proofErr w:type="spellEnd"/>
      <w:r w:rsidRPr="00D5191A">
        <w:rPr>
          <w:rFonts w:eastAsia="SimSun"/>
          <w:szCs w:val="24"/>
          <w:lang w:eastAsia="zh-CN"/>
        </w:rPr>
        <w:t xml:space="preserve"> or NAC (5 mM) for 24 hours.</w:t>
      </w:r>
      <w:r w:rsidRPr="00D5191A">
        <w:rPr>
          <w:lang w:eastAsia="en-GB"/>
        </w:rPr>
        <w:t xml:space="preserve"> Data are presented as mean ± SD from three independent experiments. </w:t>
      </w:r>
      <w:r w:rsidRPr="00D5191A">
        <w:rPr>
          <w:lang w:eastAsia="zh-CN"/>
        </w:rPr>
        <w:t xml:space="preserve">The asterisks indicate a statistically significant effect of treatment. </w:t>
      </w:r>
      <w:r w:rsidRPr="00D5191A">
        <w:rPr>
          <w:lang w:eastAsia="en-GB"/>
        </w:rPr>
        <w:t>*, p &lt;. 05; **, p &lt;. 01.</w:t>
      </w:r>
    </w:p>
    <w:sectPr w:rsidR="00AC1DB0" w:rsidRPr="001C5E19" w:rsidSect="00132B0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64409" w14:textId="77777777" w:rsidR="00352510" w:rsidRDefault="00352510" w:rsidP="006B2A6E">
      <w:pPr>
        <w:spacing w:before="0" w:after="0"/>
      </w:pPr>
      <w:r>
        <w:separator/>
      </w:r>
    </w:p>
  </w:endnote>
  <w:endnote w:type="continuationSeparator" w:id="0">
    <w:p w14:paraId="016DD91F" w14:textId="77777777" w:rsidR="00352510" w:rsidRDefault="00352510" w:rsidP="006B2A6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vOT596495f2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BACA3" w14:textId="77777777" w:rsidR="004A5826" w:rsidRPr="00577C4C" w:rsidRDefault="00267F6D">
    <w:pPr>
      <w:pStyle w:val="Footer"/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B3CFF0" wp14:editId="213CF96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CDC7696" w14:textId="77777777" w:rsidR="004A5826" w:rsidRPr="00577C4C" w:rsidRDefault="00267F6D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6E7976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14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3D13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4A5826" w:rsidRPr="00577C4C" w:rsidRDefault="00267F6D">
                    <w:pPr>
                      <w:pStyle w:val="a6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6E7976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14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8B872" w14:textId="77777777" w:rsidR="004A5826" w:rsidRPr="00577C4C" w:rsidRDefault="00267F6D">
    <w:pPr>
      <w:pStyle w:val="Footer"/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82494" wp14:editId="73E024E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CDCCA32" w14:textId="77777777" w:rsidR="004A5826" w:rsidRPr="00577C4C" w:rsidRDefault="00267F6D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B2A6E" w:rsidRPr="006B2A6E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F6ED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4A5826" w:rsidRPr="00577C4C" w:rsidRDefault="00267F6D">
                    <w:pPr>
                      <w:pStyle w:val="a6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B2A6E" w:rsidRPr="006B2A6E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4F4F1" w14:textId="77777777" w:rsidR="00352510" w:rsidRDefault="00352510" w:rsidP="006B2A6E">
      <w:pPr>
        <w:spacing w:before="0" w:after="0"/>
      </w:pPr>
      <w:r>
        <w:separator/>
      </w:r>
    </w:p>
  </w:footnote>
  <w:footnote w:type="continuationSeparator" w:id="0">
    <w:p w14:paraId="66BEDA8F" w14:textId="77777777" w:rsidR="00352510" w:rsidRDefault="00352510" w:rsidP="006B2A6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9A298" w14:textId="77777777" w:rsidR="004A5826" w:rsidRPr="007E3148" w:rsidRDefault="00267F6D" w:rsidP="00A736B7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2C356A">
      <w:t xml:space="preserve"> Roc-A induce apoptosis and mitophagy in PC.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6A98C" w14:textId="77777777" w:rsidR="004A5826" w:rsidRPr="00A53000" w:rsidRDefault="00267F6D" w:rsidP="00A736B7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 w:rsidRPr="002C356A">
      <w:t xml:space="preserve"> Roc-A induce apoptosis and mitophagy in PC.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6898D" w14:textId="77777777" w:rsidR="004A5826" w:rsidRDefault="00267F6D" w:rsidP="00A736B7">
    <w:pPr>
      <w:pStyle w:val="Header"/>
    </w:pPr>
    <w:r w:rsidRPr="005A1D84">
      <w:rPr>
        <w:noProof/>
        <w:color w:val="A6A6A6" w:themeColor="background1" w:themeShade="A6"/>
        <w:lang w:eastAsia="zh-CN"/>
      </w:rPr>
      <w:drawing>
        <wp:inline distT="0" distB="0" distL="0" distR="0" wp14:anchorId="78F44AF1" wp14:editId="4EEBF32A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DE1E97"/>
    <w:multiLevelType w:val="hybridMultilevel"/>
    <w:tmpl w:val="F1281BBA"/>
    <w:lvl w:ilvl="0" w:tplc="5F8C0F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2A7CAC"/>
    <w:multiLevelType w:val="multilevel"/>
    <w:tmpl w:val="C6A8CCEA"/>
    <w:numStyleLink w:val="Headings"/>
  </w:abstractNum>
  <w:abstractNum w:abstractNumId="7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4B7D5D"/>
    <w:multiLevelType w:val="hybridMultilevel"/>
    <w:tmpl w:val="E05CE894"/>
    <w:lvl w:ilvl="0" w:tplc="E59AEC18">
      <w:start w:val="1"/>
      <w:numFmt w:val="upperLetter"/>
      <w:lvlText w:val="%1."/>
      <w:lvlJc w:val="left"/>
      <w:pPr>
        <w:ind w:left="36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FA75DEE"/>
    <w:multiLevelType w:val="hybridMultilevel"/>
    <w:tmpl w:val="B8BCAF7A"/>
    <w:lvl w:ilvl="0" w:tplc="58E0FB2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26C16EF"/>
    <w:multiLevelType w:val="hybridMultilevel"/>
    <w:tmpl w:val="B6AC7524"/>
    <w:lvl w:ilvl="0" w:tplc="47062604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BC6F29"/>
    <w:multiLevelType w:val="multilevel"/>
    <w:tmpl w:val="C6A8CCEA"/>
    <w:numStyleLink w:val="Headings"/>
  </w:abstractNum>
  <w:abstractNum w:abstractNumId="21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1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9"/>
  </w:num>
  <w:num w:numId="8">
    <w:abstractNumId w:val="7"/>
  </w:num>
  <w:num w:numId="9">
    <w:abstractNumId w:val="10"/>
  </w:num>
  <w:num w:numId="10">
    <w:abstractNumId w:val="8"/>
  </w:num>
  <w:num w:numId="11">
    <w:abstractNumId w:val="2"/>
  </w:num>
  <w:num w:numId="12">
    <w:abstractNumId w:val="21"/>
  </w:num>
  <w:num w:numId="13">
    <w:abstractNumId w:val="13"/>
  </w:num>
  <w:num w:numId="14">
    <w:abstractNumId w:val="4"/>
  </w:num>
  <w:num w:numId="15">
    <w:abstractNumId w:val="12"/>
  </w:num>
  <w:num w:numId="16">
    <w:abstractNumId w:val="17"/>
  </w:num>
  <w:num w:numId="17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20"/>
  </w:num>
  <w:num w:numId="21">
    <w:abstractNumId w:val="3"/>
  </w:num>
  <w:num w:numId="22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>
    <w:abstractNumId w:val="5"/>
  </w:num>
  <w:num w:numId="25">
    <w:abstractNumId w:val="16"/>
  </w:num>
  <w:num w:numId="26">
    <w:abstractNumId w:val="15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uthor-Dat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x0tvxz2ewwz0setadqpef9bf5z5zwd5vxfe&quot;&gt;我的EndNote库&lt;record-ids&gt;&lt;item&gt;61&lt;/item&gt;&lt;/record-ids&gt;&lt;/item&gt;&lt;/Libraries&gt;"/>
  </w:docVars>
  <w:rsids>
    <w:rsidRoot w:val="003C4E0A"/>
    <w:rsid w:val="0003268E"/>
    <w:rsid w:val="00132B00"/>
    <w:rsid w:val="00197ABC"/>
    <w:rsid w:val="001A3A82"/>
    <w:rsid w:val="001C5E19"/>
    <w:rsid w:val="0023149F"/>
    <w:rsid w:val="0024416B"/>
    <w:rsid w:val="00267F6D"/>
    <w:rsid w:val="003145D4"/>
    <w:rsid w:val="00352510"/>
    <w:rsid w:val="003A50B0"/>
    <w:rsid w:val="003C4E0A"/>
    <w:rsid w:val="004C3E11"/>
    <w:rsid w:val="005F1B69"/>
    <w:rsid w:val="005F320C"/>
    <w:rsid w:val="00675356"/>
    <w:rsid w:val="006B2A6E"/>
    <w:rsid w:val="006F4309"/>
    <w:rsid w:val="007055D3"/>
    <w:rsid w:val="008269DB"/>
    <w:rsid w:val="008849D6"/>
    <w:rsid w:val="009E1A34"/>
    <w:rsid w:val="00A30FD0"/>
    <w:rsid w:val="00A57E88"/>
    <w:rsid w:val="00AC1DB0"/>
    <w:rsid w:val="00C1658F"/>
    <w:rsid w:val="00D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983FC50"/>
  <w15:chartTrackingRefBased/>
  <w15:docId w15:val="{672E972F-353F-45E6-9CE6-D823BD427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A6E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6B2A6E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6B2A6E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6B2A6E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6B2A6E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6B2A6E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A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B2A6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B2A6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B2A6E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6B2A6E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6B2A6E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6B2A6E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6B2A6E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6B2A6E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paragraph" w:customStyle="1" w:styleId="EndNoteBibliographyTitle">
    <w:name w:val="EndNote Bibliography Title"/>
    <w:basedOn w:val="Normal"/>
    <w:link w:val="EndNoteBibliographyTitle0"/>
    <w:rsid w:val="006B2A6E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6B2A6E"/>
    <w:rPr>
      <w:rFonts w:ascii="DengXian" w:eastAsia="DengXian" w:hAnsi="DengXian"/>
      <w:noProof/>
      <w:kern w:val="0"/>
      <w:sz w:val="20"/>
      <w:lang w:eastAsia="en-US"/>
    </w:rPr>
  </w:style>
  <w:style w:type="paragraph" w:customStyle="1" w:styleId="EndNoteBibliography">
    <w:name w:val="EndNote Bibliography"/>
    <w:basedOn w:val="Normal"/>
    <w:link w:val="EndNoteBibliography0"/>
    <w:rsid w:val="006B2A6E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6B2A6E"/>
    <w:rPr>
      <w:rFonts w:ascii="DengXian" w:eastAsia="DengXian" w:hAnsi="DengXian"/>
      <w:noProof/>
      <w:kern w:val="0"/>
      <w:sz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B2A6E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6B2A6E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4"/>
    <w:qFormat/>
    <w:rsid w:val="006B2A6E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6B2A6E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6B2A6E"/>
    <w:pPr>
      <w:spacing w:before="100" w:beforeAutospacing="1" w:after="100" w:afterAutospacing="1"/>
    </w:pPr>
    <w:rPr>
      <w:rFonts w:eastAsia="Times New Roman" w:cs="Times New Roman"/>
      <w:szCs w:val="24"/>
    </w:rPr>
  </w:style>
  <w:style w:type="table" w:styleId="TableGrid">
    <w:name w:val="Table Grid"/>
    <w:basedOn w:val="TableNormal"/>
    <w:uiPriority w:val="59"/>
    <w:rsid w:val="006B2A6E"/>
    <w:rPr>
      <w:rFonts w:asciiTheme="majorHAnsi" w:hAnsiTheme="majorHAnsi"/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B2A6E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2A6E"/>
    <w:rPr>
      <w:rFonts w:ascii="Times New Roman" w:hAnsi="Times New Roman"/>
      <w:kern w:val="0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B2A6E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6B2A6E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A6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A6E"/>
    <w:rPr>
      <w:rFonts w:ascii="Tahoma" w:hAnsi="Tahoma" w:cs="Tahoma"/>
      <w:kern w:val="0"/>
      <w:sz w:val="16"/>
      <w:szCs w:val="16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6B2A6E"/>
  </w:style>
  <w:style w:type="paragraph" w:styleId="EndnoteText">
    <w:name w:val="endnote text"/>
    <w:basedOn w:val="Normal"/>
    <w:link w:val="EndnoteTextChar"/>
    <w:uiPriority w:val="99"/>
    <w:semiHidden/>
    <w:unhideWhenUsed/>
    <w:rsid w:val="006B2A6E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2A6E"/>
    <w:rPr>
      <w:rFonts w:ascii="Times New Roman" w:hAnsi="Times New Roman"/>
      <w:kern w:val="0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6B2A6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B2A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2A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2A6E"/>
    <w:rPr>
      <w:rFonts w:ascii="Times New Roman" w:hAnsi="Times New Roman"/>
      <w:kern w:val="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2A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2A6E"/>
    <w:rPr>
      <w:rFonts w:ascii="Times New Roman" w:hAnsi="Times New Roman"/>
      <w:b/>
      <w:bCs/>
      <w:kern w:val="0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B2A6E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6B2A6E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B2A6E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6B2A6E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B2A6E"/>
    <w:rPr>
      <w:rFonts w:ascii="Times New Roman" w:hAnsi="Times New Roman" w:cs="Times New Roman"/>
      <w:b/>
      <w:kern w:val="0"/>
      <w:sz w:val="24"/>
      <w:szCs w:val="24"/>
      <w:lang w:eastAsia="en-US"/>
    </w:rPr>
  </w:style>
  <w:style w:type="paragraph" w:styleId="NoSpacing">
    <w:name w:val="No Spacing"/>
    <w:uiPriority w:val="99"/>
    <w:unhideWhenUsed/>
    <w:qFormat/>
    <w:rsid w:val="006B2A6E"/>
    <w:rPr>
      <w:rFonts w:ascii="Times New Roman" w:hAnsi="Times New Roman"/>
      <w:kern w:val="0"/>
      <w:sz w:val="24"/>
      <w:lang w:eastAsia="en-US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B2A6E"/>
  </w:style>
  <w:style w:type="character" w:styleId="SubtleEmphasis">
    <w:name w:val="Subtle Emphasis"/>
    <w:basedOn w:val="DefaultParagraphFont"/>
    <w:uiPriority w:val="19"/>
    <w:qFormat/>
    <w:rsid w:val="006B2A6E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6B2A6E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6B2A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2A6E"/>
    <w:rPr>
      <w:rFonts w:ascii="Times New Roman" w:hAnsi="Times New Roman"/>
      <w:i/>
      <w:iCs/>
      <w:color w:val="404040" w:themeColor="text1" w:themeTint="BF"/>
      <w:kern w:val="0"/>
      <w:sz w:val="24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6B2A6E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6B2A6E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6B2A6E"/>
    <w:pPr>
      <w:numPr>
        <w:numId w:val="21"/>
      </w:numPr>
    </w:pPr>
  </w:style>
  <w:style w:type="paragraph" w:styleId="Revision">
    <w:name w:val="Revision"/>
    <w:hidden/>
    <w:uiPriority w:val="99"/>
    <w:semiHidden/>
    <w:rsid w:val="006B2A6E"/>
    <w:rPr>
      <w:rFonts w:ascii="Times New Roman" w:hAnsi="Times New Roman"/>
      <w:kern w:val="0"/>
      <w:sz w:val="24"/>
      <w:lang w:eastAsia="en-US"/>
    </w:rPr>
  </w:style>
  <w:style w:type="character" w:customStyle="1" w:styleId="1">
    <w:name w:val="未处理的提及1"/>
    <w:basedOn w:val="DefaultParagraphFont"/>
    <w:uiPriority w:val="99"/>
    <w:semiHidden/>
    <w:unhideWhenUsed/>
    <w:rsid w:val="006B2A6E"/>
    <w:rPr>
      <w:color w:val="605E5C"/>
      <w:shd w:val="clear" w:color="auto" w:fill="E1DFDD"/>
    </w:rPr>
  </w:style>
  <w:style w:type="paragraph" w:customStyle="1" w:styleId="MDPI31text">
    <w:name w:val="MDPI_3.1_text"/>
    <w:link w:val="MDPI31text0"/>
    <w:qFormat/>
    <w:rsid w:val="006B2A6E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character" w:customStyle="1" w:styleId="MDPI31text0">
    <w:name w:val="MDPI_3.1_text 字符"/>
    <w:basedOn w:val="DefaultParagraphFont"/>
    <w:link w:val="MDPI31text"/>
    <w:rsid w:val="006B2A6E"/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64CoI">
    <w:name w:val="MDPI_6.4_CoI"/>
    <w:basedOn w:val="Normal"/>
    <w:qFormat/>
    <w:rsid w:val="006B2A6E"/>
    <w:pPr>
      <w:adjustRightInd w:val="0"/>
      <w:snapToGrid w:val="0"/>
      <w:spacing w:after="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62Acknowledgments">
    <w:name w:val="MDPI_6.2_Acknowledgments"/>
    <w:qFormat/>
    <w:rsid w:val="006B2A6E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de-DE" w:bidi="en-US"/>
    </w:rPr>
  </w:style>
  <w:style w:type="character" w:customStyle="1" w:styleId="fontstyle01">
    <w:name w:val="fontstyle01"/>
    <w:basedOn w:val="DefaultParagraphFont"/>
    <w:rsid w:val="006B2A6E"/>
    <w:rPr>
      <w:rFonts w:ascii="AdvOT596495f2" w:hAnsi="AdvOT596495f2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2">
    <w:name w:val="未处理的提及2"/>
    <w:basedOn w:val="DefaultParagraphFont"/>
    <w:uiPriority w:val="99"/>
    <w:semiHidden/>
    <w:unhideWhenUsed/>
    <w:rsid w:val="006B2A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yqin@tjh.tjmu.edu.cn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2013tj0574@hust.edu.cn" TargetMode="Externa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392</Words>
  <Characters>2240</Characters>
  <Application>Microsoft Office Word</Application>
  <DocSecurity>0</DocSecurity>
  <Lines>18</Lines>
  <Paragraphs>5</Paragraphs>
  <ScaleCrop>false</ScaleCrop>
  <Company>HP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丽蔓</dc:creator>
  <cp:keywords/>
  <dc:description/>
  <cp:lastModifiedBy>Gillian Attard</cp:lastModifiedBy>
  <cp:revision>12</cp:revision>
  <dcterms:created xsi:type="dcterms:W3CDTF">2019-07-09T07:49:00Z</dcterms:created>
  <dcterms:modified xsi:type="dcterms:W3CDTF">2019-08-13T11:17:00Z</dcterms:modified>
</cp:coreProperties>
</file>