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21B" w:rsidRDefault="00FC621B" w:rsidP="007445FB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  <w:highlight w:val="white"/>
          <w:u w:val="single"/>
        </w:rPr>
      </w:pPr>
      <w:r w:rsidRPr="00FC621B">
        <w:rPr>
          <w:rFonts w:ascii="Arial" w:eastAsia="Arial" w:hAnsi="Arial" w:cs="Arial"/>
          <w:b/>
          <w:sz w:val="24"/>
          <w:szCs w:val="24"/>
          <w:highlight w:val="white"/>
          <w:u w:val="single"/>
        </w:rPr>
        <w:t>Supplementary Figures</w:t>
      </w:r>
    </w:p>
    <w:p w:rsidR="00615245" w:rsidRDefault="008C48A0" w:rsidP="008C48A0">
      <w:pPr>
        <w:spacing w:line="360" w:lineRule="auto"/>
        <w:jc w:val="center"/>
      </w:pPr>
      <w:r w:rsidRPr="008C48A0">
        <w:rPr>
          <w:rFonts w:ascii="Arial" w:eastAsia="Arial" w:hAnsi="Arial" w:cs="Arial"/>
          <w:noProof/>
          <w:sz w:val="24"/>
          <w:szCs w:val="24"/>
          <w:highlight w:val="white"/>
        </w:rPr>
        <w:drawing>
          <wp:inline distT="0" distB="0" distL="0" distR="0" wp14:anchorId="274CC9D9" wp14:editId="348A659A">
            <wp:extent cx="5400040" cy="3598545"/>
            <wp:effectExtent l="0" t="0" r="0" b="0"/>
            <wp:docPr id="7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D91B6C65-DCB2-4A0B-976E-41B39502AB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D91B6C65-DCB2-4A0B-976E-41B39502AB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245" w:rsidRPr="00615245" w:rsidRDefault="00615245" w:rsidP="00615245">
      <w:pPr>
        <w:jc w:val="both"/>
        <w:rPr>
          <w:sz w:val="24"/>
          <w:szCs w:val="24"/>
        </w:rPr>
      </w:pPr>
      <w:bookmarkStart w:id="0" w:name="_Hlk8312447"/>
      <w:r w:rsidRPr="00615245">
        <w:rPr>
          <w:rFonts w:ascii="Arial" w:eastAsia="Arial" w:hAnsi="Arial" w:cs="Arial"/>
          <w:b/>
          <w:sz w:val="24"/>
          <w:szCs w:val="24"/>
        </w:rPr>
        <w:t xml:space="preserve">Supplementary Figure 1 </w:t>
      </w:r>
      <w:bookmarkEnd w:id="0"/>
      <w:r w:rsidRPr="00615245">
        <w:rPr>
          <w:rFonts w:ascii="Arial" w:eastAsia="Arial" w:hAnsi="Arial" w:cs="Arial"/>
          <w:b/>
          <w:sz w:val="24"/>
          <w:szCs w:val="24"/>
        </w:rPr>
        <w:t>- Community structure evaluated in 9 paired CRC and normal tissue samples.</w:t>
      </w:r>
      <w:r w:rsidRPr="00615245">
        <w:rPr>
          <w:rFonts w:ascii="Arial" w:eastAsia="Arial" w:hAnsi="Arial" w:cs="Arial"/>
          <w:sz w:val="24"/>
          <w:szCs w:val="24"/>
        </w:rPr>
        <w:t xml:space="preserve"> </w:t>
      </w:r>
      <w:r w:rsidRPr="00615245">
        <w:rPr>
          <w:rFonts w:ascii="Arial" w:eastAsia="Arial" w:hAnsi="Arial" w:cs="Arial"/>
          <w:b/>
          <w:sz w:val="24"/>
          <w:szCs w:val="24"/>
        </w:rPr>
        <w:t>A.</w:t>
      </w:r>
      <w:r w:rsidRPr="00615245">
        <w:rPr>
          <w:rFonts w:ascii="Arial" w:eastAsia="Arial" w:hAnsi="Arial" w:cs="Arial"/>
          <w:sz w:val="24"/>
          <w:szCs w:val="24"/>
        </w:rPr>
        <w:t xml:space="preserve"> Rarefaction curve showing the average number of observed OTUS for both groups. </w:t>
      </w:r>
      <w:r w:rsidRPr="00615245">
        <w:rPr>
          <w:rFonts w:ascii="Arial" w:eastAsia="Arial" w:hAnsi="Arial" w:cs="Arial"/>
          <w:b/>
          <w:sz w:val="24"/>
          <w:szCs w:val="24"/>
        </w:rPr>
        <w:t>B.</w:t>
      </w:r>
      <w:r w:rsidRPr="00615245">
        <w:rPr>
          <w:rFonts w:ascii="Arial" w:eastAsia="Arial" w:hAnsi="Arial" w:cs="Arial"/>
          <w:sz w:val="24"/>
          <w:szCs w:val="24"/>
        </w:rPr>
        <w:t xml:space="preserve"> Rarefaction curve showing the average number of phylogenetic diversities by metric Faith's phylogenetic diversity whole tree (</w:t>
      </w:r>
      <w:proofErr w:type="spellStart"/>
      <w:r w:rsidRPr="00615245">
        <w:rPr>
          <w:rFonts w:ascii="Arial" w:eastAsia="Arial" w:hAnsi="Arial" w:cs="Arial"/>
          <w:sz w:val="24"/>
          <w:szCs w:val="24"/>
        </w:rPr>
        <w:t>PD_whole_tree</w:t>
      </w:r>
      <w:proofErr w:type="spellEnd"/>
      <w:r w:rsidRPr="00615245">
        <w:rPr>
          <w:rFonts w:ascii="Arial" w:eastAsia="Arial" w:hAnsi="Arial" w:cs="Arial"/>
          <w:sz w:val="24"/>
          <w:szCs w:val="24"/>
        </w:rPr>
        <w:t xml:space="preserve">) for both groups. </w:t>
      </w:r>
      <w:r w:rsidRPr="00615245">
        <w:rPr>
          <w:rFonts w:ascii="Arial" w:eastAsia="Arial" w:hAnsi="Arial" w:cs="Arial"/>
          <w:b/>
          <w:sz w:val="24"/>
          <w:szCs w:val="24"/>
        </w:rPr>
        <w:t>C.</w:t>
      </w:r>
      <w:r w:rsidRPr="00615245">
        <w:rPr>
          <w:rFonts w:ascii="Arial" w:eastAsia="Arial" w:hAnsi="Arial" w:cs="Arial"/>
          <w:sz w:val="24"/>
          <w:szCs w:val="24"/>
        </w:rPr>
        <w:t xml:space="preserve"> Boxplots showing alpha-diversity using different metrics (Observed OTUs, Chao1 and Shannon index). Error bars represent standard error of the mean</w:t>
      </w:r>
      <w:bookmarkStart w:id="1" w:name="_Hlk8313176"/>
      <w:r w:rsidRPr="00615245">
        <w:rPr>
          <w:rFonts w:ascii="Arial" w:eastAsia="Arial" w:hAnsi="Arial" w:cs="Arial"/>
          <w:sz w:val="24"/>
          <w:szCs w:val="24"/>
        </w:rPr>
        <w:t xml:space="preserve">. </w:t>
      </w:r>
      <w:r w:rsidR="008C48A0">
        <w:rPr>
          <w:rFonts w:ascii="Arial" w:eastAsia="Arial" w:hAnsi="Arial" w:cs="Arial"/>
          <w:sz w:val="24"/>
          <w:szCs w:val="24"/>
        </w:rPr>
        <w:t>T</w:t>
      </w:r>
      <w:r w:rsidRPr="00615245">
        <w:rPr>
          <w:rFonts w:ascii="Arial" w:eastAsia="Arial" w:hAnsi="Arial" w:cs="Arial"/>
          <w:sz w:val="24"/>
          <w:szCs w:val="24"/>
        </w:rPr>
        <w:t>, colorectal tumor tissue; N, normal tissue.</w:t>
      </w:r>
      <w:bookmarkEnd w:id="1"/>
    </w:p>
    <w:p w:rsidR="00615245" w:rsidRPr="00FC621B" w:rsidRDefault="00615245" w:rsidP="007445FB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  <w:highlight w:val="white"/>
          <w:u w:val="single"/>
        </w:rPr>
      </w:pPr>
    </w:p>
    <w:p w:rsidR="009E457C" w:rsidRPr="00B9514B" w:rsidRDefault="007445FB" w:rsidP="007445FB">
      <w:pPr>
        <w:spacing w:line="360" w:lineRule="auto"/>
        <w:jc w:val="center"/>
        <w:rPr>
          <w:rFonts w:ascii="Arial" w:eastAsia="Arial" w:hAnsi="Arial" w:cs="Arial"/>
          <w:sz w:val="24"/>
          <w:szCs w:val="24"/>
          <w:highlight w:val="white"/>
        </w:rPr>
      </w:pPr>
      <w:r w:rsidRPr="007445FB">
        <w:rPr>
          <w:rFonts w:ascii="Arial" w:eastAsia="Arial" w:hAnsi="Arial" w:cs="Arial"/>
          <w:noProof/>
          <w:sz w:val="24"/>
          <w:szCs w:val="24"/>
          <w:highlight w:val="white"/>
        </w:rPr>
        <w:lastRenderedPageBreak/>
        <w:drawing>
          <wp:inline distT="0" distB="0" distL="0" distR="0" wp14:anchorId="28C4A9BF" wp14:editId="6A2AB5AC">
            <wp:extent cx="5400040" cy="3410585"/>
            <wp:effectExtent l="0" t="0" r="0" b="0"/>
            <wp:docPr id="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2D15904F-61CD-4CE1-B2C4-254BD3E85B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2D15904F-61CD-4CE1-B2C4-254BD3E85B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4576" t="16518" r="19776" b="8213"/>
                    <a:stretch/>
                  </pic:blipFill>
                  <pic:spPr>
                    <a:xfrm>
                      <a:off x="0" y="0"/>
                      <a:ext cx="540004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7C" w:rsidRDefault="00FC621B" w:rsidP="009E457C">
      <w:pPr>
        <w:spacing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</w:rPr>
        <w:t xml:space="preserve">Supplementary Figure </w:t>
      </w:r>
      <w:r w:rsidR="00615245">
        <w:rPr>
          <w:rFonts w:ascii="Arial" w:eastAsia="Arial" w:hAnsi="Arial" w:cs="Arial"/>
          <w:b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 - </w:t>
      </w:r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 xml:space="preserve">Clustering of </w:t>
      </w:r>
      <w:r w:rsidR="009E457C">
        <w:rPr>
          <w:rFonts w:ascii="Arial" w:eastAsia="Arial" w:hAnsi="Arial" w:cs="Arial"/>
          <w:sz w:val="24"/>
          <w:szCs w:val="24"/>
          <w:highlight w:val="white"/>
        </w:rPr>
        <w:t xml:space="preserve">paired tumor (T) and normal adjacent (N) </w:t>
      </w:r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 xml:space="preserve">samples </w:t>
      </w:r>
      <w:r w:rsidR="009E457C">
        <w:rPr>
          <w:rFonts w:ascii="Arial" w:eastAsia="Arial" w:hAnsi="Arial" w:cs="Arial"/>
          <w:sz w:val="24"/>
          <w:szCs w:val="24"/>
          <w:highlight w:val="white"/>
        </w:rPr>
        <w:t>from</w:t>
      </w:r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 xml:space="preserve"> CRC patient</w:t>
      </w:r>
      <w:r w:rsidR="009E457C">
        <w:rPr>
          <w:rFonts w:ascii="Arial" w:eastAsia="Arial" w:hAnsi="Arial" w:cs="Arial"/>
          <w:sz w:val="24"/>
          <w:szCs w:val="24"/>
          <w:highlight w:val="white"/>
        </w:rPr>
        <w:t>s</w:t>
      </w:r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 xml:space="preserve"> based</w:t>
      </w:r>
      <w:r w:rsidR="009E457C">
        <w:rPr>
          <w:rFonts w:ascii="Arial" w:eastAsia="Arial" w:hAnsi="Arial" w:cs="Arial"/>
          <w:sz w:val="24"/>
          <w:szCs w:val="24"/>
          <w:highlight w:val="white"/>
        </w:rPr>
        <w:t xml:space="preserve"> on </w:t>
      </w:r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 xml:space="preserve">Principal </w:t>
      </w:r>
      <w:r w:rsidR="009E457C">
        <w:rPr>
          <w:rFonts w:ascii="Arial" w:eastAsia="Arial" w:hAnsi="Arial" w:cs="Arial"/>
          <w:sz w:val="24"/>
          <w:szCs w:val="24"/>
          <w:highlight w:val="white"/>
        </w:rPr>
        <w:t>C</w:t>
      </w:r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 xml:space="preserve">oordinate </w:t>
      </w:r>
      <w:r w:rsidR="009E457C">
        <w:rPr>
          <w:rFonts w:ascii="Arial" w:eastAsia="Arial" w:hAnsi="Arial" w:cs="Arial"/>
          <w:sz w:val="24"/>
          <w:szCs w:val="24"/>
          <w:highlight w:val="white"/>
        </w:rPr>
        <w:t>A</w:t>
      </w:r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>nalysis (</w:t>
      </w:r>
      <w:proofErr w:type="spellStart"/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>PCoA</w:t>
      </w:r>
      <w:proofErr w:type="spellEnd"/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 xml:space="preserve">) using Unweighted </w:t>
      </w:r>
      <w:proofErr w:type="spellStart"/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>UniFrac</w:t>
      </w:r>
      <w:proofErr w:type="spellEnd"/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>. White balls represent the centering of the most frequent genera plotted using Biplots on the basis of summarize</w:t>
      </w:r>
      <w:r w:rsidR="009E457C">
        <w:rPr>
          <w:rFonts w:ascii="Arial" w:eastAsia="Arial" w:hAnsi="Arial" w:cs="Arial"/>
          <w:sz w:val="24"/>
          <w:szCs w:val="24"/>
          <w:highlight w:val="white"/>
        </w:rPr>
        <w:t>d</w:t>
      </w:r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 xml:space="preserve"> taxa table generated on QIIME v1.8.0. Red dots represent CRC samples; Yellow dots represent </w:t>
      </w:r>
      <w:r w:rsidR="009E457C">
        <w:rPr>
          <w:rFonts w:ascii="Arial" w:eastAsia="Arial" w:hAnsi="Arial" w:cs="Arial"/>
          <w:sz w:val="24"/>
          <w:szCs w:val="24"/>
          <w:highlight w:val="white"/>
        </w:rPr>
        <w:t>NA</w:t>
      </w:r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 xml:space="preserve"> sample</w:t>
      </w:r>
      <w:r w:rsidR="009E457C">
        <w:rPr>
          <w:rFonts w:ascii="Arial" w:eastAsia="Arial" w:hAnsi="Arial" w:cs="Arial"/>
          <w:sz w:val="24"/>
          <w:szCs w:val="24"/>
          <w:highlight w:val="white"/>
        </w:rPr>
        <w:t>s</w:t>
      </w:r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 xml:space="preserve">. </w:t>
      </w:r>
      <w:proofErr w:type="spellStart"/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>PCoA</w:t>
      </w:r>
      <w:proofErr w:type="spellEnd"/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 xml:space="preserve"> 3D plots were visualized using </w:t>
      </w:r>
      <w:proofErr w:type="spellStart"/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>EMPeror</w:t>
      </w:r>
      <w:proofErr w:type="spellEnd"/>
      <w:r w:rsidR="009E457C" w:rsidRPr="00CF0AC2">
        <w:rPr>
          <w:rFonts w:ascii="Arial" w:eastAsia="Arial" w:hAnsi="Arial" w:cs="Arial"/>
          <w:sz w:val="24"/>
          <w:szCs w:val="24"/>
          <w:highlight w:val="white"/>
        </w:rPr>
        <w:t>.</w:t>
      </w:r>
    </w:p>
    <w:p w:rsidR="007F2471" w:rsidRDefault="007F247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4F37FA" w:rsidRDefault="000C3588" w:rsidP="002F5404">
      <w:pPr>
        <w:spacing w:line="360" w:lineRule="auto"/>
        <w:ind w:left="-567"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0C3588">
        <w:rPr>
          <w:rFonts w:ascii="Arial" w:eastAsia="Arial" w:hAnsi="Arial" w:cs="Arial"/>
          <w:noProof/>
          <w:sz w:val="24"/>
          <w:szCs w:val="24"/>
          <w:highlight w:val="white"/>
        </w:rPr>
        <w:lastRenderedPageBreak/>
        <w:drawing>
          <wp:inline distT="0" distB="0" distL="0" distR="0" wp14:anchorId="0274F25B" wp14:editId="62ABC383">
            <wp:extent cx="6149155" cy="2924175"/>
            <wp:effectExtent l="0" t="0" r="4445" b="0"/>
            <wp:docPr id="4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ECBE40F5-D64B-4E80-B95D-69C2CB1A8A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ECBE40F5-D64B-4E80-B95D-69C2CB1A8A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1174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88" w:rsidRPr="00615245" w:rsidRDefault="007F2471" w:rsidP="000C3588">
      <w:pPr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Supplementary Figure </w:t>
      </w:r>
      <w:r w:rsidR="000C3588"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 xml:space="preserve"> - </w:t>
      </w:r>
      <w:r w:rsidR="00C17960" w:rsidRPr="00E26777">
        <w:rPr>
          <w:rFonts w:ascii="Arial" w:eastAsia="Arial" w:hAnsi="Arial" w:cs="Arial"/>
          <w:sz w:val="24"/>
          <w:szCs w:val="24"/>
        </w:rPr>
        <w:t xml:space="preserve">Taxonomic Profile of the Microbiota </w:t>
      </w:r>
      <w:r w:rsidR="00C17960">
        <w:rPr>
          <w:rFonts w:ascii="Arial" w:eastAsia="Arial" w:hAnsi="Arial" w:cs="Arial"/>
          <w:sz w:val="24"/>
          <w:szCs w:val="24"/>
        </w:rPr>
        <w:t>a</w:t>
      </w:r>
      <w:r w:rsidR="00C17960" w:rsidRPr="00E26777">
        <w:rPr>
          <w:rFonts w:ascii="Arial" w:eastAsia="Arial" w:hAnsi="Arial" w:cs="Arial"/>
          <w:sz w:val="24"/>
          <w:szCs w:val="24"/>
        </w:rPr>
        <w:t xml:space="preserve">t Family </w:t>
      </w:r>
      <w:r w:rsidR="00C17960">
        <w:rPr>
          <w:rFonts w:ascii="Arial" w:eastAsia="Arial" w:hAnsi="Arial" w:cs="Arial"/>
          <w:sz w:val="24"/>
          <w:szCs w:val="24"/>
        </w:rPr>
        <w:t>l</w:t>
      </w:r>
      <w:r w:rsidR="00C17960" w:rsidRPr="00E26777">
        <w:rPr>
          <w:rFonts w:ascii="Arial" w:eastAsia="Arial" w:hAnsi="Arial" w:cs="Arial"/>
          <w:sz w:val="24"/>
          <w:szCs w:val="24"/>
        </w:rPr>
        <w:t xml:space="preserve">evel (&gt;0.1%) identified in </w:t>
      </w:r>
      <w:r w:rsidR="00E27EF6">
        <w:rPr>
          <w:rFonts w:ascii="Arial" w:eastAsia="Arial" w:hAnsi="Arial" w:cs="Arial"/>
          <w:sz w:val="24"/>
          <w:szCs w:val="24"/>
        </w:rPr>
        <w:t>c</w:t>
      </w:r>
      <w:r w:rsidR="00C17960" w:rsidRPr="00E26777">
        <w:rPr>
          <w:rFonts w:ascii="Arial" w:eastAsia="Arial" w:hAnsi="Arial" w:cs="Arial"/>
          <w:sz w:val="24"/>
          <w:szCs w:val="24"/>
        </w:rPr>
        <w:t xml:space="preserve">olorectal </w:t>
      </w:r>
      <w:r w:rsidR="00E27EF6">
        <w:rPr>
          <w:rFonts w:ascii="Arial" w:eastAsia="Arial" w:hAnsi="Arial" w:cs="Arial"/>
          <w:sz w:val="24"/>
          <w:szCs w:val="24"/>
        </w:rPr>
        <w:t>c</w:t>
      </w:r>
      <w:r w:rsidR="00C17960" w:rsidRPr="00E26777">
        <w:rPr>
          <w:rFonts w:ascii="Arial" w:eastAsia="Arial" w:hAnsi="Arial" w:cs="Arial"/>
          <w:sz w:val="24"/>
          <w:szCs w:val="24"/>
        </w:rPr>
        <w:t xml:space="preserve">arcinoma </w:t>
      </w:r>
      <w:r w:rsidR="00E27EF6">
        <w:rPr>
          <w:rFonts w:ascii="Arial" w:eastAsia="Arial" w:hAnsi="Arial" w:cs="Arial"/>
          <w:sz w:val="24"/>
          <w:szCs w:val="24"/>
        </w:rPr>
        <w:t>(T) and</w:t>
      </w:r>
      <w:r w:rsidR="00C17960" w:rsidRPr="00E26777">
        <w:rPr>
          <w:rFonts w:ascii="Arial" w:eastAsia="Arial" w:hAnsi="Arial" w:cs="Arial"/>
          <w:sz w:val="24"/>
          <w:szCs w:val="24"/>
        </w:rPr>
        <w:t xml:space="preserve"> </w:t>
      </w:r>
      <w:r w:rsidR="00E27EF6">
        <w:rPr>
          <w:rFonts w:ascii="Arial" w:eastAsia="Arial" w:hAnsi="Arial" w:cs="Arial"/>
          <w:sz w:val="24"/>
          <w:szCs w:val="24"/>
        </w:rPr>
        <w:t>a</w:t>
      </w:r>
      <w:r w:rsidR="00C17960" w:rsidRPr="00E26777">
        <w:rPr>
          <w:rFonts w:ascii="Arial" w:eastAsia="Arial" w:hAnsi="Arial" w:cs="Arial"/>
          <w:sz w:val="24"/>
          <w:szCs w:val="24"/>
        </w:rPr>
        <w:t xml:space="preserve">djacent </w:t>
      </w:r>
      <w:r w:rsidR="00E27EF6">
        <w:rPr>
          <w:rFonts w:ascii="Arial" w:eastAsia="Arial" w:hAnsi="Arial" w:cs="Arial"/>
          <w:sz w:val="24"/>
          <w:szCs w:val="24"/>
        </w:rPr>
        <w:t>n</w:t>
      </w:r>
      <w:r w:rsidR="00C17960" w:rsidRPr="00E26777">
        <w:rPr>
          <w:rFonts w:ascii="Arial" w:eastAsia="Arial" w:hAnsi="Arial" w:cs="Arial"/>
          <w:sz w:val="24"/>
          <w:szCs w:val="24"/>
        </w:rPr>
        <w:t>ormal tissue</w:t>
      </w:r>
      <w:r w:rsidR="00E27EF6">
        <w:rPr>
          <w:rFonts w:ascii="Arial" w:eastAsia="Arial" w:hAnsi="Arial" w:cs="Arial"/>
          <w:sz w:val="24"/>
          <w:szCs w:val="24"/>
        </w:rPr>
        <w:t xml:space="preserve"> (N)</w:t>
      </w:r>
      <w:r w:rsidR="00C17960" w:rsidRPr="00E26777">
        <w:rPr>
          <w:rFonts w:ascii="Arial" w:eastAsia="Arial" w:hAnsi="Arial" w:cs="Arial"/>
          <w:sz w:val="24"/>
          <w:szCs w:val="24"/>
        </w:rPr>
        <w:t xml:space="preserve">. </w:t>
      </w:r>
    </w:p>
    <w:p w:rsidR="00C17960" w:rsidRDefault="00C17960" w:rsidP="00C1796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1796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1796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1796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1796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1796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1796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1796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1796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BE0F47" w:rsidRDefault="00157BD0" w:rsidP="002F5404">
      <w:pPr>
        <w:spacing w:line="360" w:lineRule="auto"/>
        <w:ind w:left="-993"/>
        <w:jc w:val="both"/>
        <w:rPr>
          <w:rFonts w:ascii="Arial" w:eastAsia="Arial" w:hAnsi="Arial" w:cs="Arial"/>
          <w:sz w:val="24"/>
          <w:szCs w:val="24"/>
        </w:rPr>
      </w:pPr>
      <w:r w:rsidRPr="00157BD0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7F373CA1" wp14:editId="65117672">
            <wp:extent cx="6612294" cy="2552700"/>
            <wp:effectExtent l="0" t="0" r="0" b="0"/>
            <wp:docPr id="2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A2C7026C-76F3-4591-86E8-6C66AF41DA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A2C7026C-76F3-4591-86E8-6C66AF41DA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8850" cy="255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F47" w:rsidRPr="00615245" w:rsidRDefault="00BE0F47" w:rsidP="00BE0F47">
      <w:pPr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Supplementary Figure 4</w:t>
      </w:r>
      <w:r w:rsidRPr="00BE0F47">
        <w:rPr>
          <w:rFonts w:ascii="Arial" w:eastAsia="Arial" w:hAnsi="Arial" w:cs="Arial"/>
          <w:b/>
          <w:sz w:val="24"/>
          <w:szCs w:val="24"/>
        </w:rPr>
        <w:t xml:space="preserve"> - </w:t>
      </w:r>
      <w:r w:rsidRPr="00BE0F47">
        <w:rPr>
          <w:rFonts w:ascii="Arial" w:eastAsia="Arial" w:hAnsi="Arial" w:cs="Arial"/>
          <w:sz w:val="24"/>
          <w:szCs w:val="24"/>
        </w:rPr>
        <w:t>Taxonomic Profile of the Microbiota at Genus level identified in colorectal carcinoma</w:t>
      </w:r>
      <w:r w:rsidRPr="00E2677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(T) and</w:t>
      </w:r>
      <w:r w:rsidRPr="00E2677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Pr="00E26777">
        <w:rPr>
          <w:rFonts w:ascii="Arial" w:eastAsia="Arial" w:hAnsi="Arial" w:cs="Arial"/>
          <w:sz w:val="24"/>
          <w:szCs w:val="24"/>
        </w:rPr>
        <w:t xml:space="preserve">djacent </w:t>
      </w:r>
      <w:r>
        <w:rPr>
          <w:rFonts w:ascii="Arial" w:eastAsia="Arial" w:hAnsi="Arial" w:cs="Arial"/>
          <w:sz w:val="24"/>
          <w:szCs w:val="24"/>
        </w:rPr>
        <w:t>n</w:t>
      </w:r>
      <w:r w:rsidRPr="00E26777">
        <w:rPr>
          <w:rFonts w:ascii="Arial" w:eastAsia="Arial" w:hAnsi="Arial" w:cs="Arial"/>
          <w:sz w:val="24"/>
          <w:szCs w:val="24"/>
        </w:rPr>
        <w:t>ormal tissue</w:t>
      </w:r>
      <w:r>
        <w:rPr>
          <w:rFonts w:ascii="Arial" w:eastAsia="Arial" w:hAnsi="Arial" w:cs="Arial"/>
          <w:sz w:val="24"/>
          <w:szCs w:val="24"/>
        </w:rPr>
        <w:t xml:space="preserve"> (N)</w:t>
      </w:r>
      <w:r w:rsidRPr="00E26777">
        <w:rPr>
          <w:rFonts w:ascii="Arial" w:eastAsia="Arial" w:hAnsi="Arial" w:cs="Arial"/>
          <w:sz w:val="24"/>
          <w:szCs w:val="24"/>
        </w:rPr>
        <w:t xml:space="preserve">. </w:t>
      </w:r>
    </w:p>
    <w:p w:rsidR="009E457C" w:rsidRDefault="009E457C" w:rsidP="009E457C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2F5404" w:rsidRDefault="002F5404" w:rsidP="009E457C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2F5404" w:rsidRDefault="002F5404" w:rsidP="009E457C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2F5404" w:rsidRDefault="002F5404" w:rsidP="009E457C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2F5404" w:rsidRDefault="002F5404" w:rsidP="009E457C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2F5404" w:rsidRDefault="002F5404" w:rsidP="009E457C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2F5404" w:rsidRPr="00CF0AC2" w:rsidRDefault="002F5404" w:rsidP="009E457C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CE2106" w:rsidRPr="004315D8" w:rsidRDefault="00CE2106" w:rsidP="00CE2106">
      <w:pPr>
        <w:spacing w:line="360" w:lineRule="auto"/>
        <w:jc w:val="both"/>
        <w:rPr>
          <w:rFonts w:ascii="Arial" w:eastAsia="Arial" w:hAnsi="Arial" w:cs="Arial"/>
          <w:b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6BB9EE99" wp14:editId="57035639">
            <wp:extent cx="4867275" cy="32099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6" w:rsidRDefault="00CE2106" w:rsidP="00CE210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Supplementary Figure 5 -</w:t>
      </w:r>
      <w:r w:rsidRPr="00BE0F47">
        <w:rPr>
          <w:rFonts w:ascii="Arial" w:eastAsia="Arial" w:hAnsi="Arial" w:cs="Arial"/>
          <w:b/>
          <w:sz w:val="24"/>
          <w:szCs w:val="24"/>
        </w:rPr>
        <w:t xml:space="preserve"> </w:t>
      </w:r>
      <w:r w:rsidRPr="00CE2106">
        <w:rPr>
          <w:rFonts w:ascii="Arial" w:eastAsia="Arial" w:hAnsi="Arial" w:cs="Arial"/>
          <w:sz w:val="24"/>
          <w:szCs w:val="24"/>
        </w:rPr>
        <w:t xml:space="preserve">Microbiome Landscape of </w:t>
      </w:r>
      <w:r w:rsidRPr="00CE2106">
        <w:rPr>
          <w:rFonts w:ascii="Arial" w:eastAsia="Arial" w:hAnsi="Arial" w:cs="Arial"/>
          <w:i/>
          <w:sz w:val="24"/>
          <w:szCs w:val="24"/>
        </w:rPr>
        <w:t>Fusobacterium</w:t>
      </w:r>
      <w:r w:rsidRPr="00CE2106">
        <w:rPr>
          <w:rFonts w:ascii="Arial" w:eastAsia="Arial" w:hAnsi="Arial" w:cs="Arial"/>
          <w:sz w:val="24"/>
          <w:szCs w:val="24"/>
        </w:rPr>
        <w:t xml:space="preserve">. Two-dimensional kernel density (2D-kde) estimates showing the abundance of </w:t>
      </w:r>
      <w:r w:rsidRPr="00CE2106">
        <w:rPr>
          <w:rFonts w:ascii="Arial" w:eastAsia="Arial" w:hAnsi="Arial" w:cs="Arial"/>
          <w:i/>
          <w:sz w:val="24"/>
          <w:szCs w:val="24"/>
        </w:rPr>
        <w:t>Fusobacterium</w:t>
      </w:r>
      <w:r w:rsidRPr="00CE2106">
        <w:rPr>
          <w:rFonts w:ascii="Arial" w:eastAsia="Arial" w:hAnsi="Arial" w:cs="Arial"/>
          <w:sz w:val="24"/>
          <w:szCs w:val="24"/>
        </w:rPr>
        <w:t xml:space="preserve"> (log10 transformed relative abundance data) in CRC and NA tissue. The z-axis represents the kernel density estimate in a 3D perspective plot showing the population frequencies of </w:t>
      </w:r>
      <w:r w:rsidRPr="00CE2106">
        <w:rPr>
          <w:rFonts w:ascii="Arial" w:eastAsia="Arial" w:hAnsi="Arial" w:cs="Arial"/>
          <w:i/>
          <w:sz w:val="24"/>
          <w:szCs w:val="24"/>
        </w:rPr>
        <w:t>Fusobacterium</w:t>
      </w:r>
      <w:r w:rsidRPr="00CE2106">
        <w:rPr>
          <w:rFonts w:ascii="Arial" w:eastAsia="Arial" w:hAnsi="Arial" w:cs="Arial"/>
          <w:sz w:val="24"/>
          <w:szCs w:val="24"/>
        </w:rPr>
        <w:t xml:space="preserve"> in CRC (y-axis) and normal (x-axis) tissue. A gradual increase in abundance of this population from normal to CRC samples is observed.</w:t>
      </w:r>
    </w:p>
    <w:p w:rsidR="00F97C96" w:rsidRDefault="00F97C96" w:rsidP="00CE210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E210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E210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E210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E210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Default="002F5404" w:rsidP="00CE210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2F5404" w:rsidRPr="00CE2106" w:rsidRDefault="002F5404" w:rsidP="00CE210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GoBack"/>
      <w:bookmarkEnd w:id="2"/>
    </w:p>
    <w:p w:rsidR="002F5404" w:rsidRDefault="00F97C96" w:rsidP="002F5404">
      <w:pPr>
        <w:spacing w:line="360" w:lineRule="auto"/>
        <w:ind w:left="-1134"/>
        <w:jc w:val="both"/>
        <w:rPr>
          <w:rFonts w:ascii="Arial" w:eastAsia="Arial" w:hAnsi="Arial" w:cs="Arial"/>
          <w:b/>
          <w:sz w:val="24"/>
          <w:szCs w:val="24"/>
        </w:rPr>
      </w:pPr>
      <w:r w:rsidRPr="00F97C96"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10BC4C2" wp14:editId="1D1C39D4">
            <wp:extent cx="6865895" cy="1241738"/>
            <wp:effectExtent l="0" t="0" r="0" b="0"/>
            <wp:docPr id="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485DE500-E760-4B49-B832-7106FBC891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485DE500-E760-4B49-B832-7106FBC891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65718" b="-1783"/>
                    <a:stretch/>
                  </pic:blipFill>
                  <pic:spPr>
                    <a:xfrm>
                      <a:off x="0" y="0"/>
                      <a:ext cx="7014360" cy="1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96" w:rsidRPr="00F97C96" w:rsidRDefault="00F97C96" w:rsidP="002F540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Supplementary Figure 6 </w:t>
      </w:r>
      <w:r w:rsidRPr="00F97C96">
        <w:rPr>
          <w:rFonts w:ascii="Arial" w:eastAsia="Arial" w:hAnsi="Arial" w:cs="Arial"/>
          <w:sz w:val="24"/>
          <w:szCs w:val="24"/>
        </w:rPr>
        <w:t xml:space="preserve">- Differential abundance between </w:t>
      </w:r>
      <w:r w:rsidRPr="00BE0F47">
        <w:rPr>
          <w:rFonts w:ascii="Arial" w:eastAsia="Arial" w:hAnsi="Arial" w:cs="Arial"/>
          <w:sz w:val="24"/>
          <w:szCs w:val="24"/>
        </w:rPr>
        <w:t>colorectal carcinoma</w:t>
      </w:r>
      <w:r w:rsidRPr="00E2677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(T) and</w:t>
      </w:r>
      <w:r w:rsidRPr="00E2677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Pr="00E26777">
        <w:rPr>
          <w:rFonts w:ascii="Arial" w:eastAsia="Arial" w:hAnsi="Arial" w:cs="Arial"/>
          <w:sz w:val="24"/>
          <w:szCs w:val="24"/>
        </w:rPr>
        <w:t xml:space="preserve">djacent </w:t>
      </w:r>
      <w:r>
        <w:rPr>
          <w:rFonts w:ascii="Arial" w:eastAsia="Arial" w:hAnsi="Arial" w:cs="Arial"/>
          <w:sz w:val="24"/>
          <w:szCs w:val="24"/>
        </w:rPr>
        <w:t>n</w:t>
      </w:r>
      <w:r w:rsidRPr="00E26777">
        <w:rPr>
          <w:rFonts w:ascii="Arial" w:eastAsia="Arial" w:hAnsi="Arial" w:cs="Arial"/>
          <w:sz w:val="24"/>
          <w:szCs w:val="24"/>
        </w:rPr>
        <w:t>ormal tissue</w:t>
      </w:r>
      <w:r>
        <w:rPr>
          <w:rFonts w:ascii="Arial" w:eastAsia="Arial" w:hAnsi="Arial" w:cs="Arial"/>
          <w:sz w:val="24"/>
          <w:szCs w:val="24"/>
        </w:rPr>
        <w:t xml:space="preserve"> (N) </w:t>
      </w:r>
      <w:r w:rsidRPr="00F97C96">
        <w:rPr>
          <w:rFonts w:ascii="Arial" w:eastAsia="Arial" w:hAnsi="Arial" w:cs="Arial"/>
          <w:sz w:val="24"/>
          <w:szCs w:val="24"/>
        </w:rPr>
        <w:t>in log fold-change (</w:t>
      </w:r>
      <w:proofErr w:type="spellStart"/>
      <w:r w:rsidRPr="00F97C96">
        <w:rPr>
          <w:rFonts w:ascii="Arial" w:eastAsia="Arial" w:hAnsi="Arial" w:cs="Arial"/>
          <w:sz w:val="24"/>
          <w:szCs w:val="24"/>
        </w:rPr>
        <w:t>LogFC</w:t>
      </w:r>
      <w:proofErr w:type="spellEnd"/>
      <w:r w:rsidRPr="00F97C96">
        <w:rPr>
          <w:rFonts w:ascii="Arial" w:eastAsia="Arial" w:hAnsi="Arial" w:cs="Arial"/>
          <w:sz w:val="24"/>
          <w:szCs w:val="24"/>
        </w:rPr>
        <w:t xml:space="preserve">). Genus significantly </w:t>
      </w:r>
      <w:r>
        <w:rPr>
          <w:rFonts w:ascii="Arial" w:eastAsia="Arial" w:hAnsi="Arial" w:cs="Arial"/>
          <w:sz w:val="24"/>
          <w:szCs w:val="24"/>
        </w:rPr>
        <w:t>decreased</w:t>
      </w:r>
      <w:r w:rsidRPr="00F97C96">
        <w:rPr>
          <w:rFonts w:ascii="Arial" w:eastAsia="Arial" w:hAnsi="Arial" w:cs="Arial"/>
          <w:sz w:val="24"/>
          <w:szCs w:val="24"/>
        </w:rPr>
        <w:t xml:space="preserve"> (p&lt;0.05) in CRC. </w:t>
      </w:r>
    </w:p>
    <w:p w:rsidR="009E457C" w:rsidRPr="00F200B5" w:rsidRDefault="00F97C96" w:rsidP="00F97C96">
      <w:pPr>
        <w:shd w:val="clear" w:color="auto" w:fill="FFFFFF"/>
        <w:spacing w:after="0" w:line="425" w:lineRule="auto"/>
        <w:jc w:val="both"/>
        <w:rPr>
          <w:rFonts w:ascii="Arial" w:eastAsia="Arial" w:hAnsi="Arial" w:cs="Arial"/>
          <w:sz w:val="24"/>
          <w:szCs w:val="24"/>
        </w:rPr>
      </w:pPr>
      <w:r w:rsidRPr="00F97C96">
        <w:rPr>
          <w:rFonts w:ascii="Arial" w:eastAsia="Arial" w:hAnsi="Arial" w:cs="Arial"/>
          <w:sz w:val="24"/>
          <w:szCs w:val="24"/>
        </w:rPr>
        <w:t> </w:t>
      </w:r>
    </w:p>
    <w:p w:rsidR="00633857" w:rsidRDefault="00633857"/>
    <w:sectPr w:rsidR="006338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4B10" w:rsidRDefault="00E04B10" w:rsidP="00C17960">
      <w:pPr>
        <w:spacing w:after="0" w:line="240" w:lineRule="auto"/>
      </w:pPr>
      <w:r>
        <w:separator/>
      </w:r>
    </w:p>
  </w:endnote>
  <w:endnote w:type="continuationSeparator" w:id="0">
    <w:p w:rsidR="00E04B10" w:rsidRDefault="00E04B10" w:rsidP="00C17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4B10" w:rsidRDefault="00E04B10" w:rsidP="00C17960">
      <w:pPr>
        <w:spacing w:after="0" w:line="240" w:lineRule="auto"/>
      </w:pPr>
      <w:r>
        <w:separator/>
      </w:r>
    </w:p>
  </w:footnote>
  <w:footnote w:type="continuationSeparator" w:id="0">
    <w:p w:rsidR="00E04B10" w:rsidRDefault="00E04B10" w:rsidP="00C179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857"/>
    <w:rsid w:val="000C3588"/>
    <w:rsid w:val="00157BD0"/>
    <w:rsid w:val="001E3802"/>
    <w:rsid w:val="002F5404"/>
    <w:rsid w:val="004245B9"/>
    <w:rsid w:val="004654A8"/>
    <w:rsid w:val="004F37FA"/>
    <w:rsid w:val="00615245"/>
    <w:rsid w:val="00633857"/>
    <w:rsid w:val="007445FB"/>
    <w:rsid w:val="007926FD"/>
    <w:rsid w:val="007F2471"/>
    <w:rsid w:val="008C48A0"/>
    <w:rsid w:val="009974FE"/>
    <w:rsid w:val="009E457C"/>
    <w:rsid w:val="00A9447B"/>
    <w:rsid w:val="00AA2E4C"/>
    <w:rsid w:val="00AF65BC"/>
    <w:rsid w:val="00BE0F47"/>
    <w:rsid w:val="00C17960"/>
    <w:rsid w:val="00CE2106"/>
    <w:rsid w:val="00E04B10"/>
    <w:rsid w:val="00E27EF6"/>
    <w:rsid w:val="00F30272"/>
    <w:rsid w:val="00F97C96"/>
    <w:rsid w:val="00FC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1A87A-E9F6-491A-AB12-C12BA7794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3857"/>
    <w:rPr>
      <w:rFonts w:ascii="Calibri" w:eastAsia="Calibri" w:hAnsi="Calibri" w:cs="Calibri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385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33857"/>
    <w:rPr>
      <w:rFonts w:ascii="Calibri" w:eastAsia="Calibri" w:hAnsi="Calibri" w:cs="Calibri"/>
      <w:sz w:val="20"/>
      <w:szCs w:val="20"/>
      <w:lang w:val="en-US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633857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3385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38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857"/>
    <w:rPr>
      <w:rFonts w:ascii="Segoe UI" w:eastAsia="Calibri" w:hAnsi="Segoe UI" w:cs="Segoe UI"/>
      <w:sz w:val="18"/>
      <w:szCs w:val="18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C179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7960"/>
    <w:rPr>
      <w:rFonts w:ascii="Calibri" w:eastAsia="Calibri" w:hAnsi="Calibri" w:cs="Calibri"/>
      <w:lang w:val="en-US" w:eastAsia="pt-BR"/>
    </w:rPr>
  </w:style>
  <w:style w:type="paragraph" w:styleId="Rodap">
    <w:name w:val="footer"/>
    <w:basedOn w:val="Normal"/>
    <w:link w:val="RodapChar"/>
    <w:uiPriority w:val="99"/>
    <w:unhideWhenUsed/>
    <w:rsid w:val="00C179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7960"/>
    <w:rPr>
      <w:rFonts w:ascii="Calibri" w:eastAsia="Calibri" w:hAnsi="Calibri" w:cs="Calibri"/>
      <w:lang w:val="en-U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314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CPOM18</dc:creator>
  <cp:keywords/>
  <dc:description/>
  <cp:lastModifiedBy>CPOM18</cp:lastModifiedBy>
  <cp:revision>2</cp:revision>
  <dcterms:created xsi:type="dcterms:W3CDTF">2019-05-17T18:01:00Z</dcterms:created>
  <dcterms:modified xsi:type="dcterms:W3CDTF">2019-05-17T18:01:00Z</dcterms:modified>
</cp:coreProperties>
</file>