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35F1" w:rsidRDefault="00533943"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2494378</wp:posOffset>
                </wp:positionH>
                <wp:positionV relativeFrom="paragraph">
                  <wp:posOffset>25498</wp:posOffset>
                </wp:positionV>
                <wp:extent cx="2679896" cy="3713284"/>
                <wp:effectExtent l="0" t="0" r="25400" b="20955"/>
                <wp:wrapNone/>
                <wp:docPr id="4" name="Grup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9896" cy="3713284"/>
                          <a:chOff x="0" y="0"/>
                          <a:chExt cx="2679896" cy="4601259"/>
                        </a:xfrm>
                      </wpg:grpSpPr>
                      <wps:wsp>
                        <wps:cNvPr id="2" name="Rettangolo 2"/>
                        <wps:cNvSpPr/>
                        <wps:spPr>
                          <a:xfrm>
                            <a:off x="801859" y="7034"/>
                            <a:ext cx="107950" cy="4594225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35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ttangolo 3"/>
                        <wps:cNvSpPr/>
                        <wps:spPr>
                          <a:xfrm>
                            <a:off x="0" y="0"/>
                            <a:ext cx="2679896" cy="45942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2681B9" id="Gruppo 4" o:spid="_x0000_s1026" style="position:absolute;margin-left:196.4pt;margin-top:2pt;width:211pt;height:292.4pt;z-index:251661312;mso-height-relative:margin" coordsize="26798,4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">
                <v:rect id="Rettangolo 2" o:spid="_x0000_s1027" style="position:absolute;left:8018;top:70;width:1080;height:459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" fillcolor="yellow" stroked="f" strokeweight="1pt">
                  <v:fill opacity="22873f"/>
                </v:rect>
                <v:rect id="Rettangolo 3" o:spid="_x0000_s1028" style="position:absolute;width:26798;height:459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" filled="f" strokecolor="blue" strokeweight="1pt"/>
              </v:group>
            </w:pict>
          </mc:Fallback>
        </mc:AlternateContent>
      </w:r>
      <w:r w:rsidR="00EE20FF">
        <w:rPr>
          <w:noProof/>
          <w:lang w:eastAsia="it-IT"/>
        </w:rPr>
        <w:drawing>
          <wp:inline distT="0" distB="0" distL="0" distR="0">
            <wp:extent cx="9072245" cy="374142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ediction as1_livelli uniti_def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943" w:rsidRDefault="00533943"/>
    <w:p w:rsidR="002E0111" w:rsidRPr="002E0111" w:rsidRDefault="00533943" w:rsidP="002543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5F31EF">
        <w:rPr>
          <w:rFonts w:ascii="Times New Roman" w:hAnsi="Times New Roman" w:cs="Times New Roman"/>
          <w:sz w:val="24"/>
          <w:szCs w:val="24"/>
          <w:lang w:val="en-GB"/>
        </w:rPr>
        <w:t xml:space="preserve">Supplementary figure </w:t>
      </w:r>
      <w:r w:rsidR="005F31EF" w:rsidRPr="005F31EF">
        <w:rPr>
          <w:rFonts w:ascii="Times New Roman" w:hAnsi="Times New Roman" w:cs="Times New Roman"/>
          <w:sz w:val="24"/>
          <w:szCs w:val="24"/>
          <w:lang w:val="en-GB"/>
        </w:rPr>
        <w:t>3</w:t>
      </w:r>
      <w:r w:rsidR="00254390">
        <w:rPr>
          <w:rFonts w:ascii="Times New Roman" w:hAnsi="Times New Roman" w:cs="Times New Roman"/>
          <w:sz w:val="24"/>
          <w:szCs w:val="24"/>
          <w:lang w:val="en-GB"/>
        </w:rPr>
        <w:t>. Comparative analysis of the secondary structure of the αs1-casein for the variant A (</w:t>
      </w:r>
      <w:r w:rsidR="00254390" w:rsidRPr="002E0111">
        <w:rPr>
          <w:rFonts w:ascii="Times New Roman" w:hAnsi="Times New Roman" w:cs="Times New Roman"/>
          <w:sz w:val="24"/>
          <w:szCs w:val="24"/>
          <w:lang w:val="en-GB"/>
        </w:rPr>
        <w:t>p.30</w:t>
      </w:r>
      <w:r w:rsidR="00254390">
        <w:rPr>
          <w:rFonts w:ascii="Times New Roman" w:hAnsi="Times New Roman" w:cs="Times New Roman"/>
          <w:sz w:val="24"/>
          <w:szCs w:val="24"/>
          <w:lang w:val="en-GB"/>
        </w:rPr>
        <w:t>E</w:t>
      </w:r>
      <w:r w:rsidR="00254390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="00254390" w:rsidRPr="00254390">
        <w:rPr>
          <w:rFonts w:ascii="Times New Roman" w:hAnsi="Times New Roman" w:cs="Times New Roman"/>
          <w:i/>
          <w:sz w:val="24"/>
          <w:szCs w:val="24"/>
          <w:lang w:val="en-GB"/>
        </w:rPr>
        <w:t>vs</w:t>
      </w:r>
      <w:r w:rsidR="00254390">
        <w:rPr>
          <w:rFonts w:ascii="Times New Roman" w:hAnsi="Times New Roman" w:cs="Times New Roman"/>
          <w:sz w:val="24"/>
          <w:szCs w:val="24"/>
          <w:lang w:val="en-GB"/>
        </w:rPr>
        <w:t xml:space="preserve"> variant C (</w:t>
      </w:r>
      <w:r w:rsidR="00254390" w:rsidRPr="002E0111">
        <w:rPr>
          <w:rFonts w:ascii="Times New Roman" w:hAnsi="Times New Roman" w:cs="Times New Roman"/>
          <w:sz w:val="24"/>
          <w:szCs w:val="24"/>
          <w:lang w:val="en-GB"/>
        </w:rPr>
        <w:t>p.30</w:t>
      </w:r>
      <w:r w:rsidR="00254390">
        <w:rPr>
          <w:rFonts w:ascii="Times New Roman" w:hAnsi="Times New Roman" w:cs="Times New Roman"/>
          <w:sz w:val="24"/>
          <w:szCs w:val="24"/>
          <w:lang w:val="en-GB"/>
        </w:rPr>
        <w:t>D)</w:t>
      </w:r>
      <w:r w:rsidR="00516B1C">
        <w:rPr>
          <w:rFonts w:ascii="Times New Roman" w:hAnsi="Times New Roman" w:cs="Times New Roman"/>
          <w:sz w:val="24"/>
          <w:szCs w:val="24"/>
          <w:lang w:val="en-GB"/>
        </w:rPr>
        <w:t xml:space="preserve">, predicted by </w:t>
      </w:r>
      <w:proofErr w:type="spellStart"/>
      <w:r w:rsidR="00516B1C" w:rsidRPr="0029606C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Jpred</w:t>
      </w:r>
      <w:proofErr w:type="spellEnd"/>
      <w:r w:rsidR="00516B1C" w:rsidRPr="0029606C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4 software</w:t>
      </w:r>
      <w:r w:rsidR="00254390">
        <w:rPr>
          <w:rFonts w:ascii="Times New Roman" w:hAnsi="Times New Roman" w:cs="Times New Roman"/>
          <w:sz w:val="24"/>
          <w:szCs w:val="24"/>
          <w:lang w:val="en-GB"/>
        </w:rPr>
        <w:t>.</w:t>
      </w:r>
      <w:bookmarkStart w:id="0" w:name="_GoBack"/>
      <w:bookmarkEnd w:id="0"/>
      <w:r w:rsidR="00254390">
        <w:rPr>
          <w:rFonts w:ascii="Times New Roman" w:hAnsi="Times New Roman" w:cs="Times New Roman"/>
          <w:sz w:val="24"/>
          <w:szCs w:val="24"/>
          <w:lang w:val="en-GB"/>
        </w:rPr>
        <w:t xml:space="preserve"> The </w:t>
      </w:r>
      <w:r w:rsidR="002E0111" w:rsidRPr="002E0111">
        <w:rPr>
          <w:rFonts w:ascii="Times New Roman" w:hAnsi="Times New Roman" w:cs="Times New Roman"/>
          <w:sz w:val="24"/>
          <w:szCs w:val="24"/>
          <w:lang w:val="en-GB"/>
        </w:rPr>
        <w:t xml:space="preserve">yellow </w:t>
      </w:r>
      <w:r w:rsidR="00254390">
        <w:rPr>
          <w:rFonts w:ascii="Times New Roman" w:hAnsi="Times New Roman" w:cs="Times New Roman"/>
          <w:sz w:val="24"/>
          <w:szCs w:val="24"/>
          <w:lang w:val="en-GB"/>
        </w:rPr>
        <w:t xml:space="preserve">rectangle denotes </w:t>
      </w:r>
      <w:r w:rsidR="002E0111" w:rsidRPr="002E0111">
        <w:rPr>
          <w:rFonts w:ascii="Times New Roman" w:hAnsi="Times New Roman" w:cs="Times New Roman"/>
          <w:sz w:val="24"/>
          <w:szCs w:val="24"/>
          <w:lang w:val="en-GB"/>
        </w:rPr>
        <w:t>the different amino acid</w:t>
      </w:r>
      <w:r w:rsidR="00254390">
        <w:rPr>
          <w:rFonts w:ascii="Times New Roman" w:hAnsi="Times New Roman" w:cs="Times New Roman"/>
          <w:sz w:val="24"/>
          <w:szCs w:val="24"/>
          <w:lang w:val="en-GB"/>
        </w:rPr>
        <w:t>, whereas t</w:t>
      </w:r>
      <w:r w:rsidR="002E0111">
        <w:rPr>
          <w:rFonts w:ascii="Times New Roman" w:hAnsi="Times New Roman" w:cs="Times New Roman"/>
          <w:sz w:val="24"/>
          <w:szCs w:val="24"/>
          <w:lang w:val="en-GB"/>
        </w:rPr>
        <w:t xml:space="preserve">he blue box indicates the </w:t>
      </w:r>
      <w:r w:rsidR="00254390">
        <w:rPr>
          <w:rFonts w:ascii="Times New Roman" w:hAnsi="Times New Roman" w:cs="Times New Roman"/>
          <w:sz w:val="24"/>
          <w:szCs w:val="24"/>
          <w:lang w:val="en-GB"/>
        </w:rPr>
        <w:t xml:space="preserve">protein portion </w:t>
      </w:r>
      <w:r w:rsidR="002E0111">
        <w:rPr>
          <w:rFonts w:ascii="Times New Roman" w:hAnsi="Times New Roman" w:cs="Times New Roman"/>
          <w:sz w:val="24"/>
          <w:szCs w:val="24"/>
          <w:lang w:val="en-GB"/>
        </w:rPr>
        <w:t>affected by the amino acid replacement.</w:t>
      </w:r>
      <w:r w:rsidR="002E0111" w:rsidRPr="002E011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54390">
        <w:rPr>
          <w:rFonts w:ascii="Times New Roman" w:hAnsi="Times New Roman" w:cs="Times New Roman"/>
          <w:sz w:val="24"/>
          <w:szCs w:val="24"/>
          <w:lang w:val="en-GB"/>
        </w:rPr>
        <w:t>Red tubes indicate the α-</w:t>
      </w:r>
      <w:proofErr w:type="gramStart"/>
      <w:r w:rsidR="00254390">
        <w:rPr>
          <w:rFonts w:ascii="Times New Roman" w:hAnsi="Times New Roman" w:cs="Times New Roman"/>
          <w:sz w:val="24"/>
          <w:szCs w:val="24"/>
          <w:lang w:val="en-GB"/>
        </w:rPr>
        <w:t>helix,</w:t>
      </w:r>
      <w:proofErr w:type="gramEnd"/>
      <w:r w:rsidR="00254390">
        <w:rPr>
          <w:rFonts w:ascii="Times New Roman" w:hAnsi="Times New Roman" w:cs="Times New Roman"/>
          <w:sz w:val="24"/>
          <w:szCs w:val="24"/>
          <w:lang w:val="en-GB"/>
        </w:rPr>
        <w:t xml:space="preserve"> the green arrow shows the β-sheet. </w:t>
      </w:r>
    </w:p>
    <w:sectPr w:rsidR="002E0111" w:rsidRPr="002E0111" w:rsidSect="00533943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943"/>
    <w:rsid w:val="000C35F1"/>
    <w:rsid w:val="00254390"/>
    <w:rsid w:val="002E0111"/>
    <w:rsid w:val="00516B1C"/>
    <w:rsid w:val="00533943"/>
    <w:rsid w:val="005F31EF"/>
    <w:rsid w:val="00EE20FF"/>
    <w:rsid w:val="00F33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1564E"/>
  <w15:chartTrackingRefBased/>
  <w15:docId w15:val="{E9B1DCB4-6286-4630-8DEB-D9CE45730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Alfredo.Pauciullo</dc:creator>
  <cp:keywords/>
  <dc:description/>
  <cp:lastModifiedBy>Alfredo.Pauciullo</cp:lastModifiedBy>
  <cp:revision>6</cp:revision>
  <dcterms:created xsi:type="dcterms:W3CDTF">2018-10-18T08:00:00Z</dcterms:created>
  <dcterms:modified xsi:type="dcterms:W3CDTF">2018-10-19T10:07:00Z</dcterms:modified>
</cp:coreProperties>
</file>