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22DE0153" w14:textId="77777777" w:rsidR="00C26538" w:rsidRPr="005452AF" w:rsidRDefault="00C26538" w:rsidP="00C26538">
      <w:pPr>
        <w:pStyle w:val="Heading1"/>
      </w:pPr>
      <w:r w:rsidRPr="005452AF">
        <w:t xml:space="preserve">Cost calculation </w:t>
      </w:r>
    </w:p>
    <w:p w14:paraId="39E5880C" w14:textId="77777777" w:rsidR="00C26538" w:rsidRPr="005452AF" w:rsidRDefault="00C26538" w:rsidP="00C26538">
      <w:pPr>
        <w:spacing w:line="480" w:lineRule="auto"/>
        <w:jc w:val="both"/>
      </w:pPr>
      <w:r w:rsidRPr="005452AF">
        <w:t>The cost centers included were the expenses for [</w:t>
      </w:r>
      <w:r w:rsidRPr="005452AF">
        <w:rPr>
          <w:vertAlign w:val="superscript"/>
        </w:rPr>
        <w:t>18</w:t>
      </w:r>
      <w:proofErr w:type="gramStart"/>
      <w:r w:rsidRPr="005452AF">
        <w:t>F]FET</w:t>
      </w:r>
      <w:proofErr w:type="gramEnd"/>
      <w:r w:rsidRPr="005452AF">
        <w:t xml:space="preserve"> scans paid by the National Institute for Health and Disability Insurance (NIHDI) and the government necessary to conduct the diagnosis. A [</w:t>
      </w:r>
      <w:r w:rsidRPr="005452AF">
        <w:rPr>
          <w:vertAlign w:val="superscript"/>
        </w:rPr>
        <w:t>18</w:t>
      </w:r>
      <w:proofErr w:type="gramStart"/>
      <w:r w:rsidRPr="005452AF">
        <w:t>F]FET</w:t>
      </w:r>
      <w:proofErr w:type="gramEnd"/>
      <w:r w:rsidRPr="005452AF">
        <w:t xml:space="preserve"> scan applied for in the University Hospital of Ghent includes two cost centers for the community. Firstly, the yearly grants given by both the Flemish and Belgian government for the PET-scanners. Secondly, the payments by the National Institute for Health and Disability Insurance to the University Hospital for the execution and interpretation of the PET-scan. These costs include the total cost of a [</w:t>
      </w:r>
      <w:r w:rsidRPr="005452AF">
        <w:rPr>
          <w:vertAlign w:val="superscript"/>
        </w:rPr>
        <w:t>18</w:t>
      </w:r>
      <w:proofErr w:type="gramStart"/>
      <w:r w:rsidRPr="005452AF">
        <w:t>F]FET</w:t>
      </w:r>
      <w:proofErr w:type="gramEnd"/>
      <w:r w:rsidRPr="005452AF">
        <w:t xml:space="preserve"> PET-scan. </w:t>
      </w:r>
    </w:p>
    <w:p w14:paraId="35A1055C" w14:textId="77777777" w:rsidR="00C26538" w:rsidRPr="005452AF" w:rsidRDefault="00C26538" w:rsidP="00C26538">
      <w:pPr>
        <w:pStyle w:val="Heading2"/>
      </w:pPr>
      <w:r w:rsidRPr="005452AF">
        <w:t xml:space="preserve">Number of scans </w:t>
      </w:r>
    </w:p>
    <w:p w14:paraId="7D575B75" w14:textId="36F1A9EC" w:rsidR="00C26538" w:rsidRPr="005452AF" w:rsidRDefault="00C26538" w:rsidP="00C26538">
      <w:pPr>
        <w:spacing w:line="480" w:lineRule="auto"/>
        <w:jc w:val="both"/>
      </w:pPr>
      <w:r w:rsidRPr="005452AF">
        <w:t>To calculate the total cost per [</w:t>
      </w:r>
      <w:r w:rsidRPr="005452AF">
        <w:rPr>
          <w:vertAlign w:val="superscript"/>
        </w:rPr>
        <w:t>18</w:t>
      </w:r>
      <w:proofErr w:type="gramStart"/>
      <w:r w:rsidRPr="005452AF">
        <w:t>F]FET</w:t>
      </w:r>
      <w:proofErr w:type="gramEnd"/>
      <w:r w:rsidRPr="005452AF">
        <w:t>-scan it is important to know how many scans are performed each year per PET-camera as the Belgian and Flemish grants are fixed amounts per PET scanner. An increase in PET-scans per year results in a lower cost per scan. In addition, certain reimbursements by the NIHDI apply only for the first 3</w:t>
      </w:r>
      <w:r w:rsidR="00893A36">
        <w:t>,</w:t>
      </w:r>
      <w:r w:rsidRPr="005452AF">
        <w:t>400 scans. An increase in PET-scans here also results in a decreased cost per scan. In the period of 01/01/2017-01/10/2017 a total of 4</w:t>
      </w:r>
      <w:r w:rsidR="00893A36">
        <w:t>,</w:t>
      </w:r>
      <w:r w:rsidRPr="005452AF">
        <w:t>223 PET scans were performed in the University Hospital of Ghent. Extrapolation to 31/12/2017 results in a total of 5</w:t>
      </w:r>
      <w:r w:rsidR="00893A36">
        <w:t>,</w:t>
      </w:r>
      <w:r w:rsidRPr="005452AF">
        <w:t>626 scans for the year 2017. A standard deviation of 287 was calculated from the number of scans performed in the year 2015 (5</w:t>
      </w:r>
      <w:r w:rsidR="00893A36">
        <w:t>,</w:t>
      </w:r>
      <w:r w:rsidRPr="005452AF">
        <w:t>080), 2016 (5</w:t>
      </w:r>
      <w:r w:rsidR="00893A36">
        <w:t>,</w:t>
      </w:r>
      <w:r w:rsidRPr="005452AF">
        <w:t>506) and 2017 (5</w:t>
      </w:r>
      <w:r w:rsidR="00893A36">
        <w:t>,</w:t>
      </w:r>
      <w:r w:rsidRPr="005452AF">
        <w:t xml:space="preserve">626). </w:t>
      </w:r>
    </w:p>
    <w:p w14:paraId="1B5C8AD2" w14:textId="77777777" w:rsidR="00C26538" w:rsidRPr="005452AF" w:rsidRDefault="00C26538" w:rsidP="00C26538">
      <w:pPr>
        <w:pStyle w:val="Heading2"/>
      </w:pPr>
      <w:r w:rsidRPr="005452AF">
        <w:t>Reimbursement [</w:t>
      </w:r>
      <w:r w:rsidRPr="005452AF">
        <w:rPr>
          <w:vertAlign w:val="superscript"/>
        </w:rPr>
        <w:t>18</w:t>
      </w:r>
      <w:proofErr w:type="gramStart"/>
      <w:r w:rsidRPr="005452AF">
        <w:t>F]FET</w:t>
      </w:r>
      <w:proofErr w:type="gramEnd"/>
      <w:r w:rsidRPr="005452AF">
        <w:t xml:space="preserve"> tracer by National Institute for Health and Disability Insurance</w:t>
      </w:r>
    </w:p>
    <w:p w14:paraId="484662BF" w14:textId="77777777" w:rsidR="00C26538" w:rsidRPr="005452AF" w:rsidRDefault="00C26538" w:rsidP="00C26538">
      <w:pPr>
        <w:spacing w:line="480" w:lineRule="auto"/>
        <w:jc w:val="both"/>
        <w:rPr>
          <w:rFonts w:cs="Arial"/>
        </w:rPr>
      </w:pPr>
      <w:r w:rsidRPr="00C26538">
        <w:rPr>
          <w:lang w:val="nl-BE"/>
        </w:rPr>
        <w:t>A reimbursement of 60 euro for the [</w:t>
      </w:r>
      <w:r w:rsidRPr="00C26538">
        <w:rPr>
          <w:vertAlign w:val="superscript"/>
          <w:lang w:val="nl-BE"/>
        </w:rPr>
        <w:t>18</w:t>
      </w:r>
      <w:r w:rsidRPr="00C26538">
        <w:rPr>
          <w:lang w:val="nl-BE"/>
        </w:rPr>
        <w:t xml:space="preserve">F]FET tracer by the NIHDH is listed under: </w:t>
      </w:r>
      <w:r w:rsidRPr="00C26538">
        <w:rPr>
          <w:rFonts w:cs="Arial"/>
          <w:i/>
          <w:lang w:val="nl-BE"/>
        </w:rPr>
        <w:t>Lijst van de vergoedbare radiofarmaceutische producten Hoofdstuk II &lt; B Lijst van de therapeutische aangewende radiofarmaceutische producten &lt; Paragraaf 10002 &lt; F-18 (UZ GENT).</w:t>
      </w:r>
      <w:r w:rsidRPr="00C26538">
        <w:rPr>
          <w:rFonts w:cs="Arial"/>
          <w:lang w:val="nl-BE"/>
        </w:rPr>
        <w:t xml:space="preserve"> </w:t>
      </w:r>
      <w:r w:rsidRPr="005452AF">
        <w:rPr>
          <w:rFonts w:cs="Arial"/>
        </w:rPr>
        <w:t xml:space="preserve">This document can be found </w:t>
      </w:r>
      <w:r w:rsidRPr="005452AF">
        <w:rPr>
          <w:rFonts w:cs="Arial"/>
        </w:rPr>
        <w:lastRenderedPageBreak/>
        <w:t>on the website of the NIHDH (</w:t>
      </w:r>
      <w:r w:rsidRPr="005452AF">
        <w:rPr>
          <w:rStyle w:val="Hyperlink"/>
          <w:rFonts w:cs="Arial"/>
        </w:rPr>
        <w:t>http://www.riziv.fgov.be/nl/themas/kost-terugbetaling/door-ziekenfonds/geneesmiddel-gezondheidsproduct/terugbetalen/radiopharma/Paginas/vergoedbare-radiofarmaceutische-referentielijsten-referentiebestanden.aspx#.Wsc2ZYhuZPY</w:t>
      </w:r>
      <w:r w:rsidRPr="005452AF">
        <w:rPr>
          <w:rFonts w:cs="Arial"/>
        </w:rPr>
        <w:t>).</w:t>
      </w:r>
    </w:p>
    <w:p w14:paraId="4F4705AA" w14:textId="77777777" w:rsidR="00C26538" w:rsidRPr="005452AF" w:rsidRDefault="00C26538" w:rsidP="00C26538">
      <w:pPr>
        <w:spacing w:line="480" w:lineRule="auto"/>
        <w:jc w:val="both"/>
        <w:rPr>
          <w:rFonts w:cs="Arial"/>
        </w:rPr>
      </w:pPr>
      <w:r w:rsidRPr="005452AF">
        <w:t xml:space="preserve">A second pharmaceutical cost of 1.72 euro for the 0.9% sodium chloride solution necessary for infusion is charged twice. The rates for these solutions can be found under the CNK-code 0725-010 on the website: </w:t>
      </w:r>
      <w:r w:rsidRPr="005452AF">
        <w:rPr>
          <w:rStyle w:val="Hyperlink"/>
          <w:rFonts w:cs="Arial"/>
        </w:rPr>
        <w:t>http://ondpanon.riziv.fgov.be/SSPWebApplicationPublic/nl/Public/ProductSearch</w:t>
      </w:r>
    </w:p>
    <w:p w14:paraId="72B12126" w14:textId="77777777" w:rsidR="00C26538" w:rsidRPr="005452AF" w:rsidRDefault="00C26538" w:rsidP="00C26538">
      <w:pPr>
        <w:pStyle w:val="Heading2"/>
      </w:pPr>
      <w:r w:rsidRPr="005452AF">
        <w:t xml:space="preserve">Hospital funding </w:t>
      </w:r>
    </w:p>
    <w:p w14:paraId="10519935" w14:textId="77777777" w:rsidR="00C26538" w:rsidRPr="005452AF" w:rsidRDefault="00C26538" w:rsidP="00C26538">
      <w:pPr>
        <w:spacing w:line="480" w:lineRule="auto"/>
        <w:jc w:val="both"/>
      </w:pPr>
      <w:r w:rsidRPr="005452AF">
        <w:t xml:space="preserve">Each year the Flemish hospitals receive financial resources from the Belgian government, Flemish government and NIHDH to meet their needs. Section B3 in the budget for financial resources contains the reimbursements hospitals receives for the performed PET-scans. </w:t>
      </w:r>
    </w:p>
    <w:p w14:paraId="256F3709" w14:textId="49369ADB" w:rsidR="00C26538" w:rsidRPr="005452AF" w:rsidRDefault="00C26538" w:rsidP="00C26538">
      <w:pPr>
        <w:pStyle w:val="ListParagraph"/>
        <w:numPr>
          <w:ilvl w:val="0"/>
          <w:numId w:val="20"/>
        </w:numPr>
        <w:spacing w:before="0" w:after="160" w:line="480" w:lineRule="auto"/>
        <w:jc w:val="both"/>
      </w:pPr>
      <w:r w:rsidRPr="005452AF">
        <w:t>The NIHDH provides two refunds for the execution of a PET-scan, on the one hand a reimbursement for section B3 of the budget for financial resources (50.49 euro) and on the other hand a PET-tracer reimbursement (107.55 euro). Both amounts are only refunded for the first 3</w:t>
      </w:r>
      <w:r w:rsidR="00893A36">
        <w:t>,</w:t>
      </w:r>
      <w:r w:rsidRPr="005452AF">
        <w:t xml:space="preserve">400 scans. The most recent circular letter stating the prices to the hospitals is: </w:t>
      </w:r>
      <w:proofErr w:type="spellStart"/>
      <w:r w:rsidRPr="005452AF">
        <w:rPr>
          <w:rFonts w:cs="Arial"/>
          <w:i/>
        </w:rPr>
        <w:t>Omzendbrief</w:t>
      </w:r>
      <w:proofErr w:type="spellEnd"/>
      <w:r w:rsidRPr="005452AF">
        <w:rPr>
          <w:rFonts w:cs="Arial"/>
          <w:i/>
        </w:rPr>
        <w:t xml:space="preserve"> </w:t>
      </w:r>
      <w:proofErr w:type="spellStart"/>
      <w:r w:rsidRPr="005452AF">
        <w:rPr>
          <w:rFonts w:cs="Arial"/>
          <w:i/>
        </w:rPr>
        <w:t>aan</w:t>
      </w:r>
      <w:proofErr w:type="spellEnd"/>
      <w:r w:rsidRPr="005452AF">
        <w:rPr>
          <w:rFonts w:cs="Arial"/>
          <w:i/>
        </w:rPr>
        <w:t xml:space="preserve"> de </w:t>
      </w:r>
      <w:proofErr w:type="spellStart"/>
      <w:r w:rsidRPr="005452AF">
        <w:rPr>
          <w:rFonts w:cs="Arial"/>
          <w:i/>
        </w:rPr>
        <w:t>ziekenhuizen</w:t>
      </w:r>
      <w:proofErr w:type="spellEnd"/>
      <w:r w:rsidRPr="005452AF">
        <w:rPr>
          <w:rFonts w:cs="Arial"/>
          <w:i/>
        </w:rPr>
        <w:t xml:space="preserve"> 2017/04 </w:t>
      </w:r>
      <w:proofErr w:type="spellStart"/>
      <w:r w:rsidRPr="005452AF">
        <w:rPr>
          <w:rFonts w:cs="Arial"/>
          <w:i/>
        </w:rPr>
        <w:t>Prijs</w:t>
      </w:r>
      <w:proofErr w:type="spellEnd"/>
      <w:r w:rsidRPr="005452AF">
        <w:rPr>
          <w:rFonts w:cs="Arial"/>
          <w:i/>
        </w:rPr>
        <w:t xml:space="preserve">: </w:t>
      </w:r>
      <w:proofErr w:type="spellStart"/>
      <w:r w:rsidRPr="005452AF">
        <w:rPr>
          <w:rFonts w:cs="Arial"/>
          <w:i/>
        </w:rPr>
        <w:t>farmaceutische</w:t>
      </w:r>
      <w:proofErr w:type="spellEnd"/>
      <w:r w:rsidRPr="005452AF">
        <w:rPr>
          <w:rFonts w:cs="Arial"/>
          <w:i/>
        </w:rPr>
        <w:t xml:space="preserve"> </w:t>
      </w:r>
      <w:proofErr w:type="spellStart"/>
      <w:r w:rsidRPr="005452AF">
        <w:rPr>
          <w:rFonts w:cs="Arial"/>
          <w:i/>
        </w:rPr>
        <w:t>verstrekkingen</w:t>
      </w:r>
      <w:proofErr w:type="spellEnd"/>
      <w:r w:rsidRPr="005452AF">
        <w:rPr>
          <w:rFonts w:cs="Arial"/>
          <w:i/>
        </w:rPr>
        <w:t xml:space="preserve">: 01-06-2017. </w:t>
      </w:r>
      <w:r w:rsidRPr="005452AF">
        <w:rPr>
          <w:rStyle w:val="Hyperlink"/>
          <w:rFonts w:cs="Arial"/>
        </w:rPr>
        <w:t>http://www.riziv.fgov.be/nl/professionals/verzorgingsinstellingen/ziekenhuizen/Paginas/omzendbrieven-algemeen-ziekenhuis.aspx#.WsdA6IhuZPY</w:t>
      </w:r>
      <w:r w:rsidRPr="005452AF">
        <w:rPr>
          <w:rFonts w:cs="Arial"/>
        </w:rPr>
        <w:t>.</w:t>
      </w:r>
    </w:p>
    <w:p w14:paraId="369F1143" w14:textId="768BC25C" w:rsidR="00C26538" w:rsidRPr="00C26538" w:rsidRDefault="00C26538" w:rsidP="00C26538">
      <w:pPr>
        <w:pStyle w:val="ListParagraph"/>
        <w:numPr>
          <w:ilvl w:val="0"/>
          <w:numId w:val="20"/>
        </w:numPr>
        <w:spacing w:before="0" w:after="160" w:line="480" w:lineRule="auto"/>
        <w:jc w:val="both"/>
        <w:rPr>
          <w:lang w:val="nl-BE"/>
        </w:rPr>
      </w:pPr>
      <w:r w:rsidRPr="005452AF">
        <w:rPr>
          <w:rFonts w:cs="Arial"/>
        </w:rPr>
        <w:t>The Belgian government has a yearly contribution of 200</w:t>
      </w:r>
      <w:r w:rsidR="00893A36">
        <w:rPr>
          <w:rFonts w:cs="Arial"/>
        </w:rPr>
        <w:t>,</w:t>
      </w:r>
      <w:r w:rsidRPr="005452AF">
        <w:rPr>
          <w:rFonts w:cs="Arial"/>
        </w:rPr>
        <w:t>000 euro to the budget of financial resources which can be found under:</w:t>
      </w:r>
      <w:r w:rsidRPr="005452AF">
        <w:rPr>
          <w:rFonts w:cs="Arial"/>
          <w:bCs/>
          <w:i/>
        </w:rPr>
        <w:t xml:space="preserve"> Nota </w:t>
      </w:r>
      <w:proofErr w:type="spellStart"/>
      <w:r w:rsidRPr="005452AF">
        <w:rPr>
          <w:rFonts w:cs="Arial"/>
          <w:bCs/>
          <w:i/>
        </w:rPr>
        <w:t>bij</w:t>
      </w:r>
      <w:proofErr w:type="spellEnd"/>
      <w:r w:rsidRPr="005452AF">
        <w:rPr>
          <w:rFonts w:cs="Arial"/>
          <w:bCs/>
          <w:i/>
        </w:rPr>
        <w:t xml:space="preserve"> de </w:t>
      </w:r>
      <w:proofErr w:type="spellStart"/>
      <w:r w:rsidRPr="005452AF">
        <w:rPr>
          <w:rFonts w:cs="Arial"/>
          <w:bCs/>
          <w:i/>
        </w:rPr>
        <w:t>betekening</w:t>
      </w:r>
      <w:proofErr w:type="spellEnd"/>
      <w:r w:rsidRPr="005452AF">
        <w:rPr>
          <w:rFonts w:cs="Arial"/>
          <w:bCs/>
          <w:i/>
        </w:rPr>
        <w:t xml:space="preserve"> van het budget van </w:t>
      </w:r>
      <w:proofErr w:type="spellStart"/>
      <w:r w:rsidRPr="005452AF">
        <w:rPr>
          <w:rFonts w:cs="Arial"/>
          <w:bCs/>
          <w:i/>
        </w:rPr>
        <w:t>financiële</w:t>
      </w:r>
      <w:proofErr w:type="spellEnd"/>
      <w:r w:rsidRPr="005452AF">
        <w:rPr>
          <w:rFonts w:cs="Arial"/>
          <w:bCs/>
          <w:i/>
        </w:rPr>
        <w:t xml:space="preserve"> </w:t>
      </w:r>
      <w:proofErr w:type="spellStart"/>
      <w:r w:rsidRPr="005452AF">
        <w:rPr>
          <w:rFonts w:cs="Arial"/>
          <w:bCs/>
          <w:i/>
        </w:rPr>
        <w:t>middelen</w:t>
      </w:r>
      <w:proofErr w:type="spellEnd"/>
      <w:r w:rsidRPr="005452AF">
        <w:rPr>
          <w:rFonts w:cs="Arial"/>
          <w:bCs/>
        </w:rPr>
        <w:t xml:space="preserve">. </w:t>
      </w:r>
      <w:r w:rsidRPr="00C26538">
        <w:rPr>
          <w:rFonts w:cs="Arial"/>
          <w:bCs/>
          <w:i/>
          <w:lang w:val="nl-BE"/>
        </w:rPr>
        <w:t>&lt; 2.De vaststelling van de verschillende onderdelen van het budget van financiële middelen op 1 juli 2016 &lt; 2.3 Onderdelen A3 en B3 – Financiering NMR, radiotherapie en petscan</w:t>
      </w:r>
      <w:r w:rsidRPr="00C26538">
        <w:rPr>
          <w:rFonts w:cs="Arial"/>
          <w:bCs/>
          <w:lang w:val="nl-BE"/>
        </w:rPr>
        <w:t xml:space="preserve">. </w:t>
      </w:r>
      <w:r w:rsidRPr="00C26538">
        <w:rPr>
          <w:rStyle w:val="Hyperlink"/>
          <w:rFonts w:cs="Arial"/>
          <w:i/>
          <w:lang w:val="nl-BE"/>
        </w:rPr>
        <w:lastRenderedPageBreak/>
        <w:t>https://www.health.belgium.be/sites/default/files/uploads/fields/fpshealth_theme_file/nota_als_bijlage_aan_bfm_op_01072016.pdf</w:t>
      </w:r>
      <w:r w:rsidRPr="00C26538">
        <w:rPr>
          <w:rFonts w:cs="Arial"/>
          <w:i/>
          <w:lang w:val="nl-BE"/>
        </w:rPr>
        <w:t xml:space="preserve">. </w:t>
      </w:r>
    </w:p>
    <w:p w14:paraId="0F660BA3" w14:textId="697DD2FB" w:rsidR="00C26538" w:rsidRPr="005452AF" w:rsidRDefault="00C26538" w:rsidP="00C26538">
      <w:pPr>
        <w:pStyle w:val="ListParagraph"/>
        <w:numPr>
          <w:ilvl w:val="0"/>
          <w:numId w:val="21"/>
        </w:numPr>
        <w:spacing w:before="0" w:after="200" w:line="480" w:lineRule="auto"/>
        <w:jc w:val="both"/>
        <w:rPr>
          <w:rFonts w:cs="Arial"/>
        </w:rPr>
      </w:pPr>
      <w:r w:rsidRPr="005452AF">
        <w:rPr>
          <w:rFonts w:cs="Arial"/>
        </w:rPr>
        <w:t>The Flemish government donates an additional grant of 90</w:t>
      </w:r>
      <w:r w:rsidR="00893A36">
        <w:rPr>
          <w:rFonts w:cs="Arial"/>
        </w:rPr>
        <w:t>,</w:t>
      </w:r>
      <w:r w:rsidRPr="005452AF">
        <w:rPr>
          <w:rFonts w:cs="Arial"/>
        </w:rPr>
        <w:t>000 euro which can be found under</w:t>
      </w:r>
      <w:r w:rsidRPr="005452AF">
        <w:rPr>
          <w:rFonts w:cs="Arial"/>
          <w:i/>
        </w:rPr>
        <w:t xml:space="preserve"> </w:t>
      </w:r>
      <w:r w:rsidRPr="005452AF">
        <w:rPr>
          <w:rStyle w:val="Hyperlink"/>
          <w:rFonts w:cs="Arial"/>
          <w:i/>
        </w:rPr>
        <w:t>https://www.departementwvg.be/sites/default/files/media/Communicatie_toestelfinanciering.pdf</w:t>
      </w:r>
      <w:r w:rsidRPr="005452AF">
        <w:rPr>
          <w:rFonts w:cs="Arial"/>
          <w:i/>
        </w:rPr>
        <w:t>.</w:t>
      </w:r>
    </w:p>
    <w:p w14:paraId="58D92CF4" w14:textId="77777777" w:rsidR="00C26538" w:rsidRDefault="00C26538" w:rsidP="00C26538">
      <w:pPr>
        <w:rPr>
          <w:i/>
        </w:rPr>
      </w:pPr>
    </w:p>
    <w:p w14:paraId="1E9E6416" w14:textId="77777777" w:rsidR="00C26538" w:rsidRPr="005452AF" w:rsidRDefault="00C26538" w:rsidP="00C26538">
      <w:pPr>
        <w:pStyle w:val="Heading2"/>
      </w:pPr>
      <w:r w:rsidRPr="005452AF">
        <w:t>Honorarium</w:t>
      </w:r>
    </w:p>
    <w:p w14:paraId="3D72527F" w14:textId="2BC03F43" w:rsidR="00C26538" w:rsidRPr="005452AF" w:rsidRDefault="00C26538" w:rsidP="00C26538">
      <w:pPr>
        <w:spacing w:line="480" w:lineRule="auto"/>
        <w:ind w:firstLine="720"/>
        <w:jc w:val="both"/>
        <w:rPr>
          <w:rFonts w:cs="Arial"/>
        </w:rPr>
      </w:pPr>
      <w:r w:rsidRPr="005452AF">
        <w:t xml:space="preserve">In addition to the tracer and scanner related compensations the hospital also receives </w:t>
      </w:r>
      <w:r w:rsidR="00893A36" w:rsidRPr="005452AF">
        <w:t>an</w:t>
      </w:r>
      <w:r w:rsidRPr="005452AF">
        <w:t xml:space="preserve"> honorarium linked to the performance of the nuclear physician. For a PET scan of head and neck-tumors the codes 442971-442982 apply. </w:t>
      </w:r>
      <w:r w:rsidRPr="00C26538">
        <w:rPr>
          <w:lang w:val="nl-BE"/>
        </w:rPr>
        <w:t xml:space="preserve">The codes and indications can be found under </w:t>
      </w:r>
      <w:r w:rsidRPr="00C26538">
        <w:rPr>
          <w:rFonts w:cs="Arial"/>
          <w:i/>
          <w:lang w:val="nl-BE"/>
        </w:rPr>
        <w:t>"</w:t>
      </w:r>
      <w:r w:rsidRPr="00C26538">
        <w:rPr>
          <w:rFonts w:cs="Arial"/>
          <w:b/>
          <w:i/>
          <w:lang w:val="nl-BE"/>
        </w:rPr>
        <w:t xml:space="preserve">§ 2. </w:t>
      </w:r>
      <w:r w:rsidRPr="00C26538">
        <w:rPr>
          <w:rFonts w:cs="Arial"/>
          <w:i/>
          <w:lang w:val="nl-BE"/>
        </w:rPr>
        <w:t xml:space="preserve">Worden beschouwd als verstrekkingen die de bekwaming van geneesheer, specialist voor nucleaire geneeskunde (XN), vereisen :" =&gt; </w:t>
      </w:r>
      <w:r w:rsidRPr="00C26538">
        <w:rPr>
          <w:rFonts w:cs="Arial"/>
          <w:b/>
          <w:i/>
          <w:lang w:val="nl-BE"/>
        </w:rPr>
        <w:t>B. Tests of doseringen met gemerkte producten</w:t>
      </w:r>
      <w:r w:rsidRPr="00C26538">
        <w:rPr>
          <w:rFonts w:cs="Arial"/>
          <w:i/>
          <w:lang w:val="nl-BE"/>
        </w:rPr>
        <w:t xml:space="preserve">: =&gt; </w:t>
      </w:r>
      <w:r w:rsidRPr="00C26538">
        <w:rPr>
          <w:rFonts w:cs="Arial"/>
          <w:b/>
          <w:i/>
          <w:lang w:val="nl-BE"/>
        </w:rPr>
        <w:t>d) quater.</w:t>
      </w:r>
      <w:r w:rsidRPr="00C26538">
        <w:rPr>
          <w:rFonts w:cs="Arial"/>
          <w:i/>
          <w:lang w:val="nl-BE"/>
        </w:rPr>
        <w:t xml:space="preserve"> PET-onderzoeken (Positron Emissie Tomografie) =&gt; 1. Onderzoek bij oncologische indicaties =&gt; Positronentomografisch onderzoek door coïncidentiedetectie met protocol en documenten, voor het geheel van het onderzoek, voor oncologische indicaties N 250. De verstrekking 442971-442982 is enkel aanrekenbaar in de volgende indicaties: =&gt; 2) in geval van een initieel uitbreidingsbilan van een maligne tumor: =&gt; g) van een hoofd- en halstumor. </w:t>
      </w:r>
      <w:r w:rsidRPr="005452AF">
        <w:rPr>
          <w:rFonts w:cs="Arial"/>
        </w:rPr>
        <w:t xml:space="preserve">This section can be found on the documents on website: </w:t>
      </w:r>
      <w:r w:rsidRPr="005452AF">
        <w:rPr>
          <w:rStyle w:val="Hyperlink"/>
          <w:rFonts w:cs="Arial"/>
        </w:rPr>
        <w:t>http://www.riziv.fgov.be/nl/nomenclatuur/Paginas/default.aspx#.WuLQ3YhuZPY</w:t>
      </w:r>
      <w:r w:rsidRPr="005452AF">
        <w:rPr>
          <w:rFonts w:cs="Arial"/>
        </w:rPr>
        <w:t xml:space="preserve">. </w:t>
      </w:r>
    </w:p>
    <w:p w14:paraId="65D395F2" w14:textId="77777777" w:rsidR="00C26538" w:rsidRPr="005452AF" w:rsidRDefault="00C26538" w:rsidP="00C26538">
      <w:pPr>
        <w:spacing w:line="480" w:lineRule="auto"/>
        <w:ind w:firstLine="720"/>
        <w:jc w:val="both"/>
        <w:rPr>
          <w:rFonts w:cs="Arial"/>
        </w:rPr>
      </w:pPr>
      <w:r w:rsidRPr="005452AF">
        <w:rPr>
          <w:rFonts w:cs="Arial"/>
        </w:rPr>
        <w:t>The reimbursement of 179.10 euro for code 442971-44298 is stated on</w:t>
      </w:r>
      <w:r w:rsidRPr="005452AF">
        <w:rPr>
          <w:rFonts w:cs="Arial"/>
          <w:i/>
        </w:rPr>
        <w:t xml:space="preserve"> </w:t>
      </w:r>
      <w:r w:rsidRPr="005452AF">
        <w:rPr>
          <w:rStyle w:val="Hyperlink"/>
          <w:rFonts w:cs="Arial"/>
          <w:i/>
        </w:rPr>
        <w:t>http://www.riziv.fgov.be/nl/themas/kost-terugbetaling/door-ziekenfonds/individuele-verzorging/honoraires/Paginas/arts-deel10.aspx#.WoBRsajiZPa</w:t>
      </w:r>
      <w:r w:rsidRPr="005452AF">
        <w:rPr>
          <w:rFonts w:cs="Arial"/>
        </w:rPr>
        <w:t xml:space="preserve">. </w:t>
      </w:r>
    </w:p>
    <w:p w14:paraId="012C4D85" w14:textId="77777777" w:rsidR="00C26538" w:rsidRPr="005452AF" w:rsidRDefault="00C26538" w:rsidP="00C26538">
      <w:pPr>
        <w:spacing w:line="480" w:lineRule="auto"/>
        <w:ind w:firstLine="720"/>
        <w:jc w:val="both"/>
        <w:rPr>
          <w:rFonts w:cs="Arial"/>
        </w:rPr>
      </w:pPr>
      <w:r w:rsidRPr="005452AF">
        <w:rPr>
          <w:rFonts w:cs="Arial"/>
        </w:rPr>
        <w:t xml:space="preserve">An additional honorarium of 0.65 euro for accredited physicians is provided by the NIHDH with the code 449912. </w:t>
      </w:r>
    </w:p>
    <w:p w14:paraId="1BA68A4F" w14:textId="229E02D9" w:rsidR="00C26538" w:rsidRPr="005452AF" w:rsidRDefault="00C26538" w:rsidP="00C26538">
      <w:pPr>
        <w:spacing w:line="480" w:lineRule="auto"/>
        <w:ind w:firstLine="720"/>
        <w:jc w:val="both"/>
        <w:rPr>
          <w:rFonts w:cs="Arial"/>
        </w:rPr>
      </w:pPr>
      <w:r w:rsidRPr="005452AF">
        <w:rPr>
          <w:rFonts w:cs="Arial"/>
        </w:rPr>
        <w:lastRenderedPageBreak/>
        <w:t>In the year 2017 an estimated number of 5</w:t>
      </w:r>
      <w:r w:rsidR="00893A36">
        <w:rPr>
          <w:rFonts w:cs="Arial"/>
        </w:rPr>
        <w:t>,</w:t>
      </w:r>
      <w:r w:rsidRPr="005452AF">
        <w:rPr>
          <w:rFonts w:cs="Arial"/>
        </w:rPr>
        <w:t>626 PET-scans were performed at the University Hospital of Ghent. Based on this number an average cost per PET-scan was calculated. The sum of 290</w:t>
      </w:r>
      <w:r w:rsidR="00893A36">
        <w:rPr>
          <w:rFonts w:cs="Arial"/>
        </w:rPr>
        <w:t>,</w:t>
      </w:r>
      <w:r w:rsidRPr="005452AF">
        <w:rPr>
          <w:rFonts w:cs="Arial"/>
        </w:rPr>
        <w:t>000 euro (90</w:t>
      </w:r>
      <w:r w:rsidR="00893A36">
        <w:rPr>
          <w:rFonts w:cs="Arial"/>
        </w:rPr>
        <w:t>,</w:t>
      </w:r>
      <w:r w:rsidRPr="005452AF">
        <w:rPr>
          <w:rFonts w:cs="Arial"/>
        </w:rPr>
        <w:t>000 from Flemish government and 200</w:t>
      </w:r>
      <w:r w:rsidR="00893A36">
        <w:rPr>
          <w:rFonts w:cs="Arial"/>
        </w:rPr>
        <w:t>,</w:t>
      </w:r>
      <w:r w:rsidRPr="005452AF">
        <w:rPr>
          <w:rFonts w:cs="Arial"/>
        </w:rPr>
        <w:t>000 euro from the Belgian government) equals to 51.55 euro grant per scan (= 290</w:t>
      </w:r>
      <w:r w:rsidR="00893A36">
        <w:rPr>
          <w:rFonts w:cs="Arial"/>
        </w:rPr>
        <w:t>,</w:t>
      </w:r>
      <w:r w:rsidRPr="005452AF">
        <w:rPr>
          <w:rFonts w:cs="Arial"/>
        </w:rPr>
        <w:t>000 euro/ 5</w:t>
      </w:r>
      <w:r w:rsidR="00893A36">
        <w:rPr>
          <w:rFonts w:cs="Arial"/>
        </w:rPr>
        <w:t>,</w:t>
      </w:r>
      <w:r w:rsidRPr="005452AF">
        <w:rPr>
          <w:rFonts w:cs="Arial"/>
        </w:rPr>
        <w:t>626 scans). Next, the segment of budget of financial resources is divided over the number of scans. The total budget was 537</w:t>
      </w:r>
      <w:r w:rsidR="00893A36">
        <w:rPr>
          <w:rFonts w:cs="Arial"/>
        </w:rPr>
        <w:t>,</w:t>
      </w:r>
      <w:r w:rsidRPr="005452AF">
        <w:rPr>
          <w:rFonts w:cs="Arial"/>
        </w:rPr>
        <w:t>336 euro ((</w:t>
      </w:r>
      <w:proofErr w:type="gramStart"/>
      <w:r w:rsidRPr="005452AF">
        <w:rPr>
          <w:rFonts w:cs="Arial"/>
        </w:rPr>
        <w:t>50.49 euro</w:t>
      </w:r>
      <w:proofErr w:type="gramEnd"/>
      <w:r w:rsidRPr="005452AF">
        <w:rPr>
          <w:rFonts w:cs="Arial"/>
        </w:rPr>
        <w:t xml:space="preserve"> +107.55 euro) *3 400 reimbursed examinations). Dividing 537</w:t>
      </w:r>
      <w:r w:rsidR="00893A36">
        <w:rPr>
          <w:rFonts w:cs="Arial"/>
        </w:rPr>
        <w:t>,</w:t>
      </w:r>
      <w:r w:rsidRPr="005452AF">
        <w:rPr>
          <w:rFonts w:cs="Arial"/>
        </w:rPr>
        <w:t>336 euro over 5</w:t>
      </w:r>
      <w:r w:rsidR="00893A36">
        <w:rPr>
          <w:rFonts w:cs="Arial"/>
        </w:rPr>
        <w:t>,</w:t>
      </w:r>
      <w:r w:rsidRPr="005452AF">
        <w:rPr>
          <w:rFonts w:cs="Arial"/>
        </w:rPr>
        <w:t>626 scans results in an amount of 95.51 euro per scan.</w:t>
      </w:r>
    </w:p>
    <w:p w14:paraId="5F14CBDF" w14:textId="77777777" w:rsidR="00C26538" w:rsidRPr="005452AF" w:rsidRDefault="00C26538" w:rsidP="00C26538">
      <w:pPr>
        <w:spacing w:line="480" w:lineRule="auto"/>
        <w:ind w:firstLine="720"/>
        <w:jc w:val="both"/>
        <w:rPr>
          <w:rFonts w:cs="Arial"/>
        </w:rPr>
      </w:pPr>
      <w:r w:rsidRPr="005452AF">
        <w:rPr>
          <w:rFonts w:cs="Arial"/>
        </w:rPr>
        <w:t xml:space="preserve">Adding up the different components results in a cost of 390.25 euro per scan. To determine the prognosis of a patient a total of two scans are necessary which brings the total cost to 780.50 euro per patient. </w:t>
      </w:r>
    </w:p>
    <w:p w14:paraId="3BDE00D1" w14:textId="77777777" w:rsidR="00C26538" w:rsidRPr="00C26538" w:rsidRDefault="00C26538" w:rsidP="00C26538">
      <w:pPr>
        <w:spacing w:line="480" w:lineRule="auto"/>
        <w:ind w:firstLine="720"/>
        <w:jc w:val="both"/>
        <w:rPr>
          <w:rFonts w:cs="Arial"/>
          <w:lang w:val="nl-BE"/>
        </w:rPr>
      </w:pPr>
      <w:r w:rsidRPr="00C26538">
        <w:rPr>
          <w:rFonts w:cs="Arial"/>
          <w:lang w:val="nl-BE"/>
        </w:rPr>
        <w:t xml:space="preserve">60 euro + 3.44 euro + 51.55 euro + 95.51 euro + 179.10 euro + 0.65 euro = 390.25 euro. </w:t>
      </w:r>
    </w:p>
    <w:p w14:paraId="4ED22924" w14:textId="77777777" w:rsidR="00C26538" w:rsidRPr="005452AF" w:rsidRDefault="00C26538" w:rsidP="00C26538">
      <w:pPr>
        <w:pStyle w:val="Heading1"/>
      </w:pPr>
      <w:r w:rsidRPr="005452AF">
        <w:t>Cost-effectiveness correct diagnosis</w:t>
      </w:r>
    </w:p>
    <w:p w14:paraId="6F813466" w14:textId="28575297" w:rsidR="00C26538" w:rsidRPr="005452AF" w:rsidRDefault="00C26538" w:rsidP="00C26538">
      <w:pPr>
        <w:spacing w:line="480" w:lineRule="auto"/>
        <w:jc w:val="both"/>
      </w:pPr>
      <w:r w:rsidRPr="005452AF">
        <w:t>In addition to the cost-effectiveness to recognize one non-responder, the cost-effectiveness for one extra correct diagnosis was determined. [</w:t>
      </w:r>
      <w:r w:rsidRPr="005452AF">
        <w:rPr>
          <w:vertAlign w:val="superscript"/>
        </w:rPr>
        <w:t>18</w:t>
      </w:r>
      <w:proofErr w:type="gramStart"/>
      <w:r w:rsidRPr="005452AF">
        <w:t>F]FET</w:t>
      </w:r>
      <w:proofErr w:type="gramEnd"/>
      <w:r w:rsidRPr="005452AF">
        <w:t xml:space="preserve"> showed an increase of 20.70% (61.90% with MRI vs 82.60% for PET) more correct prognoses in resemblance to MRI based on overall survival. A similar increase of 22.76% (38.12% with MRI vs 60.88% for PET) was seen based upon progression free survival. The incremental cost-effectiveness ratio for one correct prognosis was 3</w:t>
      </w:r>
      <w:r w:rsidR="00893A36">
        <w:t>,</w:t>
      </w:r>
      <w:r w:rsidRPr="005452AF">
        <w:t>769.77 euro based on overall survival and 3</w:t>
      </w:r>
      <w:r w:rsidR="00893A36">
        <w:t>,</w:t>
      </w:r>
      <w:r w:rsidRPr="005452AF">
        <w:t xml:space="preserve">427.07 euro based on progression free survival.  </w:t>
      </w:r>
    </w:p>
    <w:p w14:paraId="4AC42397" w14:textId="27A7A44C" w:rsidR="00C26538" w:rsidRPr="005452AF" w:rsidRDefault="00C26538" w:rsidP="00C26538">
      <w:pPr>
        <w:spacing w:line="480" w:lineRule="auto"/>
        <w:jc w:val="both"/>
      </w:pPr>
      <w:r w:rsidRPr="005452AF">
        <w:t>The one-way deterministic sensitivity analysis shows ICER intervals [3</w:t>
      </w:r>
      <w:r w:rsidR="00893A36">
        <w:t>,</w:t>
      </w:r>
      <w:r w:rsidRPr="005452AF">
        <w:t>082.91; 4</w:t>
      </w:r>
      <w:r w:rsidR="00893A36">
        <w:t>,</w:t>
      </w:r>
      <w:r w:rsidRPr="005452AF">
        <w:t>852.09] for decision tree based on overall survival and [2</w:t>
      </w:r>
      <w:r w:rsidR="00893A36">
        <w:t>,</w:t>
      </w:r>
      <w:r w:rsidRPr="005452AF">
        <w:t>774.44; 4</w:t>
      </w:r>
      <w:r w:rsidR="00893A36">
        <w:t>,</w:t>
      </w:r>
      <w:r w:rsidRPr="005452AF">
        <w:t xml:space="preserve">481.16] for the decision tree based on progression free survival. In the Monte Carlo analysis results are seen very similar to the Monte Carlo analysis of the ICER values for the recognition of a non-responder. Very robust data with a narrow distribution.  </w:t>
      </w:r>
    </w:p>
    <w:p w14:paraId="4D059444" w14:textId="5C429F0C" w:rsidR="00994A3D" w:rsidRDefault="00654E8F" w:rsidP="0001436A">
      <w:pPr>
        <w:pStyle w:val="Heading1"/>
      </w:pPr>
      <w:r w:rsidRPr="00994A3D">
        <w:lastRenderedPageBreak/>
        <w:t>Supplementary Figures and 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26538" w:rsidRPr="00C26538" w14:paraId="74689C28" w14:textId="77777777" w:rsidTr="00C848AA">
        <w:tc>
          <w:tcPr>
            <w:tcW w:w="4531" w:type="dxa"/>
          </w:tcPr>
          <w:p w14:paraId="4A192EC9" w14:textId="25F00229" w:rsidR="00C26538" w:rsidRPr="00C26538" w:rsidRDefault="00C26538" w:rsidP="00C26538">
            <w:pPr>
              <w:keepNext/>
              <w:spacing w:before="0" w:after="160" w:line="480" w:lineRule="auto"/>
              <w:jc w:val="both"/>
              <w:rPr>
                <w:rFonts w:asciiTheme="minorHAnsi" w:eastAsia="Times New Roman" w:hAnsiTheme="minorHAnsi" w:cs="Times New Roman"/>
                <w:sz w:val="22"/>
                <w:lang w:val="nl-BE"/>
              </w:rPr>
            </w:pPr>
            <w:r w:rsidRPr="00C26538">
              <w:rPr>
                <w:rFonts w:asciiTheme="minorHAnsi" w:eastAsia="Times New Roman" w:hAnsiTheme="minorHAnsi" w:cs="Times New Roman"/>
                <w:noProof/>
                <w:sz w:val="22"/>
                <w:lang w:val="nl-BE" w:eastAsia="nl-BE"/>
              </w:rPr>
              <w:drawing>
                <wp:inline distT="0" distB="0" distL="0" distR="0" wp14:anchorId="0A405380" wp14:editId="51E0537F">
                  <wp:extent cx="2503170" cy="1360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3170" cy="1360170"/>
                          </a:xfrm>
                          <a:prstGeom prst="rect">
                            <a:avLst/>
                          </a:prstGeom>
                          <a:noFill/>
                          <a:ln>
                            <a:noFill/>
                          </a:ln>
                        </pic:spPr>
                      </pic:pic>
                    </a:graphicData>
                  </a:graphic>
                </wp:inline>
              </w:drawing>
            </w:r>
          </w:p>
        </w:tc>
        <w:tc>
          <w:tcPr>
            <w:tcW w:w="4531" w:type="dxa"/>
          </w:tcPr>
          <w:p w14:paraId="4324C364" w14:textId="7AE512F3" w:rsidR="00C26538" w:rsidRPr="00C26538" w:rsidRDefault="00C26538" w:rsidP="00C26538">
            <w:pPr>
              <w:keepNext/>
              <w:spacing w:before="0" w:after="160" w:line="480" w:lineRule="auto"/>
              <w:jc w:val="both"/>
              <w:rPr>
                <w:rFonts w:asciiTheme="minorHAnsi" w:eastAsia="Times New Roman" w:hAnsiTheme="minorHAnsi" w:cs="Times New Roman"/>
                <w:sz w:val="22"/>
                <w:lang w:val="nl-BE"/>
              </w:rPr>
            </w:pPr>
            <w:r w:rsidRPr="00C26538">
              <w:rPr>
                <w:rFonts w:asciiTheme="minorHAnsi" w:eastAsia="Times New Roman" w:hAnsiTheme="minorHAnsi" w:cs="Times New Roman"/>
                <w:noProof/>
                <w:sz w:val="22"/>
                <w:lang w:val="nl-BE" w:eastAsia="nl-BE"/>
              </w:rPr>
              <w:drawing>
                <wp:inline distT="0" distB="0" distL="0" distR="0" wp14:anchorId="60D01137" wp14:editId="3665CFE3">
                  <wp:extent cx="2518410" cy="1363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8410" cy="1363980"/>
                          </a:xfrm>
                          <a:prstGeom prst="rect">
                            <a:avLst/>
                          </a:prstGeom>
                          <a:noFill/>
                          <a:ln>
                            <a:noFill/>
                          </a:ln>
                        </pic:spPr>
                      </pic:pic>
                    </a:graphicData>
                  </a:graphic>
                </wp:inline>
              </w:drawing>
            </w:r>
          </w:p>
        </w:tc>
      </w:tr>
    </w:tbl>
    <w:p w14:paraId="6C3B99A6" w14:textId="77777777" w:rsidR="00C26538" w:rsidRPr="00C26538" w:rsidRDefault="00C26538" w:rsidP="00C26538">
      <w:pPr>
        <w:spacing w:before="0" w:after="200" w:line="480" w:lineRule="auto"/>
        <w:jc w:val="both"/>
        <w:rPr>
          <w:rFonts w:asciiTheme="minorHAnsi" w:eastAsia="Times New Roman" w:hAnsiTheme="minorHAnsi" w:cs="Times New Roman"/>
          <w:i/>
          <w:iCs/>
          <w:szCs w:val="24"/>
        </w:rPr>
      </w:pPr>
      <w:r w:rsidRPr="00C26538">
        <w:rPr>
          <w:rFonts w:asciiTheme="minorHAnsi" w:eastAsia="Times New Roman" w:hAnsiTheme="minorHAnsi" w:cs="Times New Roman"/>
          <w:i/>
          <w:iCs/>
          <w:szCs w:val="24"/>
        </w:rPr>
        <w:t>Figure 1: Tornado diagram of the cost-effectiveness ratio for correct prognosis for decision tree based on overall survival (left) and progression free survival (right).</w:t>
      </w:r>
    </w:p>
    <w:p w14:paraId="45825D88" w14:textId="77777777" w:rsidR="00C26538" w:rsidRPr="00C26538" w:rsidRDefault="00C26538" w:rsidP="00C26538">
      <w:pPr>
        <w:spacing w:before="0" w:after="160" w:line="259" w:lineRule="auto"/>
        <w:rPr>
          <w:rFonts w:asciiTheme="minorHAnsi" w:eastAsia="Times New Roman" w:hAnsiTheme="minorHAnsi" w:cs="Times New Roman"/>
          <w:szCs w:val="24"/>
        </w:rPr>
      </w:pPr>
    </w:p>
    <w:p w14:paraId="354AF75C" w14:textId="77777777" w:rsidR="00C26538" w:rsidRPr="00C26538" w:rsidRDefault="00C26538" w:rsidP="00C26538">
      <w:pPr>
        <w:spacing w:before="0" w:after="160" w:line="259" w:lineRule="auto"/>
        <w:rPr>
          <w:rFonts w:asciiTheme="minorHAnsi" w:eastAsia="Times New Roman" w:hAnsiTheme="minorHAnsi"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8"/>
        <w:gridCol w:w="4698"/>
      </w:tblGrid>
      <w:tr w:rsidR="00C26538" w:rsidRPr="00C26538" w14:paraId="389CA5F5" w14:textId="77777777" w:rsidTr="00C848AA">
        <w:tc>
          <w:tcPr>
            <w:tcW w:w="4531" w:type="dxa"/>
          </w:tcPr>
          <w:p w14:paraId="18004CCE" w14:textId="32B2C183" w:rsidR="00C26538" w:rsidRPr="00C26538" w:rsidRDefault="00C26538" w:rsidP="00C26538">
            <w:pPr>
              <w:keepNext/>
              <w:spacing w:before="0" w:after="160" w:line="480" w:lineRule="auto"/>
              <w:jc w:val="both"/>
              <w:rPr>
                <w:rFonts w:asciiTheme="minorHAnsi" w:eastAsia="Times New Roman" w:hAnsiTheme="minorHAnsi" w:cs="Times New Roman"/>
                <w:szCs w:val="24"/>
                <w:lang w:val="nl-BE"/>
              </w:rPr>
            </w:pPr>
            <w:r w:rsidRPr="00C26538">
              <w:rPr>
                <w:rFonts w:asciiTheme="minorHAnsi" w:eastAsia="Times New Roman" w:hAnsiTheme="minorHAnsi" w:cs="Times New Roman"/>
                <w:noProof/>
                <w:szCs w:val="24"/>
                <w:lang w:val="nl-BE" w:eastAsia="nl-BE"/>
              </w:rPr>
              <w:drawing>
                <wp:inline distT="0" distB="0" distL="0" distR="0" wp14:anchorId="29316245" wp14:editId="13FED80A">
                  <wp:extent cx="2750820" cy="1645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0820" cy="1645920"/>
                          </a:xfrm>
                          <a:prstGeom prst="rect">
                            <a:avLst/>
                          </a:prstGeom>
                          <a:noFill/>
                          <a:ln>
                            <a:noFill/>
                          </a:ln>
                        </pic:spPr>
                      </pic:pic>
                    </a:graphicData>
                  </a:graphic>
                </wp:inline>
              </w:drawing>
            </w:r>
          </w:p>
        </w:tc>
        <w:tc>
          <w:tcPr>
            <w:tcW w:w="4531" w:type="dxa"/>
          </w:tcPr>
          <w:p w14:paraId="5E8F4025" w14:textId="17BDF3DE" w:rsidR="00C26538" w:rsidRPr="00C26538" w:rsidRDefault="00C26538" w:rsidP="00C26538">
            <w:pPr>
              <w:keepNext/>
              <w:spacing w:before="0" w:after="160" w:line="480" w:lineRule="auto"/>
              <w:jc w:val="both"/>
              <w:rPr>
                <w:rFonts w:asciiTheme="minorHAnsi" w:eastAsia="Times New Roman" w:hAnsiTheme="minorHAnsi" w:cs="Times New Roman"/>
                <w:szCs w:val="24"/>
                <w:lang w:val="nl-BE"/>
              </w:rPr>
            </w:pPr>
            <w:r w:rsidRPr="00C26538">
              <w:rPr>
                <w:rFonts w:asciiTheme="minorHAnsi" w:eastAsia="Times New Roman" w:hAnsiTheme="minorHAnsi" w:cs="Times New Roman"/>
                <w:noProof/>
                <w:szCs w:val="24"/>
                <w:lang w:val="nl-BE" w:eastAsia="nl-BE"/>
              </w:rPr>
              <w:drawing>
                <wp:inline distT="0" distB="0" distL="0" distR="0" wp14:anchorId="6693AB22" wp14:editId="1D927C79">
                  <wp:extent cx="2846070" cy="16497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6070" cy="1649730"/>
                          </a:xfrm>
                          <a:prstGeom prst="rect">
                            <a:avLst/>
                          </a:prstGeom>
                          <a:noFill/>
                          <a:ln>
                            <a:noFill/>
                          </a:ln>
                        </pic:spPr>
                      </pic:pic>
                    </a:graphicData>
                  </a:graphic>
                </wp:inline>
              </w:drawing>
            </w:r>
          </w:p>
        </w:tc>
      </w:tr>
    </w:tbl>
    <w:p w14:paraId="6C976BA9" w14:textId="77777777" w:rsidR="00C26538" w:rsidRPr="00C26538" w:rsidRDefault="00C26538" w:rsidP="00C26538">
      <w:pPr>
        <w:spacing w:before="0" w:after="200" w:line="480" w:lineRule="auto"/>
        <w:jc w:val="both"/>
        <w:rPr>
          <w:rFonts w:asciiTheme="minorHAnsi" w:eastAsia="Times New Roman" w:hAnsiTheme="minorHAnsi" w:cs="Times New Roman"/>
          <w:i/>
          <w:iCs/>
          <w:szCs w:val="24"/>
        </w:rPr>
      </w:pPr>
      <w:r w:rsidRPr="00C26538">
        <w:rPr>
          <w:rFonts w:asciiTheme="minorHAnsi" w:eastAsia="Times New Roman" w:hAnsiTheme="minorHAnsi" w:cs="Times New Roman"/>
          <w:i/>
          <w:iCs/>
          <w:szCs w:val="24"/>
        </w:rPr>
        <w:t>Figure 2: Monte Carlo simulation of the incremental cost-effectiveness ratio for decision tree one (left), based on overall survival and two (right), based on progression free survival. The chart shows the relative frequency of the probability on a certain incremental cost-effectiveness</w:t>
      </w:r>
    </w:p>
    <w:p w14:paraId="22B45195" w14:textId="77777777" w:rsidR="002546C3" w:rsidRDefault="002546C3">
      <w:pPr>
        <w:spacing w:before="0" w:after="200" w:line="276" w:lineRule="auto"/>
        <w:rPr>
          <w:rFonts w:asciiTheme="minorHAnsi" w:eastAsia="Times New Roman" w:hAnsiTheme="minorHAnsi" w:cs="Times New Roman"/>
          <w:i/>
          <w:iCs/>
          <w:szCs w:val="24"/>
        </w:rPr>
      </w:pPr>
      <w:r>
        <w:rPr>
          <w:rFonts w:asciiTheme="minorHAnsi" w:eastAsia="Times New Roman" w:hAnsiTheme="minorHAnsi" w:cs="Times New Roman"/>
          <w:i/>
          <w:iCs/>
          <w:szCs w:val="24"/>
        </w:rPr>
        <w:br w:type="page"/>
      </w:r>
    </w:p>
    <w:p w14:paraId="080A336D" w14:textId="17AE3D49" w:rsidR="00C26538" w:rsidRPr="00C26538" w:rsidRDefault="00C26538" w:rsidP="00C26538">
      <w:pPr>
        <w:keepNext/>
        <w:spacing w:before="0" w:after="200" w:line="480" w:lineRule="auto"/>
        <w:jc w:val="both"/>
        <w:rPr>
          <w:rFonts w:asciiTheme="minorHAnsi" w:eastAsia="Times New Roman" w:hAnsiTheme="minorHAnsi" w:cs="Times New Roman"/>
          <w:i/>
          <w:iCs/>
          <w:szCs w:val="24"/>
        </w:rPr>
      </w:pPr>
      <w:r w:rsidRPr="00C26538">
        <w:rPr>
          <w:rFonts w:asciiTheme="minorHAnsi" w:eastAsia="Times New Roman" w:hAnsiTheme="minorHAnsi" w:cs="Times New Roman"/>
          <w:i/>
          <w:iCs/>
          <w:szCs w:val="24"/>
        </w:rPr>
        <w:lastRenderedPageBreak/>
        <w:t xml:space="preserve">Table </w:t>
      </w:r>
      <w:r w:rsidRPr="00C26538">
        <w:rPr>
          <w:rFonts w:asciiTheme="minorHAnsi" w:eastAsia="Times New Roman" w:hAnsiTheme="minorHAnsi" w:cs="Times New Roman"/>
          <w:i/>
          <w:iCs/>
          <w:szCs w:val="24"/>
        </w:rPr>
        <w:fldChar w:fldCharType="begin"/>
      </w:r>
      <w:r w:rsidRPr="00C26538">
        <w:rPr>
          <w:rFonts w:asciiTheme="minorHAnsi" w:eastAsia="Times New Roman" w:hAnsiTheme="minorHAnsi" w:cs="Times New Roman"/>
          <w:i/>
          <w:iCs/>
          <w:szCs w:val="24"/>
        </w:rPr>
        <w:instrText xml:space="preserve"> SEQ Table \* ARABIC </w:instrText>
      </w:r>
      <w:r w:rsidRPr="00C26538">
        <w:rPr>
          <w:rFonts w:asciiTheme="minorHAnsi" w:eastAsia="Times New Roman" w:hAnsiTheme="minorHAnsi" w:cs="Times New Roman"/>
          <w:i/>
          <w:iCs/>
          <w:szCs w:val="24"/>
        </w:rPr>
        <w:fldChar w:fldCharType="separate"/>
      </w:r>
      <w:r w:rsidRPr="00C26538">
        <w:rPr>
          <w:rFonts w:asciiTheme="minorHAnsi" w:eastAsia="Times New Roman" w:hAnsiTheme="minorHAnsi" w:cs="Times New Roman"/>
          <w:i/>
          <w:iCs/>
          <w:noProof/>
          <w:szCs w:val="24"/>
        </w:rPr>
        <w:t>1</w:t>
      </w:r>
      <w:r w:rsidRPr="00C26538">
        <w:rPr>
          <w:rFonts w:asciiTheme="minorHAnsi" w:eastAsia="Times New Roman" w:hAnsiTheme="minorHAnsi" w:cs="Times New Roman"/>
          <w:i/>
          <w:iCs/>
          <w:szCs w:val="24"/>
        </w:rPr>
        <w:fldChar w:fldCharType="end"/>
      </w:r>
      <w:r w:rsidRPr="00C26538">
        <w:rPr>
          <w:rFonts w:asciiTheme="minorHAnsi" w:eastAsia="Times New Roman" w:hAnsiTheme="minorHAnsi" w:cs="Times New Roman"/>
          <w:i/>
          <w:iCs/>
          <w:szCs w:val="24"/>
        </w:rPr>
        <w:t>: Data Monte Carlo analysis for decision tree 1. It provides the average, maximum, minimum values and their standard deviation of the following parameters: cost of FET study, increase in chance of correct prognosis</w:t>
      </w:r>
      <w:r w:rsidR="00FF0FD5">
        <w:rPr>
          <w:rFonts w:asciiTheme="minorHAnsi" w:eastAsia="Times New Roman" w:hAnsiTheme="minorHAnsi" w:cs="Times New Roman"/>
          <w:i/>
          <w:iCs/>
          <w:szCs w:val="24"/>
        </w:rPr>
        <w:t xml:space="preserve"> (</w:t>
      </w:r>
      <w:r w:rsidR="00FF0FD5">
        <w:rPr>
          <w:rFonts w:asciiTheme="minorHAnsi" w:eastAsia="Times New Roman" w:hAnsiTheme="minorHAnsi" w:cs="Times New Roman"/>
          <w:i/>
          <w:iCs/>
          <w:szCs w:val="24"/>
        </w:rPr>
        <w:t>P correct prognosis</w:t>
      </w:r>
      <w:r w:rsidR="00234B76">
        <w:rPr>
          <w:rFonts w:asciiTheme="minorHAnsi" w:eastAsia="Times New Roman" w:hAnsiTheme="minorHAnsi" w:cs="Times New Roman"/>
          <w:i/>
          <w:iCs/>
          <w:szCs w:val="24"/>
        </w:rPr>
        <w:t>)</w:t>
      </w:r>
      <w:r w:rsidRPr="00C26538">
        <w:rPr>
          <w:rFonts w:asciiTheme="minorHAnsi" w:eastAsia="Times New Roman" w:hAnsiTheme="minorHAnsi" w:cs="Times New Roman"/>
          <w:i/>
          <w:iCs/>
          <w:szCs w:val="24"/>
        </w:rPr>
        <w:t xml:space="preserve"> and the </w:t>
      </w:r>
      <w:r w:rsidR="00234B76">
        <w:rPr>
          <w:rFonts w:asciiTheme="minorHAnsi" w:eastAsia="Times New Roman" w:hAnsiTheme="minorHAnsi" w:cs="Times New Roman"/>
          <w:i/>
          <w:iCs/>
          <w:szCs w:val="24"/>
        </w:rPr>
        <w:t>ICER (</w:t>
      </w:r>
      <w:r w:rsidRPr="00C26538">
        <w:rPr>
          <w:rFonts w:asciiTheme="minorHAnsi" w:eastAsia="Times New Roman" w:hAnsiTheme="minorHAnsi" w:cs="Times New Roman"/>
          <w:i/>
          <w:iCs/>
          <w:szCs w:val="24"/>
        </w:rPr>
        <w:t>incremental cost-effectiveness ratio</w:t>
      </w:r>
      <w:r w:rsidR="00234B76">
        <w:rPr>
          <w:rFonts w:asciiTheme="minorHAnsi" w:eastAsia="Times New Roman" w:hAnsiTheme="minorHAnsi" w:cs="Times New Roman"/>
          <w:i/>
          <w:iCs/>
          <w:szCs w:val="24"/>
        </w:rPr>
        <w:t>)</w:t>
      </w:r>
      <w:r w:rsidRPr="00C26538">
        <w:rPr>
          <w:rFonts w:asciiTheme="minorHAnsi" w:eastAsia="Times New Roman" w:hAnsiTheme="minorHAnsi" w:cs="Times New Roman"/>
          <w:i/>
          <w:iCs/>
          <w:szCs w:val="24"/>
        </w:rPr>
        <w:t xml:space="preserve">. </w:t>
      </w:r>
    </w:p>
    <w:tbl>
      <w:tblPr>
        <w:tblStyle w:val="GridTable5Dark-Accent11"/>
        <w:tblW w:w="5000" w:type="pct"/>
        <w:tblLook w:val="04A0" w:firstRow="1" w:lastRow="0" w:firstColumn="1" w:lastColumn="0" w:noHBand="0" w:noVBand="1"/>
      </w:tblPr>
      <w:tblGrid>
        <w:gridCol w:w="3018"/>
        <w:gridCol w:w="2106"/>
        <w:gridCol w:w="2412"/>
        <w:gridCol w:w="2231"/>
      </w:tblGrid>
      <w:tr w:rsidR="00C26538" w:rsidRPr="00C26538" w14:paraId="3299B75C" w14:textId="77777777" w:rsidTr="00254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0A6387FC" w14:textId="77777777" w:rsidR="00C26538" w:rsidRPr="00C26538" w:rsidRDefault="00C26538" w:rsidP="00C26538">
            <w:pPr>
              <w:spacing w:before="0" w:after="0"/>
              <w:rPr>
                <w:rFonts w:asciiTheme="minorHAnsi" w:hAnsiTheme="minorHAnsi" w:cs="Arial"/>
                <w:b w:val="0"/>
                <w:szCs w:val="24"/>
              </w:rPr>
            </w:pPr>
          </w:p>
        </w:tc>
        <w:tc>
          <w:tcPr>
            <w:tcW w:w="1078" w:type="pct"/>
          </w:tcPr>
          <w:p w14:paraId="2764888B" w14:textId="49F61ED6" w:rsidR="00C26538" w:rsidRPr="00C26538" w:rsidRDefault="00234B76" w:rsidP="00C26538">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Cs w:val="24"/>
                <w:lang w:val="nl-BE"/>
              </w:rPr>
            </w:pPr>
            <w:r>
              <w:rPr>
                <w:rFonts w:asciiTheme="minorHAnsi" w:hAnsiTheme="minorHAnsi" w:cs="Arial"/>
                <w:b w:val="0"/>
                <w:szCs w:val="24"/>
                <w:lang w:val="nl-BE"/>
              </w:rPr>
              <w:t>C</w:t>
            </w:r>
            <w:r w:rsidR="00C26538" w:rsidRPr="00C26538">
              <w:rPr>
                <w:rFonts w:asciiTheme="minorHAnsi" w:hAnsiTheme="minorHAnsi" w:cs="Arial"/>
                <w:b w:val="0"/>
                <w:szCs w:val="24"/>
                <w:lang w:val="nl-BE"/>
              </w:rPr>
              <w:t>ost FET (€)</w:t>
            </w:r>
          </w:p>
        </w:tc>
        <w:tc>
          <w:tcPr>
            <w:tcW w:w="1235" w:type="pct"/>
          </w:tcPr>
          <w:p w14:paraId="56D70699" w14:textId="79B523E0" w:rsidR="00C26538" w:rsidRPr="00C26538" w:rsidRDefault="00FF0FD5" w:rsidP="00C26538">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Cs w:val="24"/>
                <w:lang w:val="nl-BE"/>
              </w:rPr>
            </w:pPr>
            <w:r>
              <w:rPr>
                <w:rFonts w:asciiTheme="minorHAnsi" w:hAnsiTheme="minorHAnsi" w:cs="Arial"/>
                <w:b w:val="0"/>
                <w:szCs w:val="24"/>
                <w:lang w:val="nl-BE"/>
              </w:rPr>
              <w:t>P</w:t>
            </w:r>
            <w:r w:rsidR="00C26538" w:rsidRPr="00C26538">
              <w:rPr>
                <w:rFonts w:asciiTheme="minorHAnsi" w:hAnsiTheme="minorHAnsi" w:cs="Arial"/>
                <w:b w:val="0"/>
                <w:szCs w:val="24"/>
                <w:lang w:val="nl-BE"/>
              </w:rPr>
              <w:t xml:space="preserve"> </w:t>
            </w:r>
            <w:r>
              <w:rPr>
                <w:rFonts w:asciiTheme="minorHAnsi" w:hAnsiTheme="minorHAnsi" w:cs="Arial"/>
                <w:b w:val="0"/>
                <w:szCs w:val="24"/>
                <w:lang w:val="nl-BE"/>
              </w:rPr>
              <w:t>c</w:t>
            </w:r>
            <w:r w:rsidR="00C26538" w:rsidRPr="00C26538">
              <w:rPr>
                <w:rFonts w:asciiTheme="minorHAnsi" w:hAnsiTheme="minorHAnsi" w:cs="Arial"/>
                <w:b w:val="0"/>
                <w:szCs w:val="24"/>
                <w:lang w:val="nl-BE"/>
              </w:rPr>
              <w:t>orr</w:t>
            </w:r>
            <w:r>
              <w:rPr>
                <w:rFonts w:asciiTheme="minorHAnsi" w:hAnsiTheme="minorHAnsi" w:cs="Arial"/>
                <w:b w:val="0"/>
                <w:szCs w:val="24"/>
                <w:lang w:val="nl-BE"/>
              </w:rPr>
              <w:t>ect</w:t>
            </w:r>
            <w:r w:rsidR="00C26538" w:rsidRPr="00C26538">
              <w:rPr>
                <w:rFonts w:asciiTheme="minorHAnsi" w:hAnsiTheme="minorHAnsi" w:cs="Arial"/>
                <w:b w:val="0"/>
                <w:szCs w:val="24"/>
                <w:lang w:val="nl-BE"/>
              </w:rPr>
              <w:t xml:space="preserve"> prognos</w:t>
            </w:r>
            <w:r>
              <w:rPr>
                <w:rFonts w:asciiTheme="minorHAnsi" w:hAnsiTheme="minorHAnsi" w:cs="Arial"/>
                <w:b w:val="0"/>
                <w:szCs w:val="24"/>
                <w:lang w:val="nl-BE"/>
              </w:rPr>
              <w:t>is</w:t>
            </w:r>
          </w:p>
        </w:tc>
        <w:tc>
          <w:tcPr>
            <w:tcW w:w="1142" w:type="pct"/>
          </w:tcPr>
          <w:p w14:paraId="12250E13" w14:textId="65AE7D31" w:rsidR="00C26538" w:rsidRPr="00C26538" w:rsidRDefault="00C26538" w:rsidP="00C26538">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Cs w:val="24"/>
                <w:lang w:val="nl-BE"/>
              </w:rPr>
            </w:pPr>
            <w:r w:rsidRPr="00C26538">
              <w:rPr>
                <w:rFonts w:asciiTheme="minorHAnsi" w:hAnsiTheme="minorHAnsi" w:cs="Arial"/>
                <w:b w:val="0"/>
                <w:szCs w:val="24"/>
                <w:lang w:val="nl-BE"/>
              </w:rPr>
              <w:t>ICER (€)</w:t>
            </w:r>
          </w:p>
        </w:tc>
      </w:tr>
      <w:tr w:rsidR="00C26538" w:rsidRPr="00C26538" w14:paraId="379DB29C" w14:textId="77777777" w:rsidTr="00254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4E1C10B3" w14:textId="750C3A5E" w:rsidR="00C26538" w:rsidRPr="00C26538" w:rsidRDefault="00234B76" w:rsidP="00C26538">
            <w:pPr>
              <w:spacing w:before="0" w:after="0"/>
              <w:rPr>
                <w:rFonts w:asciiTheme="minorHAnsi" w:hAnsiTheme="minorHAnsi" w:cs="Arial"/>
                <w:b w:val="0"/>
                <w:szCs w:val="24"/>
                <w:lang w:val="nl-BE"/>
              </w:rPr>
            </w:pPr>
            <w:r>
              <w:rPr>
                <w:rFonts w:asciiTheme="minorHAnsi" w:hAnsiTheme="minorHAnsi" w:cs="Arial"/>
                <w:b w:val="0"/>
                <w:szCs w:val="24"/>
                <w:lang w:val="nl-BE"/>
              </w:rPr>
              <w:t>Average</w:t>
            </w:r>
          </w:p>
        </w:tc>
        <w:tc>
          <w:tcPr>
            <w:tcW w:w="1078" w:type="pct"/>
          </w:tcPr>
          <w:p w14:paraId="25B9796C" w14:textId="77777777" w:rsidR="00C26538" w:rsidRPr="00C26538" w:rsidRDefault="00C26538" w:rsidP="00C2653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781.2</w:t>
            </w:r>
          </w:p>
        </w:tc>
        <w:tc>
          <w:tcPr>
            <w:tcW w:w="1235" w:type="pct"/>
          </w:tcPr>
          <w:p w14:paraId="5773E845" w14:textId="77777777" w:rsidR="00C26538" w:rsidRPr="00C26538" w:rsidRDefault="00C26538" w:rsidP="00C2653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0.2002</w:t>
            </w:r>
          </w:p>
        </w:tc>
        <w:tc>
          <w:tcPr>
            <w:tcW w:w="1142" w:type="pct"/>
          </w:tcPr>
          <w:p w14:paraId="14A27636" w14:textId="007928C2" w:rsidR="00C26538" w:rsidRPr="00C26538" w:rsidRDefault="00C26538" w:rsidP="00C2653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4</w:t>
            </w:r>
            <w:r w:rsidR="00893A36">
              <w:rPr>
                <w:rFonts w:asciiTheme="minorHAnsi" w:hAnsiTheme="minorHAnsi" w:cs="Arial"/>
                <w:szCs w:val="24"/>
                <w:lang w:val="nl-BE"/>
              </w:rPr>
              <w:t>,</w:t>
            </w:r>
            <w:r w:rsidRPr="00C26538">
              <w:rPr>
                <w:rFonts w:asciiTheme="minorHAnsi" w:hAnsiTheme="minorHAnsi" w:cs="Arial"/>
                <w:szCs w:val="24"/>
                <w:lang w:val="nl-BE"/>
              </w:rPr>
              <w:t>182</w:t>
            </w:r>
          </w:p>
        </w:tc>
      </w:tr>
      <w:tr w:rsidR="00C26538" w:rsidRPr="00C26538" w14:paraId="138A5158" w14:textId="77777777" w:rsidTr="002546C3">
        <w:tc>
          <w:tcPr>
            <w:cnfStyle w:val="001000000000" w:firstRow="0" w:lastRow="0" w:firstColumn="1" w:lastColumn="0" w:oddVBand="0" w:evenVBand="0" w:oddHBand="0" w:evenHBand="0" w:firstRowFirstColumn="0" w:firstRowLastColumn="0" w:lastRowFirstColumn="0" w:lastRowLastColumn="0"/>
            <w:tcW w:w="1545" w:type="pct"/>
          </w:tcPr>
          <w:p w14:paraId="37D9DEF8" w14:textId="77777777" w:rsidR="00C26538" w:rsidRPr="00C26538" w:rsidRDefault="00C26538" w:rsidP="00C26538">
            <w:pPr>
              <w:spacing w:before="0" w:after="0"/>
              <w:rPr>
                <w:rFonts w:asciiTheme="minorHAnsi" w:hAnsiTheme="minorHAnsi" w:cs="Arial"/>
                <w:b w:val="0"/>
                <w:szCs w:val="24"/>
                <w:lang w:val="nl-BE"/>
              </w:rPr>
            </w:pPr>
            <w:r w:rsidRPr="00C26538">
              <w:rPr>
                <w:rFonts w:asciiTheme="minorHAnsi" w:hAnsiTheme="minorHAnsi" w:cs="Arial"/>
                <w:b w:val="0"/>
                <w:szCs w:val="24"/>
                <w:lang w:val="nl-BE"/>
              </w:rPr>
              <w:t>Maximum</w:t>
            </w:r>
          </w:p>
        </w:tc>
        <w:tc>
          <w:tcPr>
            <w:tcW w:w="1078" w:type="pct"/>
          </w:tcPr>
          <w:p w14:paraId="3C4B90D5" w14:textId="77777777" w:rsidR="00C26538" w:rsidRPr="00C26538" w:rsidRDefault="00C26538" w:rsidP="00C2653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851.2</w:t>
            </w:r>
          </w:p>
        </w:tc>
        <w:tc>
          <w:tcPr>
            <w:tcW w:w="1235" w:type="pct"/>
          </w:tcPr>
          <w:p w14:paraId="3A0012D2" w14:textId="77777777" w:rsidR="00C26538" w:rsidRPr="00C26538" w:rsidRDefault="00C26538" w:rsidP="00C2653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0.3608</w:t>
            </w:r>
          </w:p>
        </w:tc>
        <w:tc>
          <w:tcPr>
            <w:tcW w:w="1142" w:type="pct"/>
          </w:tcPr>
          <w:p w14:paraId="2FDEDB28" w14:textId="55C5E101" w:rsidR="00C26538" w:rsidRPr="00C26538" w:rsidRDefault="00C26538" w:rsidP="00C2653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27</w:t>
            </w:r>
            <w:r w:rsidR="00893A36">
              <w:rPr>
                <w:rFonts w:asciiTheme="minorHAnsi" w:hAnsiTheme="minorHAnsi" w:cs="Arial"/>
                <w:szCs w:val="24"/>
                <w:lang w:val="nl-BE"/>
              </w:rPr>
              <w:t>,</w:t>
            </w:r>
            <w:r w:rsidRPr="00C26538">
              <w:rPr>
                <w:rFonts w:asciiTheme="minorHAnsi" w:hAnsiTheme="minorHAnsi" w:cs="Arial"/>
                <w:szCs w:val="24"/>
                <w:lang w:val="nl-BE"/>
              </w:rPr>
              <w:t>978</w:t>
            </w:r>
          </w:p>
        </w:tc>
      </w:tr>
      <w:tr w:rsidR="00C26538" w:rsidRPr="00C26538" w14:paraId="54889576" w14:textId="77777777" w:rsidTr="00254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tcPr>
          <w:p w14:paraId="3C5F5F35" w14:textId="77777777" w:rsidR="00C26538" w:rsidRPr="00C26538" w:rsidRDefault="00C26538" w:rsidP="00C26538">
            <w:pPr>
              <w:spacing w:before="0" w:after="0"/>
              <w:rPr>
                <w:rFonts w:asciiTheme="minorHAnsi" w:hAnsiTheme="minorHAnsi" w:cs="Arial"/>
                <w:b w:val="0"/>
                <w:szCs w:val="24"/>
                <w:lang w:val="nl-BE"/>
              </w:rPr>
            </w:pPr>
            <w:r w:rsidRPr="00C26538">
              <w:rPr>
                <w:rFonts w:asciiTheme="minorHAnsi" w:hAnsiTheme="minorHAnsi" w:cs="Arial"/>
                <w:b w:val="0"/>
                <w:szCs w:val="24"/>
                <w:lang w:val="nl-BE"/>
              </w:rPr>
              <w:t>Minimum</w:t>
            </w:r>
          </w:p>
        </w:tc>
        <w:tc>
          <w:tcPr>
            <w:tcW w:w="1078" w:type="pct"/>
          </w:tcPr>
          <w:p w14:paraId="31D43D9C" w14:textId="77777777" w:rsidR="00C26538" w:rsidRPr="00C26538" w:rsidRDefault="00C26538" w:rsidP="00C2653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726.8</w:t>
            </w:r>
          </w:p>
        </w:tc>
        <w:tc>
          <w:tcPr>
            <w:tcW w:w="1235" w:type="pct"/>
          </w:tcPr>
          <w:p w14:paraId="364C5CD8" w14:textId="77777777" w:rsidR="00C26538" w:rsidRPr="00C26538" w:rsidRDefault="00C26538" w:rsidP="00C2653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0.0281</w:t>
            </w:r>
          </w:p>
        </w:tc>
        <w:tc>
          <w:tcPr>
            <w:tcW w:w="1142" w:type="pct"/>
          </w:tcPr>
          <w:p w14:paraId="2A9295C6" w14:textId="2B5C64A9" w:rsidR="00C26538" w:rsidRPr="00C26538" w:rsidRDefault="00C26538" w:rsidP="00C2653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2</w:t>
            </w:r>
            <w:r w:rsidR="00893A36">
              <w:rPr>
                <w:rFonts w:asciiTheme="minorHAnsi" w:hAnsiTheme="minorHAnsi" w:cs="Arial"/>
                <w:szCs w:val="24"/>
                <w:lang w:val="nl-BE"/>
              </w:rPr>
              <w:t>,</w:t>
            </w:r>
            <w:r w:rsidRPr="00C26538">
              <w:rPr>
                <w:rFonts w:asciiTheme="minorHAnsi" w:hAnsiTheme="minorHAnsi" w:cs="Arial"/>
                <w:szCs w:val="24"/>
                <w:lang w:val="nl-BE"/>
              </w:rPr>
              <w:t>142</w:t>
            </w:r>
          </w:p>
        </w:tc>
      </w:tr>
      <w:tr w:rsidR="00C26538" w:rsidRPr="00C26538" w14:paraId="04F6A600" w14:textId="77777777" w:rsidTr="002546C3">
        <w:tc>
          <w:tcPr>
            <w:cnfStyle w:val="001000000000" w:firstRow="0" w:lastRow="0" w:firstColumn="1" w:lastColumn="0" w:oddVBand="0" w:evenVBand="0" w:oddHBand="0" w:evenHBand="0" w:firstRowFirstColumn="0" w:firstRowLastColumn="0" w:lastRowFirstColumn="0" w:lastRowLastColumn="0"/>
            <w:tcW w:w="1545" w:type="pct"/>
          </w:tcPr>
          <w:p w14:paraId="16DAA31E" w14:textId="3EA433DD" w:rsidR="00C26538" w:rsidRPr="00C26538" w:rsidRDefault="00C26538" w:rsidP="00C26538">
            <w:pPr>
              <w:spacing w:before="0" w:after="0"/>
              <w:rPr>
                <w:rFonts w:asciiTheme="minorHAnsi" w:hAnsiTheme="minorHAnsi" w:cs="Arial"/>
                <w:b w:val="0"/>
                <w:szCs w:val="24"/>
                <w:lang w:val="nl-BE"/>
              </w:rPr>
            </w:pPr>
            <w:r w:rsidRPr="00C26538">
              <w:rPr>
                <w:rFonts w:asciiTheme="minorHAnsi" w:hAnsiTheme="minorHAnsi" w:cs="Arial"/>
                <w:b w:val="0"/>
                <w:szCs w:val="24"/>
                <w:lang w:val="nl-BE"/>
              </w:rPr>
              <w:t>S</w:t>
            </w:r>
            <w:r w:rsidR="00234B76">
              <w:rPr>
                <w:rFonts w:asciiTheme="minorHAnsi" w:hAnsiTheme="minorHAnsi" w:cs="Arial"/>
                <w:b w:val="0"/>
                <w:szCs w:val="24"/>
                <w:lang w:val="nl-BE"/>
              </w:rPr>
              <w:t>tandard deviation</w:t>
            </w:r>
          </w:p>
        </w:tc>
        <w:tc>
          <w:tcPr>
            <w:tcW w:w="1078" w:type="pct"/>
          </w:tcPr>
          <w:p w14:paraId="5CB061CE" w14:textId="77777777" w:rsidR="00C26538" w:rsidRPr="00C26538" w:rsidRDefault="00C26538" w:rsidP="00C2653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15.2</w:t>
            </w:r>
          </w:p>
        </w:tc>
        <w:tc>
          <w:tcPr>
            <w:tcW w:w="1235" w:type="pct"/>
          </w:tcPr>
          <w:p w14:paraId="75A5069B" w14:textId="77777777" w:rsidR="00C26538" w:rsidRPr="00C26538" w:rsidRDefault="00C26538" w:rsidP="00C2653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0.0473</w:t>
            </w:r>
          </w:p>
        </w:tc>
        <w:tc>
          <w:tcPr>
            <w:tcW w:w="1142" w:type="pct"/>
          </w:tcPr>
          <w:p w14:paraId="56FB624A" w14:textId="7B9CBF08" w:rsidR="00C26538" w:rsidRPr="00C26538" w:rsidRDefault="00C26538" w:rsidP="00C2653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1</w:t>
            </w:r>
            <w:r w:rsidR="00893A36">
              <w:rPr>
                <w:rFonts w:asciiTheme="minorHAnsi" w:hAnsiTheme="minorHAnsi" w:cs="Arial"/>
                <w:szCs w:val="24"/>
                <w:lang w:val="nl-BE"/>
              </w:rPr>
              <w:t>,</w:t>
            </w:r>
            <w:r w:rsidRPr="00C26538">
              <w:rPr>
                <w:rFonts w:asciiTheme="minorHAnsi" w:hAnsiTheme="minorHAnsi" w:cs="Arial"/>
                <w:szCs w:val="24"/>
                <w:lang w:val="nl-BE"/>
              </w:rPr>
              <w:t>337</w:t>
            </w:r>
          </w:p>
        </w:tc>
      </w:tr>
    </w:tbl>
    <w:p w14:paraId="054AFDCF" w14:textId="77777777" w:rsidR="00C26538" w:rsidRPr="00C26538" w:rsidRDefault="00C26538" w:rsidP="00C26538">
      <w:pPr>
        <w:spacing w:before="0" w:after="160" w:line="480" w:lineRule="auto"/>
        <w:rPr>
          <w:rFonts w:asciiTheme="minorHAnsi" w:eastAsia="Times New Roman" w:hAnsiTheme="minorHAnsi" w:cs="Times New Roman"/>
          <w:szCs w:val="24"/>
        </w:rPr>
      </w:pPr>
    </w:p>
    <w:p w14:paraId="28F79D55" w14:textId="066B44DF" w:rsidR="00C26538" w:rsidRPr="00C26538" w:rsidRDefault="00C26538" w:rsidP="00C26538">
      <w:pPr>
        <w:keepNext/>
        <w:spacing w:before="0" w:after="200" w:line="480" w:lineRule="auto"/>
        <w:jc w:val="both"/>
        <w:rPr>
          <w:rFonts w:asciiTheme="minorHAnsi" w:eastAsia="Times New Roman" w:hAnsiTheme="minorHAnsi" w:cs="Times New Roman"/>
          <w:i/>
          <w:iCs/>
          <w:szCs w:val="24"/>
        </w:rPr>
      </w:pPr>
      <w:r w:rsidRPr="00C26538">
        <w:rPr>
          <w:rFonts w:asciiTheme="minorHAnsi" w:eastAsia="Times New Roman" w:hAnsiTheme="minorHAnsi" w:cs="Times New Roman"/>
          <w:i/>
          <w:iCs/>
          <w:szCs w:val="24"/>
        </w:rPr>
        <w:t xml:space="preserve">Table </w:t>
      </w:r>
      <w:r w:rsidRPr="00C26538">
        <w:rPr>
          <w:rFonts w:asciiTheme="minorHAnsi" w:eastAsia="Times New Roman" w:hAnsiTheme="minorHAnsi" w:cs="Times New Roman"/>
          <w:i/>
          <w:iCs/>
          <w:szCs w:val="24"/>
        </w:rPr>
        <w:fldChar w:fldCharType="begin"/>
      </w:r>
      <w:r w:rsidRPr="00C26538">
        <w:rPr>
          <w:rFonts w:asciiTheme="minorHAnsi" w:eastAsia="Times New Roman" w:hAnsiTheme="minorHAnsi" w:cs="Times New Roman"/>
          <w:i/>
          <w:iCs/>
          <w:szCs w:val="24"/>
        </w:rPr>
        <w:instrText xml:space="preserve"> SEQ Table \* ARABIC </w:instrText>
      </w:r>
      <w:r w:rsidRPr="00C26538">
        <w:rPr>
          <w:rFonts w:asciiTheme="minorHAnsi" w:eastAsia="Times New Roman" w:hAnsiTheme="minorHAnsi" w:cs="Times New Roman"/>
          <w:i/>
          <w:iCs/>
          <w:szCs w:val="24"/>
        </w:rPr>
        <w:fldChar w:fldCharType="separate"/>
      </w:r>
      <w:r w:rsidRPr="00C26538">
        <w:rPr>
          <w:rFonts w:asciiTheme="minorHAnsi" w:eastAsia="Times New Roman" w:hAnsiTheme="minorHAnsi" w:cs="Times New Roman"/>
          <w:i/>
          <w:iCs/>
          <w:noProof/>
          <w:szCs w:val="24"/>
        </w:rPr>
        <w:t>2</w:t>
      </w:r>
      <w:r w:rsidRPr="00C26538">
        <w:rPr>
          <w:rFonts w:asciiTheme="minorHAnsi" w:eastAsia="Times New Roman" w:hAnsiTheme="minorHAnsi" w:cs="Times New Roman"/>
          <w:i/>
          <w:iCs/>
          <w:szCs w:val="24"/>
        </w:rPr>
        <w:fldChar w:fldCharType="end"/>
      </w:r>
      <w:r w:rsidR="00893A36">
        <w:rPr>
          <w:rFonts w:asciiTheme="minorHAnsi" w:eastAsia="Times New Roman" w:hAnsiTheme="minorHAnsi" w:cs="Times New Roman"/>
          <w:i/>
          <w:iCs/>
          <w:szCs w:val="24"/>
        </w:rPr>
        <w:t>:</w:t>
      </w:r>
      <w:r w:rsidRPr="00C26538">
        <w:rPr>
          <w:rFonts w:asciiTheme="minorHAnsi" w:eastAsia="Times New Roman" w:hAnsiTheme="minorHAnsi" w:cs="Times New Roman"/>
          <w:i/>
          <w:iCs/>
          <w:szCs w:val="24"/>
        </w:rPr>
        <w:t xml:space="preserve"> Data Monte Carlo analysis for decision tree 2. It provides the average, maximum, minimum values and their standard deviation of the following parameters: cost of FET study,</w:t>
      </w:r>
      <w:r w:rsidR="00234B76">
        <w:rPr>
          <w:rFonts w:asciiTheme="minorHAnsi" w:eastAsia="Times New Roman" w:hAnsiTheme="minorHAnsi" w:cs="Times New Roman"/>
          <w:i/>
          <w:iCs/>
          <w:szCs w:val="24"/>
        </w:rPr>
        <w:t xml:space="preserve"> </w:t>
      </w:r>
      <w:r w:rsidR="00FF0FD5" w:rsidRPr="00C26538">
        <w:rPr>
          <w:rFonts w:asciiTheme="minorHAnsi" w:eastAsia="Times New Roman" w:hAnsiTheme="minorHAnsi" w:cs="Times New Roman"/>
          <w:i/>
          <w:iCs/>
          <w:szCs w:val="24"/>
        </w:rPr>
        <w:t>increase in chance of correct prognosis</w:t>
      </w:r>
      <w:r w:rsidR="00FF0FD5">
        <w:rPr>
          <w:rFonts w:asciiTheme="minorHAnsi" w:eastAsia="Times New Roman" w:hAnsiTheme="minorHAnsi" w:cs="Times New Roman"/>
          <w:i/>
          <w:iCs/>
          <w:szCs w:val="24"/>
        </w:rPr>
        <w:t xml:space="preserve"> (P correct prognosis)</w:t>
      </w:r>
      <w:r w:rsidR="00FF0FD5">
        <w:rPr>
          <w:rFonts w:asciiTheme="minorHAnsi" w:eastAsia="Times New Roman" w:hAnsiTheme="minorHAnsi" w:cs="Times New Roman"/>
          <w:i/>
          <w:iCs/>
          <w:szCs w:val="24"/>
        </w:rPr>
        <w:t xml:space="preserve"> </w:t>
      </w:r>
      <w:r w:rsidRPr="00C26538">
        <w:rPr>
          <w:rFonts w:asciiTheme="minorHAnsi" w:eastAsia="Times New Roman" w:hAnsiTheme="minorHAnsi" w:cs="Times New Roman"/>
          <w:i/>
          <w:iCs/>
          <w:szCs w:val="24"/>
        </w:rPr>
        <w:t>and th</w:t>
      </w:r>
      <w:bookmarkStart w:id="0" w:name="_GoBack"/>
      <w:bookmarkEnd w:id="0"/>
      <w:r w:rsidRPr="00C26538">
        <w:rPr>
          <w:rFonts w:asciiTheme="minorHAnsi" w:eastAsia="Times New Roman" w:hAnsiTheme="minorHAnsi" w:cs="Times New Roman"/>
          <w:i/>
          <w:iCs/>
          <w:szCs w:val="24"/>
        </w:rPr>
        <w:t>e</w:t>
      </w:r>
      <w:r w:rsidR="00234B76">
        <w:rPr>
          <w:rFonts w:asciiTheme="minorHAnsi" w:eastAsia="Times New Roman" w:hAnsiTheme="minorHAnsi" w:cs="Times New Roman"/>
          <w:i/>
          <w:iCs/>
          <w:szCs w:val="24"/>
        </w:rPr>
        <w:t xml:space="preserve"> </w:t>
      </w:r>
      <w:r w:rsidRPr="00C26538">
        <w:rPr>
          <w:rFonts w:asciiTheme="minorHAnsi" w:eastAsia="Times New Roman" w:hAnsiTheme="minorHAnsi" w:cs="Times New Roman"/>
          <w:i/>
          <w:iCs/>
          <w:szCs w:val="24"/>
        </w:rPr>
        <w:t>incremental cost-effectiveness ratio</w:t>
      </w:r>
      <w:r w:rsidR="00FF0FD5">
        <w:rPr>
          <w:rFonts w:asciiTheme="minorHAnsi" w:eastAsia="Times New Roman" w:hAnsiTheme="minorHAnsi" w:cs="Times New Roman"/>
          <w:i/>
          <w:iCs/>
          <w:szCs w:val="24"/>
        </w:rPr>
        <w:t xml:space="preserve"> (</w:t>
      </w:r>
      <w:r w:rsidR="00FF0FD5">
        <w:rPr>
          <w:rFonts w:asciiTheme="minorHAnsi" w:eastAsia="Times New Roman" w:hAnsiTheme="minorHAnsi" w:cs="Times New Roman"/>
          <w:i/>
          <w:iCs/>
          <w:szCs w:val="24"/>
        </w:rPr>
        <w:t>ICER</w:t>
      </w:r>
      <w:r w:rsidR="00234B76">
        <w:rPr>
          <w:rFonts w:asciiTheme="minorHAnsi" w:eastAsia="Times New Roman" w:hAnsiTheme="minorHAnsi" w:cs="Times New Roman"/>
          <w:i/>
          <w:iCs/>
          <w:szCs w:val="24"/>
        </w:rPr>
        <w:t>)</w:t>
      </w:r>
      <w:r w:rsidRPr="00C26538">
        <w:rPr>
          <w:rFonts w:asciiTheme="minorHAnsi" w:eastAsia="Times New Roman" w:hAnsiTheme="minorHAnsi" w:cs="Times New Roman"/>
          <w:i/>
          <w:iCs/>
          <w:szCs w:val="24"/>
        </w:rPr>
        <w:t xml:space="preserve">. </w:t>
      </w:r>
    </w:p>
    <w:tbl>
      <w:tblPr>
        <w:tblStyle w:val="GridTable5Dark-Accent11"/>
        <w:tblW w:w="5000" w:type="pct"/>
        <w:tblLook w:val="04A0" w:firstRow="1" w:lastRow="0" w:firstColumn="1" w:lastColumn="0" w:noHBand="0" w:noVBand="1"/>
      </w:tblPr>
      <w:tblGrid>
        <w:gridCol w:w="3118"/>
        <w:gridCol w:w="1994"/>
        <w:gridCol w:w="2475"/>
        <w:gridCol w:w="2180"/>
      </w:tblGrid>
      <w:tr w:rsidR="00C26538" w:rsidRPr="00C26538" w14:paraId="0EC28598" w14:textId="77777777" w:rsidTr="00254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pct"/>
          </w:tcPr>
          <w:p w14:paraId="3E5B8305" w14:textId="77777777" w:rsidR="00C26538" w:rsidRPr="00C26538" w:rsidRDefault="00C26538" w:rsidP="00C26538">
            <w:pPr>
              <w:spacing w:before="0" w:after="0"/>
              <w:rPr>
                <w:rFonts w:asciiTheme="minorHAnsi" w:hAnsiTheme="minorHAnsi" w:cs="Arial"/>
                <w:b w:val="0"/>
                <w:szCs w:val="24"/>
              </w:rPr>
            </w:pPr>
          </w:p>
        </w:tc>
        <w:tc>
          <w:tcPr>
            <w:tcW w:w="1021" w:type="pct"/>
          </w:tcPr>
          <w:p w14:paraId="57BE390C" w14:textId="3095366D" w:rsidR="00C26538" w:rsidRPr="00C26538" w:rsidRDefault="00234B76" w:rsidP="00C26538">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Cs w:val="24"/>
                <w:lang w:val="nl-BE"/>
              </w:rPr>
            </w:pPr>
            <w:r>
              <w:rPr>
                <w:rFonts w:asciiTheme="minorHAnsi" w:hAnsiTheme="minorHAnsi" w:cs="Arial"/>
                <w:b w:val="0"/>
                <w:szCs w:val="24"/>
                <w:lang w:val="nl-BE"/>
              </w:rPr>
              <w:t>C</w:t>
            </w:r>
            <w:r w:rsidR="00C26538" w:rsidRPr="00C26538">
              <w:rPr>
                <w:rFonts w:asciiTheme="minorHAnsi" w:hAnsiTheme="minorHAnsi" w:cs="Arial"/>
                <w:b w:val="0"/>
                <w:szCs w:val="24"/>
                <w:lang w:val="nl-BE"/>
              </w:rPr>
              <w:t>ost FET (€)</w:t>
            </w:r>
          </w:p>
        </w:tc>
        <w:tc>
          <w:tcPr>
            <w:tcW w:w="1267" w:type="pct"/>
          </w:tcPr>
          <w:p w14:paraId="379F6038" w14:textId="24EFF45C" w:rsidR="00C26538" w:rsidRPr="00C26538" w:rsidRDefault="00FF0FD5" w:rsidP="00C26538">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Cs w:val="24"/>
                <w:lang w:val="nl-BE"/>
              </w:rPr>
            </w:pPr>
            <w:r>
              <w:rPr>
                <w:rFonts w:asciiTheme="minorHAnsi" w:hAnsiTheme="minorHAnsi" w:cs="Arial"/>
                <w:b w:val="0"/>
                <w:szCs w:val="24"/>
                <w:lang w:val="nl-BE"/>
              </w:rPr>
              <w:t>P</w:t>
            </w:r>
            <w:r w:rsidR="00C26538" w:rsidRPr="00C26538">
              <w:rPr>
                <w:rFonts w:asciiTheme="minorHAnsi" w:hAnsiTheme="minorHAnsi" w:cs="Arial"/>
                <w:b w:val="0"/>
                <w:szCs w:val="24"/>
                <w:lang w:val="nl-BE"/>
              </w:rPr>
              <w:t xml:space="preserve"> </w:t>
            </w:r>
            <w:r w:rsidR="00234B76">
              <w:rPr>
                <w:rFonts w:asciiTheme="minorHAnsi" w:hAnsiTheme="minorHAnsi" w:cs="Arial"/>
                <w:b w:val="0"/>
                <w:szCs w:val="24"/>
                <w:lang w:val="nl-BE"/>
              </w:rPr>
              <w:t>c</w:t>
            </w:r>
            <w:r w:rsidR="00C26538" w:rsidRPr="00C26538">
              <w:rPr>
                <w:rFonts w:asciiTheme="minorHAnsi" w:hAnsiTheme="minorHAnsi" w:cs="Arial"/>
                <w:b w:val="0"/>
                <w:szCs w:val="24"/>
                <w:lang w:val="nl-BE"/>
              </w:rPr>
              <w:t>orr</w:t>
            </w:r>
            <w:r>
              <w:rPr>
                <w:rFonts w:asciiTheme="minorHAnsi" w:hAnsiTheme="minorHAnsi" w:cs="Arial"/>
                <w:b w:val="0"/>
                <w:szCs w:val="24"/>
                <w:lang w:val="nl-BE"/>
              </w:rPr>
              <w:t>ect</w:t>
            </w:r>
            <w:r w:rsidR="00C26538" w:rsidRPr="00C26538">
              <w:rPr>
                <w:rFonts w:asciiTheme="minorHAnsi" w:hAnsiTheme="minorHAnsi" w:cs="Arial"/>
                <w:b w:val="0"/>
                <w:szCs w:val="24"/>
                <w:lang w:val="nl-BE"/>
              </w:rPr>
              <w:t xml:space="preserve"> </w:t>
            </w:r>
            <w:r>
              <w:rPr>
                <w:rFonts w:asciiTheme="minorHAnsi" w:hAnsiTheme="minorHAnsi" w:cs="Arial"/>
                <w:b w:val="0"/>
                <w:szCs w:val="24"/>
                <w:lang w:val="nl-BE"/>
              </w:rPr>
              <w:t>prognosis</w:t>
            </w:r>
          </w:p>
        </w:tc>
        <w:tc>
          <w:tcPr>
            <w:tcW w:w="1116" w:type="pct"/>
          </w:tcPr>
          <w:p w14:paraId="783B1C88" w14:textId="36F10200" w:rsidR="00C26538" w:rsidRPr="00C26538" w:rsidRDefault="00C26538" w:rsidP="00C26538">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Cs w:val="24"/>
                <w:lang w:val="nl-BE"/>
              </w:rPr>
            </w:pPr>
            <w:r w:rsidRPr="00C26538">
              <w:rPr>
                <w:rFonts w:asciiTheme="minorHAnsi" w:hAnsiTheme="minorHAnsi" w:cs="Arial"/>
                <w:b w:val="0"/>
                <w:szCs w:val="24"/>
                <w:lang w:val="nl-BE"/>
              </w:rPr>
              <w:t>ICER (€)</w:t>
            </w:r>
          </w:p>
        </w:tc>
      </w:tr>
      <w:tr w:rsidR="00C26538" w:rsidRPr="00C26538" w14:paraId="00C1A771" w14:textId="77777777" w:rsidTr="00254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pct"/>
          </w:tcPr>
          <w:p w14:paraId="578BD92E" w14:textId="554A64E1" w:rsidR="00C26538" w:rsidRPr="00C26538" w:rsidRDefault="00234B76" w:rsidP="00C26538">
            <w:pPr>
              <w:spacing w:before="0" w:after="0"/>
              <w:rPr>
                <w:rFonts w:asciiTheme="minorHAnsi" w:hAnsiTheme="minorHAnsi" w:cs="Arial"/>
                <w:b w:val="0"/>
                <w:szCs w:val="24"/>
                <w:lang w:val="nl-BE"/>
              </w:rPr>
            </w:pPr>
            <w:r>
              <w:rPr>
                <w:rFonts w:asciiTheme="minorHAnsi" w:hAnsiTheme="minorHAnsi" w:cs="Arial"/>
                <w:b w:val="0"/>
                <w:szCs w:val="24"/>
                <w:lang w:val="nl-BE"/>
              </w:rPr>
              <w:t>Average</w:t>
            </w:r>
          </w:p>
        </w:tc>
        <w:tc>
          <w:tcPr>
            <w:tcW w:w="1021" w:type="pct"/>
          </w:tcPr>
          <w:p w14:paraId="2B17A60F" w14:textId="77777777" w:rsidR="00C26538" w:rsidRPr="00C26538" w:rsidRDefault="00C26538" w:rsidP="00C2653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781.1</w:t>
            </w:r>
          </w:p>
        </w:tc>
        <w:tc>
          <w:tcPr>
            <w:tcW w:w="1267" w:type="pct"/>
          </w:tcPr>
          <w:p w14:paraId="454A59F3" w14:textId="77777777" w:rsidR="00C26538" w:rsidRPr="00C26538" w:rsidRDefault="00C26538" w:rsidP="00C2653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0.2281</w:t>
            </w:r>
          </w:p>
        </w:tc>
        <w:tc>
          <w:tcPr>
            <w:tcW w:w="1116" w:type="pct"/>
          </w:tcPr>
          <w:p w14:paraId="5069AA93" w14:textId="52D222A4" w:rsidR="00C26538" w:rsidRPr="00C26538" w:rsidRDefault="00C26538" w:rsidP="00C2653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3</w:t>
            </w:r>
            <w:r w:rsidR="00893A36">
              <w:rPr>
                <w:rFonts w:asciiTheme="minorHAnsi" w:hAnsiTheme="minorHAnsi" w:cs="Arial"/>
                <w:szCs w:val="24"/>
                <w:lang w:val="nl-BE"/>
              </w:rPr>
              <w:t>,</w:t>
            </w:r>
            <w:r w:rsidRPr="00C26538">
              <w:rPr>
                <w:rFonts w:asciiTheme="minorHAnsi" w:hAnsiTheme="minorHAnsi" w:cs="Arial"/>
                <w:szCs w:val="24"/>
                <w:lang w:val="nl-BE"/>
              </w:rPr>
              <w:t>612</w:t>
            </w:r>
          </w:p>
        </w:tc>
      </w:tr>
      <w:tr w:rsidR="00C26538" w:rsidRPr="00C26538" w14:paraId="6C3CBE6A" w14:textId="77777777" w:rsidTr="002546C3">
        <w:tc>
          <w:tcPr>
            <w:cnfStyle w:val="001000000000" w:firstRow="0" w:lastRow="0" w:firstColumn="1" w:lastColumn="0" w:oddVBand="0" w:evenVBand="0" w:oddHBand="0" w:evenHBand="0" w:firstRowFirstColumn="0" w:firstRowLastColumn="0" w:lastRowFirstColumn="0" w:lastRowLastColumn="0"/>
            <w:tcW w:w="1596" w:type="pct"/>
          </w:tcPr>
          <w:p w14:paraId="20414BF5" w14:textId="77777777" w:rsidR="00C26538" w:rsidRPr="00C26538" w:rsidRDefault="00C26538" w:rsidP="00C26538">
            <w:pPr>
              <w:spacing w:before="0" w:after="0"/>
              <w:rPr>
                <w:rFonts w:asciiTheme="minorHAnsi" w:hAnsiTheme="minorHAnsi" w:cs="Arial"/>
                <w:b w:val="0"/>
                <w:szCs w:val="24"/>
                <w:lang w:val="nl-BE"/>
              </w:rPr>
            </w:pPr>
            <w:r w:rsidRPr="00C26538">
              <w:rPr>
                <w:rFonts w:asciiTheme="minorHAnsi" w:hAnsiTheme="minorHAnsi" w:cs="Arial"/>
                <w:b w:val="0"/>
                <w:szCs w:val="24"/>
                <w:lang w:val="nl-BE"/>
              </w:rPr>
              <w:t>Maximum</w:t>
            </w:r>
          </w:p>
        </w:tc>
        <w:tc>
          <w:tcPr>
            <w:tcW w:w="1021" w:type="pct"/>
          </w:tcPr>
          <w:p w14:paraId="040BA870" w14:textId="77777777" w:rsidR="00C26538" w:rsidRPr="00C26538" w:rsidRDefault="00C26538" w:rsidP="00C2653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846.2</w:t>
            </w:r>
          </w:p>
        </w:tc>
        <w:tc>
          <w:tcPr>
            <w:tcW w:w="1267" w:type="pct"/>
          </w:tcPr>
          <w:p w14:paraId="4E4972AB" w14:textId="77777777" w:rsidR="00C26538" w:rsidRPr="00C26538" w:rsidRDefault="00C26538" w:rsidP="00C2653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0.4017</w:t>
            </w:r>
          </w:p>
        </w:tc>
        <w:tc>
          <w:tcPr>
            <w:tcW w:w="1116" w:type="pct"/>
          </w:tcPr>
          <w:p w14:paraId="72C0DF20" w14:textId="0D564CEB" w:rsidR="00C26538" w:rsidRPr="00C26538" w:rsidRDefault="00C26538" w:rsidP="00C2653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17</w:t>
            </w:r>
            <w:r w:rsidR="00893A36">
              <w:rPr>
                <w:rFonts w:asciiTheme="minorHAnsi" w:hAnsiTheme="minorHAnsi" w:cs="Arial"/>
                <w:szCs w:val="24"/>
                <w:lang w:val="nl-BE"/>
              </w:rPr>
              <w:t>,</w:t>
            </w:r>
            <w:r w:rsidRPr="00C26538">
              <w:rPr>
                <w:rFonts w:asciiTheme="minorHAnsi" w:hAnsiTheme="minorHAnsi" w:cs="Arial"/>
                <w:szCs w:val="24"/>
                <w:lang w:val="nl-BE"/>
              </w:rPr>
              <w:t>188</w:t>
            </w:r>
          </w:p>
        </w:tc>
      </w:tr>
      <w:tr w:rsidR="00C26538" w:rsidRPr="00C26538" w14:paraId="23BA9CDB" w14:textId="77777777" w:rsidTr="00254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pct"/>
          </w:tcPr>
          <w:p w14:paraId="7161E902" w14:textId="77777777" w:rsidR="00C26538" w:rsidRPr="00C26538" w:rsidRDefault="00C26538" w:rsidP="00C26538">
            <w:pPr>
              <w:spacing w:before="0" w:after="0"/>
              <w:rPr>
                <w:rFonts w:asciiTheme="minorHAnsi" w:hAnsiTheme="minorHAnsi" w:cs="Arial"/>
                <w:b w:val="0"/>
                <w:szCs w:val="24"/>
                <w:lang w:val="nl-BE"/>
              </w:rPr>
            </w:pPr>
            <w:r w:rsidRPr="00C26538">
              <w:rPr>
                <w:rFonts w:asciiTheme="minorHAnsi" w:hAnsiTheme="minorHAnsi" w:cs="Arial"/>
                <w:b w:val="0"/>
                <w:szCs w:val="24"/>
                <w:lang w:val="nl-BE"/>
              </w:rPr>
              <w:t>Minimum</w:t>
            </w:r>
          </w:p>
        </w:tc>
        <w:tc>
          <w:tcPr>
            <w:tcW w:w="1021" w:type="pct"/>
          </w:tcPr>
          <w:p w14:paraId="5434DF59" w14:textId="77777777" w:rsidR="00C26538" w:rsidRPr="00C26538" w:rsidRDefault="00C26538" w:rsidP="00C2653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733.4</w:t>
            </w:r>
          </w:p>
        </w:tc>
        <w:tc>
          <w:tcPr>
            <w:tcW w:w="1267" w:type="pct"/>
          </w:tcPr>
          <w:p w14:paraId="0B692949" w14:textId="77777777" w:rsidR="00C26538" w:rsidRPr="00C26538" w:rsidRDefault="00C26538" w:rsidP="00C2653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0.0455</w:t>
            </w:r>
          </w:p>
        </w:tc>
        <w:tc>
          <w:tcPr>
            <w:tcW w:w="1116" w:type="pct"/>
          </w:tcPr>
          <w:p w14:paraId="5C6181BA" w14:textId="7BD2DD21" w:rsidR="00C26538" w:rsidRPr="00C26538" w:rsidRDefault="00C26538" w:rsidP="00C26538">
            <w:pPr>
              <w:spacing w:before="0" w:after="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1</w:t>
            </w:r>
            <w:r w:rsidR="00893A36">
              <w:rPr>
                <w:rFonts w:asciiTheme="minorHAnsi" w:hAnsiTheme="minorHAnsi" w:cs="Arial"/>
                <w:szCs w:val="24"/>
                <w:lang w:val="nl-BE"/>
              </w:rPr>
              <w:t>,</w:t>
            </w:r>
            <w:r w:rsidRPr="00C26538">
              <w:rPr>
                <w:rFonts w:asciiTheme="minorHAnsi" w:hAnsiTheme="minorHAnsi" w:cs="Arial"/>
                <w:szCs w:val="24"/>
                <w:lang w:val="nl-BE"/>
              </w:rPr>
              <w:t>929</w:t>
            </w:r>
          </w:p>
        </w:tc>
      </w:tr>
      <w:tr w:rsidR="00C26538" w:rsidRPr="00C26538" w14:paraId="2E4C89E9" w14:textId="77777777" w:rsidTr="002546C3">
        <w:tc>
          <w:tcPr>
            <w:cnfStyle w:val="001000000000" w:firstRow="0" w:lastRow="0" w:firstColumn="1" w:lastColumn="0" w:oddVBand="0" w:evenVBand="0" w:oddHBand="0" w:evenHBand="0" w:firstRowFirstColumn="0" w:firstRowLastColumn="0" w:lastRowFirstColumn="0" w:lastRowLastColumn="0"/>
            <w:tcW w:w="1596" w:type="pct"/>
          </w:tcPr>
          <w:p w14:paraId="492040B2" w14:textId="36BE2597" w:rsidR="00C26538" w:rsidRPr="00C26538" w:rsidRDefault="00C26538" w:rsidP="00C26538">
            <w:pPr>
              <w:spacing w:before="0" w:after="0"/>
              <w:rPr>
                <w:rFonts w:asciiTheme="minorHAnsi" w:hAnsiTheme="minorHAnsi" w:cs="Arial"/>
                <w:b w:val="0"/>
                <w:szCs w:val="24"/>
                <w:lang w:val="nl-BE"/>
              </w:rPr>
            </w:pPr>
            <w:r w:rsidRPr="00C26538">
              <w:rPr>
                <w:rFonts w:asciiTheme="minorHAnsi" w:hAnsiTheme="minorHAnsi" w:cs="Arial"/>
                <w:b w:val="0"/>
                <w:szCs w:val="24"/>
                <w:lang w:val="nl-BE"/>
              </w:rPr>
              <w:t>S</w:t>
            </w:r>
            <w:r w:rsidR="00234B76">
              <w:rPr>
                <w:rFonts w:asciiTheme="minorHAnsi" w:hAnsiTheme="minorHAnsi" w:cs="Arial"/>
                <w:b w:val="0"/>
                <w:szCs w:val="24"/>
                <w:lang w:val="nl-BE"/>
              </w:rPr>
              <w:t xml:space="preserve">tandard </w:t>
            </w:r>
            <w:r w:rsidRPr="00C26538">
              <w:rPr>
                <w:rFonts w:asciiTheme="minorHAnsi" w:hAnsiTheme="minorHAnsi" w:cs="Arial"/>
                <w:b w:val="0"/>
                <w:szCs w:val="24"/>
                <w:lang w:val="nl-BE"/>
              </w:rPr>
              <w:t>D</w:t>
            </w:r>
            <w:r w:rsidR="00234B76">
              <w:rPr>
                <w:rFonts w:asciiTheme="minorHAnsi" w:hAnsiTheme="minorHAnsi" w:cs="Arial"/>
                <w:b w:val="0"/>
                <w:szCs w:val="24"/>
                <w:lang w:val="nl-BE"/>
              </w:rPr>
              <w:t>eviation</w:t>
            </w:r>
          </w:p>
        </w:tc>
        <w:tc>
          <w:tcPr>
            <w:tcW w:w="1021" w:type="pct"/>
          </w:tcPr>
          <w:p w14:paraId="755EBCE9" w14:textId="77777777" w:rsidR="00C26538" w:rsidRPr="00C26538" w:rsidRDefault="00C26538" w:rsidP="00C2653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15.3</w:t>
            </w:r>
          </w:p>
        </w:tc>
        <w:tc>
          <w:tcPr>
            <w:tcW w:w="1267" w:type="pct"/>
          </w:tcPr>
          <w:p w14:paraId="4E822517" w14:textId="77777777" w:rsidR="00C26538" w:rsidRPr="00C26538" w:rsidRDefault="00C26538" w:rsidP="00C2653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0.0489</w:t>
            </w:r>
          </w:p>
        </w:tc>
        <w:tc>
          <w:tcPr>
            <w:tcW w:w="1116" w:type="pct"/>
          </w:tcPr>
          <w:p w14:paraId="71D5B34D" w14:textId="77777777" w:rsidR="00C26538" w:rsidRPr="00C26538" w:rsidRDefault="00C26538" w:rsidP="00C26538">
            <w:pPr>
              <w:spacing w:before="0" w:after="0"/>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4"/>
                <w:lang w:val="nl-BE"/>
              </w:rPr>
            </w:pPr>
            <w:r w:rsidRPr="00C26538">
              <w:rPr>
                <w:rFonts w:asciiTheme="minorHAnsi" w:hAnsiTheme="minorHAnsi" w:cs="Arial"/>
                <w:szCs w:val="24"/>
                <w:lang w:val="nl-BE"/>
              </w:rPr>
              <w:t>959.5</w:t>
            </w:r>
          </w:p>
        </w:tc>
      </w:tr>
    </w:tbl>
    <w:p w14:paraId="7B65BC41" w14:textId="5DFBAA38" w:rsidR="00DE23E8" w:rsidRPr="00C26538" w:rsidRDefault="00DE23E8" w:rsidP="00C26538">
      <w:pPr>
        <w:spacing w:before="0" w:after="160" w:line="259" w:lineRule="auto"/>
        <w:rPr>
          <w:rFonts w:asciiTheme="minorHAnsi" w:eastAsia="Times New Roman" w:hAnsiTheme="minorHAnsi" w:cs="Times New Roman"/>
          <w:sz w:val="22"/>
          <w:lang w:val="nl-BE"/>
        </w:rPr>
      </w:pPr>
    </w:p>
    <w:sectPr w:rsidR="00DE23E8" w:rsidRPr="00C26538"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4B4" w14:textId="77777777" w:rsidR="00AB6D65" w:rsidRDefault="00AB6D65" w:rsidP="00117666">
      <w:pPr>
        <w:spacing w:after="0"/>
      </w:pPr>
      <w:r>
        <w:separator/>
      </w:r>
    </w:p>
  </w:endnote>
  <w:endnote w:type="continuationSeparator" w:id="0">
    <w:p w14:paraId="7F1F93F0" w14:textId="77777777" w:rsidR="00AB6D65" w:rsidRDefault="00AB6D65"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05878" w14:textId="77777777" w:rsidR="00AB6D65" w:rsidRDefault="00AB6D65" w:rsidP="00117666">
      <w:pPr>
        <w:spacing w:after="0"/>
      </w:pPr>
      <w:r>
        <w:separator/>
      </w:r>
    </w:p>
  </w:footnote>
  <w:footnote w:type="continuationSeparator" w:id="0">
    <w:p w14:paraId="6C4CAB96" w14:textId="77777777" w:rsidR="00AB6D65" w:rsidRDefault="00AB6D65"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7" w15:restartNumberingAfterBreak="0">
    <w:nsid w:val="740816B2"/>
    <w:multiLevelType w:val="hybridMultilevel"/>
    <w:tmpl w:val="F81E46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F8E4C5B"/>
    <w:multiLevelType w:val="hybridMultilevel"/>
    <w:tmpl w:val="E7C02C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1D564F"/>
    <w:rsid w:val="00234B76"/>
    <w:rsid w:val="002546C3"/>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893A36"/>
    <w:rsid w:val="009151AA"/>
    <w:rsid w:val="0093429D"/>
    <w:rsid w:val="00943573"/>
    <w:rsid w:val="00964134"/>
    <w:rsid w:val="00970F7D"/>
    <w:rsid w:val="00994A3D"/>
    <w:rsid w:val="009C2B12"/>
    <w:rsid w:val="00A174D9"/>
    <w:rsid w:val="00AA4D24"/>
    <w:rsid w:val="00AB6715"/>
    <w:rsid w:val="00AB6D65"/>
    <w:rsid w:val="00B1671E"/>
    <w:rsid w:val="00B25EB8"/>
    <w:rsid w:val="00B37F4D"/>
    <w:rsid w:val="00C26538"/>
    <w:rsid w:val="00C52A7B"/>
    <w:rsid w:val="00C56BAF"/>
    <w:rsid w:val="00C679AA"/>
    <w:rsid w:val="00C75972"/>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 w:val="00FF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aliases w:val="Bullet List,Bullet1,Bullets Points,2nd Bullet"/>
    <w:basedOn w:val="Normal"/>
    <w:link w:val="ListParagraphChar"/>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aliases w:val="Summary box"/>
    <w:basedOn w:val="TableNormal"/>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character" w:customStyle="1" w:styleId="ListParagraphChar">
    <w:name w:val="List Paragraph Char"/>
    <w:aliases w:val="Bullet List Char,Bullet1 Char,Bullets Points Char,2nd Bullet Char"/>
    <w:link w:val="ListParagraph"/>
    <w:uiPriority w:val="34"/>
    <w:locked/>
    <w:rsid w:val="00C26538"/>
    <w:rPr>
      <w:rFonts w:ascii="Times New Roman" w:eastAsia="Cambria" w:hAnsi="Times New Roman" w:cs="Times New Roman"/>
      <w:sz w:val="24"/>
      <w:szCs w:val="24"/>
    </w:rPr>
  </w:style>
  <w:style w:type="table" w:customStyle="1" w:styleId="GridTable5Dark-Accent11">
    <w:name w:val="Grid Table 5 Dark - Accent 11"/>
    <w:basedOn w:val="TableNormal"/>
    <w:uiPriority w:val="50"/>
    <w:rsid w:val="00C26538"/>
    <w:pPr>
      <w:spacing w:after="0" w:line="240" w:lineRule="auto"/>
    </w:pPr>
    <w:rPr>
      <w:rFonts w:eastAsiaTheme="minorEastAsia" w:cs="Times New Roman"/>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rPr>
        <w:rFonts w:cs="Times New Roman"/>
      </w:rPr>
      <w:tblPr/>
      <w:tcPr>
        <w:shd w:val="clear" w:color="auto" w:fill="B8CCE4" w:themeFill="accent1" w:themeFillTint="66"/>
      </w:tcPr>
    </w:tblStylePr>
    <w:tblStylePr w:type="band1Horz">
      <w:rPr>
        <w:rFonts w:cs="Times New Roman"/>
      </w:rPr>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17B0D3-F8E9-4668-9253-7BF99643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2</TotalTime>
  <Pages>6</Pages>
  <Words>1335</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fw02c433 Tristan</cp:lastModifiedBy>
  <cp:revision>3</cp:revision>
  <cp:lastPrinted>2013-10-03T12:51:00Z</cp:lastPrinted>
  <dcterms:created xsi:type="dcterms:W3CDTF">2019-08-19T09:08:00Z</dcterms:created>
  <dcterms:modified xsi:type="dcterms:W3CDTF">2019-08-19T09:10:00Z</dcterms:modified>
</cp:coreProperties>
</file>