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TABLE 1 | Stereotaxic co-ordinates and related data for the injections in this study.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3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713"/>
        <w:gridCol w:w="704"/>
        <w:gridCol w:w="992"/>
        <w:gridCol w:w="993"/>
        <w:gridCol w:w="992"/>
        <w:gridCol w:w="1134"/>
        <w:gridCol w:w="992"/>
        <w:gridCol w:w="851"/>
        <w:gridCol w:w="992"/>
        <w:gridCol w:w="1280"/>
      </w:tblGrid>
      <w:tr>
        <w:trPr>
          <w:trHeight w:val="108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Experiment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Genotype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No. of mice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Age at injection (days)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Survival (days)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Target area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Posterior from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Bregma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 (mm)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Lateral from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Bregma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 (mm)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Depth from pia (mm)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Volume injected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nano-liters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Substance Injected</w:t>
            </w:r>
          </w:p>
        </w:tc>
      </w:tr>
      <w:tr>
        <w:trPr>
          <w:trHeight w:val="2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Axonal quantification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GAD2-cre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p81-94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18-34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hippo-campus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-2.200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±1.350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-1.750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AAV2/1-CAG-FLEX-GFP</w:t>
            </w:r>
          </w:p>
        </w:tc>
      </w:tr>
      <w:tr>
        <w:trPr>
          <w:trHeight w:val="27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Axonal quantification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SOM-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cre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p78, 344, 350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17-29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hippo-campus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-2.400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±1.350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-1.750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AAV2/1-CAG-FLEX-GFP</w:t>
            </w:r>
          </w:p>
        </w:tc>
      </w:tr>
      <w:tr>
        <w:trPr>
          <w:trHeight w:val="27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Axonal quantification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SOM-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cre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p45-102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17-22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hilus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-2.000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±1.360 – 1.470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-1.750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AAV2/1-CAG-FLEX-GFP</w:t>
            </w:r>
          </w:p>
        </w:tc>
      </w:tr>
      <w:tr>
        <w:trPr>
          <w:trHeight w:val="27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Axonal quantification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SOM-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cre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p63-78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17-20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hilus and CA3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-2.000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±2.500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-1.950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AAV2/1-CAG-FLEX-GFP</w:t>
            </w:r>
          </w:p>
        </w:tc>
      </w:tr>
      <w:tr>
        <w:trPr>
          <w:trHeight w:val="27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Axonal quantification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SOM-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cre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18-21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CA1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-2.000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±1.350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-1.300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AAV2/1-CAG-FLEX-GFP</w:t>
            </w:r>
          </w:p>
        </w:tc>
      </w:tr>
      <w:tr>
        <w:trPr>
          <w:trHeight w:val="27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Axonal quantification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PV-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cre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hilus and CA3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-2.000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±1.370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-1.750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AAV2/1-CAG-FLEX-GFP</w:t>
            </w:r>
          </w:p>
        </w:tc>
      </w:tr>
      <w:tr>
        <w:trPr>
          <w:trHeight w:val="27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Retrobeads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GAD67-GFP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p89-119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14-15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hilus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-2.000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±1.330-1.470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-1.750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Undiluted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Retrobeads</w:t>
            </w:r>
            <w:proofErr w:type="spellEnd"/>
          </w:p>
        </w:tc>
      </w:tr>
      <w:tr>
        <w:trPr>
          <w:trHeight w:val="27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In vitro slices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GAD67-GFP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1-6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hilus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-2.000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±1.370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-1.750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Undiluted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Retrobeads</w:t>
            </w:r>
            <w:proofErr w:type="spellEnd"/>
          </w:p>
        </w:tc>
      </w:tr>
      <w:tr>
        <w:trPr>
          <w:trHeight w:val="27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ChR2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GAD2-cre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p71-73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14-25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hilus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-2.000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±1.370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-1.750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400-1000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Cs w:val="24"/>
              </w:rPr>
              <w:t>AAV-CAG-FLEX-ChR2-YFP</w:t>
            </w:r>
          </w:p>
        </w:tc>
      </w:tr>
      <w:tr>
        <w:trPr>
          <w:trHeight w:val="27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Retrograde tracing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GAD67-GFP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p88-108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3-8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hilus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-2.000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±1.370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-1.750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250-1000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1% CTB dissolved in PBS</w:t>
            </w:r>
          </w:p>
        </w:tc>
      </w:tr>
      <w:tr>
        <w:trPr>
          <w:trHeight w:val="40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Mono-synaptic Rabies tracing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GAD2-cre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p57-93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p79-115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19-27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15-25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hilus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-2.000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±1.370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-1.750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500-750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500-1000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AAV-EF1a-FLEX-GFP-hTVA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EnvA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-delta-G-Rabies-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mCherry</w:t>
            </w:r>
            <w:proofErr w:type="spellEnd"/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rPr>
          <w:lang w:val="en-US"/>
        </w:rPr>
      </w:pPr>
    </w:p>
    <w:sectPr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2A55B-2D06-40C9-9B41-30E2748D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Bartos</dc:creator>
  <cp:keywords/>
  <dc:description/>
  <cp:lastModifiedBy>Marlene Bartos</cp:lastModifiedBy>
  <cp:revision>1</cp:revision>
  <dcterms:created xsi:type="dcterms:W3CDTF">2019-08-14T11:46:00Z</dcterms:created>
  <dcterms:modified xsi:type="dcterms:W3CDTF">2019-08-14T11:47:00Z</dcterms:modified>
</cp:coreProperties>
</file>