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Supplemental Table S2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: Range of </w:t>
      </w:r>
      <w:r>
        <w:rPr>
          <w:rFonts w:hint="default" w:ascii="Times New Roman" w:hAnsi="Times New Roman" w:cs="Times New Roman"/>
          <w:color w:val="010205"/>
          <w:sz w:val="24"/>
          <w:szCs w:val="24"/>
          <w:shd w:val="clear" w:color="auto" w:fill="FFFFFF"/>
        </w:rPr>
        <w:t>HOMA</w:t>
      </w:r>
      <w:r>
        <w:rPr>
          <w:rFonts w:hint="default" w:ascii="Times New Roman" w:hAnsi="Times New Roman" w:eastAsia="宋体" w:cs="Times New Roman"/>
          <w:color w:val="010205"/>
          <w:sz w:val="24"/>
          <w:szCs w:val="24"/>
          <w:shd w:val="clear" w:color="auto" w:fill="FFFFFF"/>
          <w:lang w:val="en-US" w:eastAsia="zh-CN"/>
        </w:rPr>
        <w:t>-</w:t>
      </w:r>
      <w:r>
        <w:rPr>
          <w:rFonts w:hint="default" w:ascii="Times New Roman" w:hAnsi="Times New Roman" w:cs="Times New Roman"/>
          <w:color w:val="010205"/>
          <w:sz w:val="24"/>
          <w:szCs w:val="24"/>
          <w:shd w:val="clear" w:color="auto" w:fill="FFFFFF"/>
        </w:rPr>
        <w:t xml:space="preserve">IR </w:t>
      </w:r>
      <w:r>
        <w:rPr>
          <w:rFonts w:hint="default" w:ascii="Times New Roman" w:hAnsi="Times New Roman" w:eastAsia="宋体" w:cs="Times New Roman"/>
          <w:color w:val="010205"/>
          <w:sz w:val="24"/>
          <w:szCs w:val="24"/>
          <w:shd w:val="clear" w:color="auto" w:fill="FFFFFF"/>
          <w:lang w:val="en-US" w:eastAsia="zh-CN"/>
        </w:rPr>
        <w:t>in patients with PCOS</w:t>
      </w:r>
    </w:p>
    <w:tbl>
      <w:tblPr>
        <w:tblStyle w:val="5"/>
        <w:tblW w:w="3994" w:type="dxa"/>
        <w:jc w:val="center"/>
        <w:tblInd w:w="0" w:type="dxa"/>
        <w:tblBorders>
          <w:top w:val="single" w:color="152935" w:sz="8" w:space="0"/>
          <w:left w:val="single" w:color="152935" w:sz="8" w:space="0"/>
          <w:bottom w:val="single" w:color="152935" w:sz="8" w:space="0"/>
          <w:right w:val="single" w:color="152935" w:sz="8" w:space="0"/>
          <w:insideH w:val="single" w:color="152935" w:sz="8" w:space="0"/>
          <w:insideV w:val="single" w:color="152935" w:sz="8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1441"/>
        <w:gridCol w:w="1504"/>
      </w:tblGrid>
      <w:tr>
        <w:tblPrEx>
          <w:tblBorders>
            <w:top w:val="single" w:color="152935" w:sz="8" w:space="0"/>
            <w:left w:val="single" w:color="152935" w:sz="8" w:space="0"/>
            <w:bottom w:val="single" w:color="152935" w:sz="8" w:space="0"/>
            <w:right w:val="single" w:color="152935" w:sz="8" w:space="0"/>
            <w:insideH w:val="single" w:color="152935" w:sz="8" w:space="0"/>
            <w:insideV w:val="single" w:color="152935" w:sz="8" w:space="0"/>
          </w:tblBorders>
          <w:shd w:val="clear" w:color="auto" w:fill="auto"/>
          <w:tblLayout w:type="fixed"/>
        </w:tblPrEx>
        <w:trPr>
          <w:cantSplit/>
          <w:jc w:val="center"/>
        </w:trPr>
        <w:tc>
          <w:tcPr>
            <w:tcW w:w="3994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bottom"/>
          </w:tcPr>
          <w:p>
            <w:pPr>
              <w:spacing w:beforeLines="0" w:afterLines="0" w:line="320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10205"/>
                <w:sz w:val="24"/>
                <w:szCs w:val="24"/>
                <w:shd w:val="clear" w:color="auto" w:fill="FFFFFF"/>
              </w:rPr>
              <w:t>HOMA</w:t>
            </w:r>
            <w:r>
              <w:rPr>
                <w:rFonts w:hint="default" w:ascii="Times New Roman" w:hAnsi="Times New Roman" w:eastAsia="宋体" w:cs="Times New Roman"/>
                <w:color w:val="010205"/>
                <w:sz w:val="24"/>
                <w:szCs w:val="24"/>
                <w:shd w:val="clear" w:color="auto" w:fill="FFFFFF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010205"/>
                <w:sz w:val="24"/>
                <w:szCs w:val="24"/>
                <w:shd w:val="clear" w:color="auto" w:fill="FFFFFF"/>
              </w:rPr>
              <w:t xml:space="preserve">IR  </w:t>
            </w:r>
          </w:p>
        </w:tc>
      </w:tr>
      <w:tr>
        <w:tblPrEx>
          <w:tblBorders>
            <w:top w:val="single" w:color="152935" w:sz="8" w:space="0"/>
            <w:left w:val="single" w:color="152935" w:sz="8" w:space="0"/>
            <w:bottom w:val="single" w:color="152935" w:sz="8" w:space="0"/>
            <w:right w:val="single" w:color="152935" w:sz="8" w:space="0"/>
            <w:insideH w:val="single" w:color="152935" w:sz="8" w:space="0"/>
            <w:insideV w:val="single" w:color="152935" w:sz="8" w:space="0"/>
          </w:tblBorders>
          <w:tblLayout w:type="fixed"/>
        </w:tblPrEx>
        <w:trPr>
          <w:cantSplit/>
          <w:jc w:val="center"/>
        </w:trPr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Mean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4.92</w:t>
            </w:r>
          </w:p>
        </w:tc>
      </w:tr>
      <w:tr>
        <w:tblPrEx>
          <w:tblBorders>
            <w:top w:val="single" w:color="152935" w:sz="8" w:space="0"/>
            <w:left w:val="single" w:color="152935" w:sz="8" w:space="0"/>
            <w:bottom w:val="single" w:color="152935" w:sz="8" w:space="0"/>
            <w:right w:val="single" w:color="152935" w:sz="8" w:space="0"/>
            <w:insideH w:val="single" w:color="152935" w:sz="8" w:space="0"/>
            <w:insideV w:val="single" w:color="152935" w:sz="8" w:space="0"/>
          </w:tblBorders>
          <w:tblLayout w:type="fixed"/>
        </w:tblPrEx>
        <w:trPr>
          <w:cantSplit/>
          <w:jc w:val="center"/>
        </w:trPr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S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tandard deviation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.70</w:t>
            </w:r>
          </w:p>
        </w:tc>
      </w:tr>
      <w:tr>
        <w:tblPrEx>
          <w:tblBorders>
            <w:top w:val="single" w:color="152935" w:sz="8" w:space="0"/>
            <w:left w:val="single" w:color="152935" w:sz="8" w:space="0"/>
            <w:bottom w:val="single" w:color="152935" w:sz="8" w:space="0"/>
            <w:right w:val="single" w:color="152935" w:sz="8" w:space="0"/>
            <w:insideH w:val="single" w:color="152935" w:sz="8" w:space="0"/>
            <w:insideV w:val="single" w:color="152935" w:sz="8" w:space="0"/>
          </w:tblBorders>
          <w:tblLayout w:type="fixed"/>
        </w:tblPrEx>
        <w:trPr>
          <w:cantSplit/>
          <w:jc w:val="center"/>
        </w:trPr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S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tandard error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4.27</w:t>
            </w:r>
          </w:p>
        </w:tc>
      </w:tr>
      <w:tr>
        <w:tblPrEx>
          <w:tblBorders>
            <w:top w:val="single" w:color="152935" w:sz="8" w:space="0"/>
            <w:left w:val="single" w:color="152935" w:sz="8" w:space="0"/>
            <w:bottom w:val="single" w:color="152935" w:sz="8" w:space="0"/>
            <w:right w:val="single" w:color="152935" w:sz="8" w:space="0"/>
            <w:insideH w:val="single" w:color="152935" w:sz="8" w:space="0"/>
            <w:insideV w:val="single" w:color="152935" w:sz="8" w:space="0"/>
          </w:tblBorders>
          <w:tblLayout w:type="fixed"/>
        </w:tblPrEx>
        <w:trPr>
          <w:cantSplit/>
          <w:jc w:val="center"/>
        </w:trPr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320" w:lineRule="atLeast"/>
              <w:ind w:left="60" w:leftChars="0" w:right="60" w:rightChars="0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M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inimum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320" w:lineRule="atLeast"/>
              <w:ind w:left="60" w:leftChars="0" w:right="60" w:rightChars="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.95</w:t>
            </w:r>
          </w:p>
        </w:tc>
      </w:tr>
      <w:tr>
        <w:tblPrEx>
          <w:tblBorders>
            <w:top w:val="single" w:color="152935" w:sz="8" w:space="0"/>
            <w:left w:val="single" w:color="152935" w:sz="8" w:space="0"/>
            <w:bottom w:val="single" w:color="152935" w:sz="8" w:space="0"/>
            <w:right w:val="single" w:color="152935" w:sz="8" w:space="0"/>
            <w:insideH w:val="single" w:color="152935" w:sz="8" w:space="0"/>
            <w:insideV w:val="single" w:color="15293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320" w:lineRule="atLeast"/>
              <w:ind w:left="60" w:leftChars="0" w:right="60" w:rightChars="0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M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aximum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320" w:lineRule="atLeast"/>
              <w:ind w:left="60" w:leftChars="0" w:right="60" w:rightChars="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20.73</w:t>
            </w:r>
          </w:p>
        </w:tc>
      </w:tr>
      <w:tr>
        <w:tblPrEx>
          <w:tblBorders>
            <w:top w:val="single" w:color="152935" w:sz="8" w:space="0"/>
            <w:left w:val="single" w:color="152935" w:sz="8" w:space="0"/>
            <w:bottom w:val="single" w:color="152935" w:sz="8" w:space="0"/>
            <w:right w:val="single" w:color="152935" w:sz="8" w:space="0"/>
            <w:insideH w:val="single" w:color="152935" w:sz="8" w:space="0"/>
            <w:insideV w:val="single" w:color="15293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49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T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ertile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33.33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2.79</w:t>
            </w:r>
          </w:p>
        </w:tc>
      </w:tr>
      <w:tr>
        <w:tblPrEx>
          <w:tblBorders>
            <w:top w:val="single" w:color="152935" w:sz="8" w:space="0"/>
            <w:left w:val="single" w:color="152935" w:sz="8" w:space="0"/>
            <w:bottom w:val="single" w:color="152935" w:sz="8" w:space="0"/>
            <w:right w:val="single" w:color="152935" w:sz="8" w:space="0"/>
            <w:insideH w:val="single" w:color="152935" w:sz="8" w:space="0"/>
            <w:insideV w:val="single" w:color="15293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4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66.66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4.49</w:t>
            </w: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rPr>
          <w:rFonts w:hint="default"/>
          <w:sz w:val="24"/>
        </w:rPr>
      </w:pPr>
    </w:p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p>
      <w:bookmarkStart w:id="0" w:name="_GoBack"/>
      <w:bookmarkEnd w:id="0"/>
    </w:p>
    <w:sectPr>
      <w:pgSz w:w="12242" w:h="15842"/>
      <w:pgMar w:top="1417" w:right="1417" w:bottom="1417" w:left="1417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729074C"/>
    <w:rsid w:val="26947DF5"/>
    <w:rsid w:val="33B5547F"/>
    <w:rsid w:val="456A1F3A"/>
    <w:rsid w:val="56E20AE7"/>
    <w:rsid w:val="6DA160CC"/>
    <w:rsid w:val="6F4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iPriority="99" w:semiHidden="0" w:name="heading 1"/>
    <w:lsdException w:qFormat="1" w:uiPriority="99" w:semiHidden="0" w:name="heading 2"/>
    <w:lsdException w:qFormat="1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MingLiU" w:hAnsi="MingLiU" w:eastAsia="MingLiU" w:cs="Times New Roman"/>
      <w:color w:val="000000"/>
      <w:sz w:val="20"/>
    </w:rPr>
  </w:style>
  <w:style w:type="paragraph" w:styleId="2">
    <w:name w:val="heading 1"/>
    <w:next w:val="1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MingLiU" w:hAnsi="MingLiU" w:eastAsia="MingLiU" w:cs="Times New Roman"/>
      <w:b/>
      <w:color w:val="000000"/>
      <w:sz w:val="32"/>
    </w:rPr>
  </w:style>
  <w:style w:type="paragraph" w:styleId="3">
    <w:name w:val="heading 2"/>
    <w:next w:val="1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MingLiU" w:hAnsi="MingLiU" w:eastAsia="MingLiU" w:cs="Times New Roman"/>
      <w:b/>
      <w:i/>
      <w:color w:val="000000"/>
      <w:sz w:val="28"/>
    </w:rPr>
  </w:style>
  <w:style w:type="paragraph" w:styleId="4">
    <w:name w:val="heading 3"/>
    <w:next w:val="1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MingLiU" w:hAnsi="MingLiU" w:eastAsia="MingLiU" w:cs="Times New Roman"/>
      <w:b/>
      <w:color w:val="000000"/>
      <w:sz w:val="2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huangxiyou</dc:creator>
  <cp:lastModifiedBy>黄梅时节家家语</cp:lastModifiedBy>
  <dcterms:modified xsi:type="dcterms:W3CDTF">2019-07-10T13:07:34Z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