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D8E5C" w14:textId="7DE8E42B" w:rsidR="00AE09AD" w:rsidRDefault="00E6546E" w:rsidP="00B87BA9">
      <w:pPr>
        <w:pStyle w:val="SupplementaryMaterial"/>
      </w:pPr>
      <w:r w:rsidRPr="001549D3">
        <w:t>Supplementary Material</w:t>
      </w:r>
    </w:p>
    <w:p w14:paraId="33C167F3" w14:textId="77777777" w:rsidR="004F31ED" w:rsidRDefault="004F31ED" w:rsidP="00AE09AD">
      <w:pPr>
        <w:pStyle w:val="SMHeading"/>
        <w:rPr>
          <w:sz w:val="22"/>
          <w:szCs w:val="22"/>
        </w:rPr>
      </w:pPr>
    </w:p>
    <w:p w14:paraId="0D19EFEF" w14:textId="77777777" w:rsidR="004F31ED" w:rsidRDefault="004F31ED" w:rsidP="00AE09AD">
      <w:pPr>
        <w:pStyle w:val="SMHeading"/>
        <w:rPr>
          <w:sz w:val="22"/>
          <w:szCs w:val="22"/>
        </w:rPr>
      </w:pPr>
    </w:p>
    <w:p w14:paraId="6E2BA1A2" w14:textId="0A9DDF45" w:rsidR="004F31ED" w:rsidRDefault="004F31ED" w:rsidP="00AE09AD">
      <w:pPr>
        <w:pStyle w:val="SMHeading"/>
        <w:rPr>
          <w:sz w:val="22"/>
          <w:szCs w:val="22"/>
        </w:rPr>
      </w:pPr>
      <w:r w:rsidRPr="004F31ED">
        <w:rPr>
          <w:noProof/>
          <w:sz w:val="22"/>
          <w:szCs w:val="22"/>
        </w:rPr>
        <w:drawing>
          <wp:inline distT="0" distB="0" distL="0" distR="0" wp14:anchorId="658B224C" wp14:editId="25AF9B59">
            <wp:extent cx="3860800" cy="4864100"/>
            <wp:effectExtent l="0" t="0" r="0" b="0"/>
            <wp:docPr id="10" name="Picture 10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176DE" w14:textId="77777777" w:rsidR="004F31ED" w:rsidRDefault="004F31ED" w:rsidP="00AE09AD">
      <w:pPr>
        <w:pStyle w:val="SMHeading"/>
        <w:rPr>
          <w:sz w:val="22"/>
          <w:szCs w:val="22"/>
        </w:rPr>
      </w:pPr>
    </w:p>
    <w:p w14:paraId="0E639CB4" w14:textId="5FA25177" w:rsidR="00AE09AD" w:rsidRDefault="00AE09AD" w:rsidP="00AE09AD">
      <w:pPr>
        <w:pStyle w:val="SMHeading"/>
        <w:rPr>
          <w:b w:val="0"/>
          <w:sz w:val="22"/>
          <w:szCs w:val="22"/>
        </w:rPr>
      </w:pPr>
      <w:r w:rsidRPr="00820484">
        <w:rPr>
          <w:sz w:val="22"/>
          <w:szCs w:val="22"/>
        </w:rPr>
        <w:t>Fig</w:t>
      </w:r>
      <w:r>
        <w:rPr>
          <w:sz w:val="22"/>
          <w:szCs w:val="22"/>
        </w:rPr>
        <w:t>ure</w:t>
      </w:r>
      <w:r w:rsidRPr="00820484">
        <w:rPr>
          <w:sz w:val="22"/>
          <w:szCs w:val="22"/>
        </w:rPr>
        <w:t xml:space="preserve"> S</w:t>
      </w:r>
      <w:r>
        <w:rPr>
          <w:sz w:val="22"/>
          <w:szCs w:val="22"/>
        </w:rPr>
        <w:t>1</w:t>
      </w:r>
      <w:r w:rsidRPr="00820484">
        <w:rPr>
          <w:sz w:val="22"/>
          <w:szCs w:val="22"/>
        </w:rPr>
        <w:t xml:space="preserve">. </w:t>
      </w:r>
      <w:r>
        <w:rPr>
          <w:sz w:val="22"/>
          <w:szCs w:val="22"/>
        </w:rPr>
        <w:t>Gating strategy of isolating T</w:t>
      </w:r>
      <w:r w:rsidRPr="004F31ED">
        <w:rPr>
          <w:sz w:val="22"/>
          <w:szCs w:val="22"/>
          <w:vertAlign w:val="subscript"/>
        </w:rPr>
        <w:t>N</w:t>
      </w:r>
      <w:r>
        <w:rPr>
          <w:sz w:val="22"/>
          <w:szCs w:val="22"/>
        </w:rPr>
        <w:t>, T</w:t>
      </w:r>
      <w:r w:rsidRPr="004F31ED">
        <w:rPr>
          <w:sz w:val="22"/>
          <w:szCs w:val="22"/>
          <w:vertAlign w:val="subscript"/>
        </w:rPr>
        <w:t>CM</w:t>
      </w:r>
      <w:r>
        <w:rPr>
          <w:sz w:val="22"/>
          <w:szCs w:val="22"/>
        </w:rPr>
        <w:t xml:space="preserve"> and T</w:t>
      </w:r>
      <w:r w:rsidRPr="004F31ED">
        <w:rPr>
          <w:sz w:val="22"/>
          <w:szCs w:val="22"/>
          <w:vertAlign w:val="subscript"/>
        </w:rPr>
        <w:t>EM</w:t>
      </w:r>
      <w:r>
        <w:rPr>
          <w:sz w:val="22"/>
          <w:szCs w:val="22"/>
        </w:rPr>
        <w:t xml:space="preserve"> from CD4</w:t>
      </w:r>
      <w:r w:rsidR="004F31ED" w:rsidRPr="004F31ED"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and CD8</w:t>
      </w:r>
      <w:r w:rsidR="004F31ED" w:rsidRPr="004F31ED"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T cells</w:t>
      </w:r>
      <w:r w:rsidRPr="005126A6">
        <w:rPr>
          <w:sz w:val="22"/>
          <w:szCs w:val="22"/>
        </w:rPr>
        <w:t>.</w:t>
      </w:r>
      <w:r w:rsidRPr="005126A6">
        <w:rPr>
          <w:b w:val="0"/>
          <w:sz w:val="22"/>
          <w:szCs w:val="22"/>
        </w:rPr>
        <w:t xml:space="preserve"> </w:t>
      </w:r>
      <w:r w:rsidR="007745F8">
        <w:rPr>
          <w:sz w:val="22"/>
          <w:szCs w:val="22"/>
        </w:rPr>
        <w:t xml:space="preserve"> </w:t>
      </w:r>
      <w:r w:rsidR="004F31ED">
        <w:rPr>
          <w:b w:val="0"/>
          <w:sz w:val="22"/>
          <w:szCs w:val="22"/>
        </w:rPr>
        <w:t xml:space="preserve">Gating strategy of enriched T cells to </w:t>
      </w:r>
      <w:r w:rsidR="004F31ED" w:rsidRPr="004F31ED">
        <w:rPr>
          <w:b w:val="0"/>
          <w:bCs w:val="0"/>
          <w:sz w:val="22"/>
          <w:szCs w:val="22"/>
        </w:rPr>
        <w:t>CD4</w:t>
      </w:r>
      <w:r w:rsidR="004F31ED" w:rsidRPr="004F31ED">
        <w:rPr>
          <w:b w:val="0"/>
          <w:bCs w:val="0"/>
          <w:sz w:val="22"/>
          <w:szCs w:val="22"/>
          <w:vertAlign w:val="superscript"/>
        </w:rPr>
        <w:t>+</w:t>
      </w:r>
      <w:r w:rsidR="004F31ED" w:rsidRPr="004F31ED">
        <w:rPr>
          <w:b w:val="0"/>
          <w:bCs w:val="0"/>
          <w:sz w:val="22"/>
          <w:szCs w:val="22"/>
        </w:rPr>
        <w:t xml:space="preserve"> and CD8</w:t>
      </w:r>
      <w:r w:rsidR="004F31ED" w:rsidRPr="004F31ED">
        <w:rPr>
          <w:b w:val="0"/>
          <w:bCs w:val="0"/>
          <w:sz w:val="22"/>
          <w:szCs w:val="22"/>
          <w:vertAlign w:val="superscript"/>
        </w:rPr>
        <w:t>+</w:t>
      </w:r>
      <w:r w:rsidR="004F31ED" w:rsidRPr="004F31ED">
        <w:rPr>
          <w:b w:val="0"/>
          <w:bCs w:val="0"/>
          <w:sz w:val="22"/>
          <w:szCs w:val="22"/>
        </w:rPr>
        <w:t xml:space="preserve"> T cells</w:t>
      </w:r>
      <w:r w:rsidR="007745F8">
        <w:rPr>
          <w:b w:val="0"/>
          <w:bCs w:val="0"/>
          <w:sz w:val="22"/>
          <w:szCs w:val="22"/>
        </w:rPr>
        <w:t xml:space="preserve"> (top panel) and </w:t>
      </w:r>
      <w:r w:rsidR="007745F8">
        <w:rPr>
          <w:b w:val="0"/>
          <w:sz w:val="22"/>
          <w:szCs w:val="22"/>
        </w:rPr>
        <w:t>g</w:t>
      </w:r>
      <w:r w:rsidR="004F31ED">
        <w:rPr>
          <w:b w:val="0"/>
          <w:sz w:val="22"/>
          <w:szCs w:val="22"/>
        </w:rPr>
        <w:t xml:space="preserve">ating strategy of </w:t>
      </w:r>
      <w:r w:rsidR="004F31ED" w:rsidRPr="004F31ED">
        <w:rPr>
          <w:b w:val="0"/>
          <w:bCs w:val="0"/>
          <w:sz w:val="22"/>
          <w:szCs w:val="22"/>
        </w:rPr>
        <w:t>T</w:t>
      </w:r>
      <w:r w:rsidR="004F31ED" w:rsidRPr="004F31ED">
        <w:rPr>
          <w:b w:val="0"/>
          <w:bCs w:val="0"/>
          <w:sz w:val="22"/>
          <w:szCs w:val="22"/>
          <w:vertAlign w:val="subscript"/>
        </w:rPr>
        <w:t>N</w:t>
      </w:r>
      <w:r w:rsidR="004F31ED" w:rsidRPr="004F31ED">
        <w:rPr>
          <w:b w:val="0"/>
          <w:bCs w:val="0"/>
          <w:sz w:val="22"/>
          <w:szCs w:val="22"/>
        </w:rPr>
        <w:t>, T</w:t>
      </w:r>
      <w:r w:rsidR="004F31ED" w:rsidRPr="004F31ED">
        <w:rPr>
          <w:b w:val="0"/>
          <w:bCs w:val="0"/>
          <w:sz w:val="22"/>
          <w:szCs w:val="22"/>
          <w:vertAlign w:val="subscript"/>
        </w:rPr>
        <w:t>CM</w:t>
      </w:r>
      <w:r w:rsidR="004F31ED" w:rsidRPr="004F31ED">
        <w:rPr>
          <w:b w:val="0"/>
          <w:bCs w:val="0"/>
          <w:sz w:val="22"/>
          <w:szCs w:val="22"/>
        </w:rPr>
        <w:t xml:space="preserve"> and T</w:t>
      </w:r>
      <w:r w:rsidR="004F31ED" w:rsidRPr="004F31ED">
        <w:rPr>
          <w:b w:val="0"/>
          <w:bCs w:val="0"/>
          <w:sz w:val="22"/>
          <w:szCs w:val="22"/>
          <w:vertAlign w:val="subscript"/>
        </w:rPr>
        <w:t>EM</w:t>
      </w:r>
      <w:r w:rsidR="004F31ED" w:rsidRPr="004F31ED">
        <w:rPr>
          <w:b w:val="0"/>
          <w:bCs w:val="0"/>
          <w:sz w:val="22"/>
          <w:szCs w:val="22"/>
        </w:rPr>
        <w:t xml:space="preserve"> of</w:t>
      </w:r>
      <w:r w:rsidR="004F31ED">
        <w:rPr>
          <w:sz w:val="22"/>
          <w:szCs w:val="22"/>
        </w:rPr>
        <w:t xml:space="preserve"> </w:t>
      </w:r>
      <w:r w:rsidR="004F31ED" w:rsidRPr="004F31ED">
        <w:rPr>
          <w:b w:val="0"/>
          <w:bCs w:val="0"/>
          <w:sz w:val="22"/>
          <w:szCs w:val="22"/>
        </w:rPr>
        <w:t>CD4</w:t>
      </w:r>
      <w:r w:rsidR="004F31ED" w:rsidRPr="004F31ED">
        <w:rPr>
          <w:b w:val="0"/>
          <w:bCs w:val="0"/>
          <w:sz w:val="22"/>
          <w:szCs w:val="22"/>
          <w:vertAlign w:val="superscript"/>
        </w:rPr>
        <w:t>+</w:t>
      </w:r>
      <w:r w:rsidR="004F31ED" w:rsidRPr="004F31ED">
        <w:rPr>
          <w:b w:val="0"/>
          <w:bCs w:val="0"/>
          <w:sz w:val="22"/>
          <w:szCs w:val="22"/>
        </w:rPr>
        <w:t xml:space="preserve"> and CD8</w:t>
      </w:r>
      <w:r w:rsidR="004F31ED" w:rsidRPr="004F31ED">
        <w:rPr>
          <w:b w:val="0"/>
          <w:bCs w:val="0"/>
          <w:sz w:val="22"/>
          <w:szCs w:val="22"/>
          <w:vertAlign w:val="superscript"/>
        </w:rPr>
        <w:t>+</w:t>
      </w:r>
      <w:r w:rsidR="004F31ED" w:rsidRPr="004F31ED">
        <w:rPr>
          <w:b w:val="0"/>
          <w:bCs w:val="0"/>
          <w:sz w:val="22"/>
          <w:szCs w:val="22"/>
        </w:rPr>
        <w:t xml:space="preserve"> T cells</w:t>
      </w:r>
      <w:r w:rsidR="007745F8">
        <w:rPr>
          <w:b w:val="0"/>
          <w:bCs w:val="0"/>
          <w:sz w:val="22"/>
          <w:szCs w:val="22"/>
        </w:rPr>
        <w:t xml:space="preserve"> (bottom panel) along with the </w:t>
      </w:r>
      <w:r w:rsidR="007745F8">
        <w:rPr>
          <w:b w:val="0"/>
          <w:sz w:val="22"/>
          <w:szCs w:val="22"/>
        </w:rPr>
        <w:t>p</w:t>
      </w:r>
      <w:r w:rsidR="004F31ED">
        <w:rPr>
          <w:b w:val="0"/>
          <w:sz w:val="22"/>
          <w:szCs w:val="22"/>
        </w:rPr>
        <w:t xml:space="preserve">urity </w:t>
      </w:r>
      <w:r w:rsidR="000E3244">
        <w:rPr>
          <w:b w:val="0"/>
          <w:sz w:val="22"/>
          <w:szCs w:val="22"/>
        </w:rPr>
        <w:t xml:space="preserve">analysis </w:t>
      </w:r>
      <w:r w:rsidR="004F31ED">
        <w:rPr>
          <w:b w:val="0"/>
          <w:sz w:val="22"/>
          <w:szCs w:val="22"/>
        </w:rPr>
        <w:t xml:space="preserve">of </w:t>
      </w:r>
      <w:r w:rsidR="000E3244">
        <w:rPr>
          <w:b w:val="0"/>
          <w:sz w:val="22"/>
          <w:szCs w:val="22"/>
        </w:rPr>
        <w:t>sorted cells</w:t>
      </w:r>
      <w:r w:rsidR="004F31ED">
        <w:rPr>
          <w:b w:val="0"/>
          <w:sz w:val="22"/>
          <w:szCs w:val="22"/>
        </w:rPr>
        <w:t>.</w:t>
      </w:r>
    </w:p>
    <w:p w14:paraId="3E4D1CE5" w14:textId="77777777" w:rsidR="00AE09AD" w:rsidRDefault="00AE09AD">
      <w:pPr>
        <w:spacing w:before="0" w:after="200" w:line="276" w:lineRule="auto"/>
      </w:pPr>
      <w:r>
        <w:br w:type="page"/>
      </w:r>
    </w:p>
    <w:p w14:paraId="2FC1F599" w14:textId="77777777" w:rsidR="00AE09AD" w:rsidRPr="00AE09AD" w:rsidRDefault="00AE09AD" w:rsidP="00AE09AD"/>
    <w:p w14:paraId="0D0517B6" w14:textId="32C88C25" w:rsidR="00E6546E" w:rsidRDefault="00E6546E" w:rsidP="00E6546E">
      <w:pPr>
        <w:pStyle w:val="SMHeading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9F0E4B7" wp14:editId="798306C3">
            <wp:extent cx="5486400" cy="5108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11-29 at 4.31.16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4622" w14:textId="77777777" w:rsidR="00E6546E" w:rsidRDefault="00E6546E" w:rsidP="00E6546E">
      <w:pPr>
        <w:pStyle w:val="SMHeading"/>
        <w:rPr>
          <w:sz w:val="22"/>
          <w:szCs w:val="22"/>
        </w:rPr>
      </w:pPr>
    </w:p>
    <w:p w14:paraId="096E55DB" w14:textId="49F8D948" w:rsidR="00E6546E" w:rsidRDefault="00E6546E" w:rsidP="00E6546E">
      <w:pPr>
        <w:pStyle w:val="SMHeading"/>
        <w:rPr>
          <w:b w:val="0"/>
          <w:sz w:val="22"/>
          <w:szCs w:val="22"/>
        </w:rPr>
      </w:pPr>
      <w:r w:rsidRPr="00820484">
        <w:rPr>
          <w:sz w:val="22"/>
          <w:szCs w:val="22"/>
        </w:rPr>
        <w:t>Fig</w:t>
      </w:r>
      <w:r>
        <w:rPr>
          <w:sz w:val="22"/>
          <w:szCs w:val="22"/>
        </w:rPr>
        <w:t>ure</w:t>
      </w:r>
      <w:r w:rsidRPr="00820484">
        <w:rPr>
          <w:sz w:val="22"/>
          <w:szCs w:val="22"/>
        </w:rPr>
        <w:t xml:space="preserve"> S</w:t>
      </w:r>
      <w:r w:rsidR="00AE09AD">
        <w:rPr>
          <w:sz w:val="22"/>
          <w:szCs w:val="22"/>
        </w:rPr>
        <w:t>2</w:t>
      </w:r>
      <w:r w:rsidRPr="00820484">
        <w:rPr>
          <w:sz w:val="22"/>
          <w:szCs w:val="22"/>
        </w:rPr>
        <w:t xml:space="preserve">. </w:t>
      </w:r>
      <w:r w:rsidRPr="005126A6">
        <w:rPr>
          <w:sz w:val="22"/>
          <w:szCs w:val="22"/>
        </w:rPr>
        <w:t>Description of hTERT qPCR and ASP-specific PCR assays.</w:t>
      </w:r>
      <w:r w:rsidRPr="005126A6">
        <w:rPr>
          <w:b w:val="0"/>
          <w:sz w:val="22"/>
          <w:szCs w:val="22"/>
        </w:rPr>
        <w:t xml:space="preserve"> </w:t>
      </w:r>
      <w:r w:rsidRPr="00231BE1">
        <w:rPr>
          <w:sz w:val="22"/>
          <w:szCs w:val="22"/>
        </w:rPr>
        <w:t>(A)</w:t>
      </w:r>
      <w:r w:rsidRPr="005126A6">
        <w:rPr>
          <w:b w:val="0"/>
          <w:sz w:val="22"/>
          <w:szCs w:val="22"/>
        </w:rPr>
        <w:t xml:space="preserve"> qPCR and ASP-specific PCR primers are indicated on a simplified hTERT mRNA. Exons are indicated by boxes. </w:t>
      </w:r>
      <w:r w:rsidRPr="00231BE1">
        <w:rPr>
          <w:sz w:val="22"/>
          <w:szCs w:val="22"/>
        </w:rPr>
        <w:t>(B)</w:t>
      </w:r>
      <w:r w:rsidRPr="005126A6">
        <w:rPr>
          <w:b w:val="0"/>
          <w:sz w:val="22"/>
          <w:szCs w:val="22"/>
        </w:rPr>
        <w:t xml:space="preserve"> ASP-specific primers are shown in exons 5 and 9 which generate the 4 ASPs indicated. Filled boxes indicate regions excised by alternative splicing. Amplicon sizes in base-pairs (bp) are</w:t>
      </w:r>
      <w:r>
        <w:rPr>
          <w:b w:val="0"/>
          <w:sz w:val="22"/>
          <w:szCs w:val="22"/>
        </w:rPr>
        <w:t xml:space="preserve"> </w:t>
      </w:r>
      <w:r w:rsidRPr="005126A6">
        <w:rPr>
          <w:b w:val="0"/>
          <w:sz w:val="22"/>
          <w:szCs w:val="22"/>
        </w:rPr>
        <w:t xml:space="preserve">shown at right. </w:t>
      </w:r>
      <w:r w:rsidRPr="00231BE1">
        <w:rPr>
          <w:sz w:val="22"/>
          <w:szCs w:val="22"/>
        </w:rPr>
        <w:t>(C)</w:t>
      </w:r>
      <w:r w:rsidRPr="005126A6">
        <w:rPr>
          <w:b w:val="0"/>
          <w:sz w:val="22"/>
          <w:szCs w:val="22"/>
        </w:rPr>
        <w:t xml:space="preserve"> Plasmids harboring the cloned ASPs were amplified using primers hTERT-2164/2620 and analyzed on ethidium bromide stained 2% agarose gels.</w:t>
      </w:r>
    </w:p>
    <w:p w14:paraId="4AE2CA00" w14:textId="77777777" w:rsidR="006F5EBC" w:rsidRDefault="006F5EBC" w:rsidP="00E6546E">
      <w:pPr>
        <w:rPr>
          <w:b/>
          <w:sz w:val="22"/>
        </w:rPr>
      </w:pPr>
    </w:p>
    <w:p w14:paraId="4B0F1872" w14:textId="77777777" w:rsidR="006F5EBC" w:rsidRDefault="006F5EBC" w:rsidP="00E6546E">
      <w:pPr>
        <w:rPr>
          <w:b/>
          <w:sz w:val="22"/>
        </w:rPr>
      </w:pPr>
    </w:p>
    <w:p w14:paraId="0F825C53" w14:textId="6A864752" w:rsidR="006F5EBC" w:rsidRDefault="006F5EBC" w:rsidP="00B87BA9">
      <w:pPr>
        <w:spacing w:before="0" w:after="200" w:line="276" w:lineRule="auto"/>
        <w:rPr>
          <w:sz w:val="22"/>
        </w:rPr>
      </w:pPr>
      <w:r>
        <w:rPr>
          <w:sz w:val="22"/>
        </w:rPr>
        <w:br w:type="page"/>
      </w:r>
    </w:p>
    <w:p w14:paraId="3C7CF3A5" w14:textId="2161500D" w:rsidR="006F5EBC" w:rsidRDefault="006F5EBC" w:rsidP="006F5EBC">
      <w:pPr>
        <w:pStyle w:val="SMHeading"/>
        <w:rPr>
          <w:sz w:val="22"/>
          <w:szCs w:val="22"/>
        </w:rPr>
      </w:pPr>
      <w:r w:rsidRPr="00A178B9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72B11ECF" wp14:editId="10CBBA17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5892800" cy="48006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651F9" w14:textId="77777777" w:rsidR="001D6E74" w:rsidRDefault="001D6E74" w:rsidP="000E3244">
      <w:pPr>
        <w:pStyle w:val="SMHeading"/>
        <w:rPr>
          <w:sz w:val="22"/>
          <w:szCs w:val="22"/>
        </w:rPr>
      </w:pPr>
    </w:p>
    <w:p w14:paraId="2EC9D42A" w14:textId="77777777" w:rsidR="001D6E74" w:rsidRDefault="001D6E74" w:rsidP="000E3244">
      <w:pPr>
        <w:pStyle w:val="SMHeading"/>
        <w:rPr>
          <w:sz w:val="22"/>
          <w:szCs w:val="22"/>
        </w:rPr>
      </w:pPr>
    </w:p>
    <w:p w14:paraId="3438B2D5" w14:textId="2DF52A01" w:rsidR="000E3244" w:rsidRDefault="000E3244" w:rsidP="001D6E74">
      <w:pPr>
        <w:rPr>
          <w:b/>
        </w:rPr>
      </w:pPr>
      <w:r w:rsidRPr="001D6E74">
        <w:rPr>
          <w:b/>
        </w:rPr>
        <w:t>Figure S3. IL2 and IL21 mRNA levels in T</w:t>
      </w:r>
      <w:r w:rsidRPr="001D6E74">
        <w:rPr>
          <w:b/>
          <w:vertAlign w:val="subscript"/>
        </w:rPr>
        <w:t>N</w:t>
      </w:r>
      <w:r w:rsidRPr="001D6E74">
        <w:rPr>
          <w:b/>
        </w:rPr>
        <w:t>, T</w:t>
      </w:r>
      <w:r w:rsidRPr="001D6E74">
        <w:rPr>
          <w:b/>
          <w:vertAlign w:val="subscript"/>
        </w:rPr>
        <w:t>CM</w:t>
      </w:r>
      <w:r w:rsidRPr="001D6E74">
        <w:rPr>
          <w:b/>
        </w:rPr>
        <w:t xml:space="preserve"> and T</w:t>
      </w:r>
      <w:r w:rsidRPr="001D6E74">
        <w:rPr>
          <w:b/>
          <w:vertAlign w:val="subscript"/>
        </w:rPr>
        <w:t>EM</w:t>
      </w:r>
      <w:r w:rsidRPr="001D6E74">
        <w:rPr>
          <w:b/>
        </w:rPr>
        <w:t xml:space="preserve"> of CD4</w:t>
      </w:r>
      <w:r w:rsidRPr="001D6E74">
        <w:rPr>
          <w:b/>
          <w:vertAlign w:val="superscript"/>
        </w:rPr>
        <w:t>+</w:t>
      </w:r>
      <w:r w:rsidRPr="001D6E74">
        <w:rPr>
          <w:b/>
        </w:rPr>
        <w:t xml:space="preserve"> and CD8</w:t>
      </w:r>
      <w:r w:rsidRPr="001D6E74">
        <w:rPr>
          <w:b/>
          <w:vertAlign w:val="superscript"/>
        </w:rPr>
        <w:t>+</w:t>
      </w:r>
      <w:r w:rsidRPr="001D6E74">
        <w:rPr>
          <w:b/>
        </w:rPr>
        <w:t xml:space="preserve"> T cells during 15-day culture after anti-CD3/CD28 stimulation in vitro</w:t>
      </w:r>
      <w:r w:rsidRPr="00231BE1">
        <w:t xml:space="preserve">. (A) </w:t>
      </w:r>
      <w:r>
        <w:t>IL2 mRNA</w:t>
      </w:r>
      <w:r w:rsidR="00383752">
        <w:rPr>
          <w:b/>
        </w:rPr>
        <w:t xml:space="preserve"> </w:t>
      </w:r>
      <w:r w:rsidRPr="00231BE1">
        <w:t xml:space="preserve">(B) </w:t>
      </w:r>
      <w:r>
        <w:t>IL21 mRNA normalized to ACOX1</w:t>
      </w:r>
      <w:r w:rsidR="001D6E74">
        <w:rPr>
          <w:b/>
        </w:rPr>
        <w:t xml:space="preserve"> </w:t>
      </w:r>
      <w:r w:rsidR="00912F41">
        <w:t>in</w:t>
      </w:r>
      <w:r w:rsidR="00912F41" w:rsidRPr="00231BE1">
        <w:t xml:space="preserve"> CD4</w:t>
      </w:r>
      <w:r w:rsidR="00912F41" w:rsidRPr="00231BE1">
        <w:rPr>
          <w:vertAlign w:val="superscript"/>
        </w:rPr>
        <w:t>+</w:t>
      </w:r>
      <w:r w:rsidR="00912F41" w:rsidRPr="00231BE1">
        <w:t xml:space="preserve"> and CD8</w:t>
      </w:r>
      <w:r w:rsidR="00912F41" w:rsidRPr="00231BE1">
        <w:rPr>
          <w:vertAlign w:val="superscript"/>
        </w:rPr>
        <w:t>+</w:t>
      </w:r>
      <w:r w:rsidR="00912F41" w:rsidRPr="00231BE1">
        <w:t xml:space="preserve"> T cell subsets.</w:t>
      </w:r>
      <w:r w:rsidR="00912F41">
        <w:t xml:space="preserve"> Two-way </w:t>
      </w:r>
      <w:proofErr w:type="spellStart"/>
      <w:r w:rsidR="00912F41" w:rsidRPr="000E3244">
        <w:t>Anova</w:t>
      </w:r>
      <w:proofErr w:type="spellEnd"/>
      <w:r w:rsidR="00912F41">
        <w:t xml:space="preserve"> test showed no statistical significance among the three subsets.</w:t>
      </w:r>
    </w:p>
    <w:p w14:paraId="1A70A64E" w14:textId="6EA8BC4D" w:rsidR="00383752" w:rsidRDefault="00383752" w:rsidP="001D6E74">
      <w:pPr>
        <w:rPr>
          <w:b/>
        </w:rPr>
      </w:pPr>
      <w:bookmarkStart w:id="0" w:name="_GoBack"/>
      <w:bookmarkEnd w:id="0"/>
    </w:p>
    <w:p w14:paraId="5A4CB821" w14:textId="4C40A207" w:rsidR="00383752" w:rsidRDefault="00383752" w:rsidP="000E3244">
      <w:pPr>
        <w:pStyle w:val="SMHeading"/>
        <w:rPr>
          <w:b w:val="0"/>
          <w:sz w:val="22"/>
          <w:szCs w:val="22"/>
        </w:rPr>
      </w:pPr>
    </w:p>
    <w:p w14:paraId="6694D0CA" w14:textId="77777777" w:rsidR="00383752" w:rsidRPr="00912F41" w:rsidRDefault="00383752" w:rsidP="000E3244">
      <w:pPr>
        <w:pStyle w:val="SMHeading"/>
        <w:rPr>
          <w:b w:val="0"/>
          <w:sz w:val="22"/>
          <w:szCs w:val="22"/>
        </w:rPr>
      </w:pPr>
    </w:p>
    <w:p w14:paraId="4128332F" w14:textId="77777777" w:rsidR="00B87BA9" w:rsidRDefault="00B87BA9" w:rsidP="00B87BA9">
      <w:pPr>
        <w:pStyle w:val="SMHeading"/>
        <w:rPr>
          <w:sz w:val="22"/>
          <w:szCs w:val="22"/>
        </w:rPr>
      </w:pPr>
      <w:r w:rsidRPr="00B11906">
        <w:rPr>
          <w:noProof/>
          <w:sz w:val="22"/>
          <w:szCs w:val="22"/>
        </w:rPr>
        <w:drawing>
          <wp:inline distT="0" distB="0" distL="0" distR="0" wp14:anchorId="030D42B7" wp14:editId="2EC50C9F">
            <wp:extent cx="3251200" cy="2971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6A44" w14:textId="77777777" w:rsidR="00B87BA9" w:rsidRDefault="00B87BA9" w:rsidP="00B87BA9">
      <w:pPr>
        <w:pStyle w:val="SMHeading"/>
        <w:rPr>
          <w:sz w:val="22"/>
          <w:szCs w:val="22"/>
        </w:rPr>
      </w:pPr>
    </w:p>
    <w:p w14:paraId="48398486" w14:textId="56BD606D" w:rsidR="00B87BA9" w:rsidRPr="00820484" w:rsidRDefault="00B87BA9" w:rsidP="00B87BA9">
      <w:pPr>
        <w:pStyle w:val="SMHeading"/>
        <w:rPr>
          <w:sz w:val="22"/>
          <w:szCs w:val="22"/>
        </w:rPr>
      </w:pPr>
      <w:r w:rsidRPr="00820484">
        <w:rPr>
          <w:sz w:val="22"/>
          <w:szCs w:val="22"/>
        </w:rPr>
        <w:t>Fig</w:t>
      </w:r>
      <w:r>
        <w:rPr>
          <w:sz w:val="22"/>
          <w:szCs w:val="22"/>
        </w:rPr>
        <w:t>ure</w:t>
      </w:r>
      <w:r w:rsidRPr="00820484">
        <w:rPr>
          <w:sz w:val="22"/>
          <w:szCs w:val="22"/>
        </w:rPr>
        <w:t xml:space="preserve"> S</w:t>
      </w:r>
      <w:r>
        <w:rPr>
          <w:sz w:val="22"/>
          <w:szCs w:val="22"/>
        </w:rPr>
        <w:t>4</w:t>
      </w:r>
      <w:r w:rsidRPr="00820484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IL2 mRNA levels in </w:t>
      </w:r>
      <w:r w:rsidRPr="007745F8">
        <w:rPr>
          <w:sz w:val="22"/>
          <w:szCs w:val="22"/>
        </w:rPr>
        <w:t>CD4</w:t>
      </w:r>
      <w:r w:rsidRPr="007745F8">
        <w:rPr>
          <w:sz w:val="22"/>
          <w:szCs w:val="22"/>
          <w:vertAlign w:val="superscript"/>
        </w:rPr>
        <w:t>+</w:t>
      </w:r>
      <w:r w:rsidRPr="007745F8">
        <w:rPr>
          <w:sz w:val="22"/>
          <w:szCs w:val="22"/>
        </w:rPr>
        <w:t xml:space="preserve"> T</w:t>
      </w:r>
      <w:r w:rsidRPr="007745F8">
        <w:rPr>
          <w:sz w:val="22"/>
          <w:szCs w:val="22"/>
          <w:vertAlign w:val="subscript"/>
        </w:rPr>
        <w:t>N</w:t>
      </w:r>
      <w:r>
        <w:rPr>
          <w:sz w:val="22"/>
          <w:szCs w:val="22"/>
          <w:vertAlign w:val="subscript"/>
        </w:rPr>
        <w:t xml:space="preserve"> </w:t>
      </w:r>
      <w:r w:rsidRPr="007745F8">
        <w:rPr>
          <w:sz w:val="22"/>
          <w:szCs w:val="22"/>
        </w:rPr>
        <w:t>cells</w:t>
      </w:r>
      <w:r>
        <w:rPr>
          <w:sz w:val="22"/>
          <w:szCs w:val="22"/>
        </w:rPr>
        <w:t xml:space="preserve"> in the presence of hTERT knockdown or control oligo</w:t>
      </w:r>
      <w:r w:rsidRPr="00231BE1">
        <w:rPr>
          <w:sz w:val="22"/>
          <w:szCs w:val="22"/>
        </w:rPr>
        <w:t>.</w:t>
      </w:r>
      <w:r w:rsidRPr="00231BE1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IL2 mRNA</w:t>
      </w:r>
      <w:r w:rsidRPr="00231BE1">
        <w:rPr>
          <w:b w:val="0"/>
          <w:sz w:val="22"/>
          <w:szCs w:val="22"/>
        </w:rPr>
        <w:t xml:space="preserve"> </w:t>
      </w:r>
      <w:r w:rsidRPr="00B33FEA">
        <w:rPr>
          <w:b w:val="0"/>
          <w:bCs w:val="0"/>
          <w:sz w:val="22"/>
          <w:szCs w:val="22"/>
        </w:rPr>
        <w:t>was measured by RT-PCR and</w:t>
      </w:r>
      <w:r>
        <w:rPr>
          <w:sz w:val="22"/>
          <w:szCs w:val="22"/>
        </w:rPr>
        <w:t xml:space="preserve"> </w:t>
      </w:r>
      <w:r>
        <w:rPr>
          <w:b w:val="0"/>
          <w:sz w:val="22"/>
          <w:szCs w:val="22"/>
        </w:rPr>
        <w:t>normalized to ACOX1</w:t>
      </w:r>
      <w:r w:rsidRPr="00231BE1">
        <w:rPr>
          <w:b w:val="0"/>
          <w:sz w:val="22"/>
          <w:szCs w:val="22"/>
        </w:rPr>
        <w:t>.</w:t>
      </w:r>
      <w:r w:rsidR="00912F41">
        <w:rPr>
          <w:b w:val="0"/>
          <w:sz w:val="22"/>
          <w:szCs w:val="22"/>
        </w:rPr>
        <w:t xml:space="preserve"> No significant difference by paired Student’s t test.</w:t>
      </w:r>
    </w:p>
    <w:p w14:paraId="68E05B51" w14:textId="559FD997" w:rsidR="00E6546E" w:rsidRPr="00B87BA9" w:rsidRDefault="00E6546E" w:rsidP="00E6546E">
      <w:pPr>
        <w:rPr>
          <w:b/>
          <w:bCs/>
          <w:kern w:val="32"/>
          <w:sz w:val="22"/>
        </w:rPr>
      </w:pPr>
      <w:r>
        <w:rPr>
          <w:b/>
          <w:sz w:val="22"/>
        </w:rPr>
        <w:br w:type="page"/>
      </w:r>
    </w:p>
    <w:p w14:paraId="021C2B70" w14:textId="77777777" w:rsidR="00E6546E" w:rsidRDefault="00E6546E" w:rsidP="00E6546E">
      <w:pPr>
        <w:pStyle w:val="SMcaption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2A74F37" wp14:editId="5796CBDE">
            <wp:extent cx="5486400" cy="3963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11-28 at 11.26.33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2894" w14:textId="5FD491B9" w:rsidR="00E6546E" w:rsidRDefault="00E6546E" w:rsidP="00E6546E">
      <w:pPr>
        <w:pStyle w:val="SMHeading"/>
        <w:rPr>
          <w:b w:val="0"/>
          <w:sz w:val="22"/>
          <w:szCs w:val="22"/>
        </w:rPr>
      </w:pPr>
      <w:r w:rsidRPr="00820484">
        <w:rPr>
          <w:sz w:val="22"/>
          <w:szCs w:val="22"/>
        </w:rPr>
        <w:t>Fig</w:t>
      </w:r>
      <w:r>
        <w:rPr>
          <w:sz w:val="22"/>
          <w:szCs w:val="22"/>
        </w:rPr>
        <w:t>ure</w:t>
      </w:r>
      <w:r w:rsidRPr="00820484">
        <w:rPr>
          <w:sz w:val="22"/>
          <w:szCs w:val="22"/>
        </w:rPr>
        <w:t xml:space="preserve"> S</w:t>
      </w:r>
      <w:r w:rsidR="00B87BA9">
        <w:rPr>
          <w:sz w:val="22"/>
          <w:szCs w:val="22"/>
        </w:rPr>
        <w:t>5</w:t>
      </w:r>
      <w:r w:rsidRPr="00820484">
        <w:rPr>
          <w:sz w:val="22"/>
          <w:szCs w:val="22"/>
        </w:rPr>
        <w:t xml:space="preserve">. </w:t>
      </w:r>
      <w:r w:rsidRPr="00231BE1">
        <w:rPr>
          <w:sz w:val="22"/>
          <w:szCs w:val="22"/>
        </w:rPr>
        <w:t>Comparison of hTERT FL and ASPs in young and old donors.</w:t>
      </w:r>
      <w:r w:rsidRPr="00231BE1">
        <w:rPr>
          <w:b w:val="0"/>
          <w:sz w:val="22"/>
          <w:szCs w:val="22"/>
        </w:rPr>
        <w:t xml:space="preserve"> </w:t>
      </w:r>
      <w:r w:rsidRPr="00231BE1">
        <w:rPr>
          <w:sz w:val="22"/>
          <w:szCs w:val="22"/>
        </w:rPr>
        <w:t>(A)</w:t>
      </w:r>
      <w:r w:rsidRPr="00231BE1">
        <w:rPr>
          <w:b w:val="0"/>
          <w:sz w:val="22"/>
          <w:szCs w:val="22"/>
        </w:rPr>
        <w:t xml:space="preserve"> Resting and </w:t>
      </w:r>
      <w:r w:rsidRPr="00231BE1">
        <w:rPr>
          <w:sz w:val="22"/>
          <w:szCs w:val="22"/>
        </w:rPr>
        <w:t>(B)</w:t>
      </w:r>
      <w:r w:rsidRPr="00231BE1">
        <w:rPr>
          <w:b w:val="0"/>
          <w:sz w:val="22"/>
          <w:szCs w:val="22"/>
        </w:rPr>
        <w:t xml:space="preserve"> activated CD4</w:t>
      </w:r>
      <w:r w:rsidRPr="00231BE1">
        <w:rPr>
          <w:b w:val="0"/>
          <w:sz w:val="22"/>
          <w:szCs w:val="22"/>
          <w:vertAlign w:val="superscript"/>
        </w:rPr>
        <w:t>+</w:t>
      </w:r>
      <w:r w:rsidRPr="00231BE1">
        <w:rPr>
          <w:b w:val="0"/>
          <w:sz w:val="22"/>
          <w:szCs w:val="22"/>
        </w:rPr>
        <w:t xml:space="preserve"> and CD8</w:t>
      </w:r>
      <w:r w:rsidRPr="00231BE1">
        <w:rPr>
          <w:b w:val="0"/>
          <w:sz w:val="22"/>
          <w:szCs w:val="22"/>
          <w:vertAlign w:val="superscript"/>
        </w:rPr>
        <w:t>+</w:t>
      </w:r>
      <w:r w:rsidRPr="00231BE1">
        <w:rPr>
          <w:b w:val="0"/>
          <w:sz w:val="22"/>
          <w:szCs w:val="22"/>
        </w:rPr>
        <w:t xml:space="preserve"> T cell subsets were measured by RT-qPCR for expression of FL, </w:t>
      </w:r>
      <w:r w:rsidRPr="00CA04D0">
        <w:rPr>
          <w:rFonts w:ascii="Symbol" w:hAnsi="Symbol"/>
          <w:b w:val="0"/>
          <w:sz w:val="22"/>
          <w:szCs w:val="22"/>
        </w:rPr>
        <w:t></w:t>
      </w:r>
      <w:r w:rsidRPr="00CA04D0">
        <w:rPr>
          <w:rFonts w:ascii="Symbol" w:hAnsi="Symbol"/>
          <w:b w:val="0"/>
          <w:sz w:val="22"/>
          <w:szCs w:val="22"/>
        </w:rPr>
        <w:t></w:t>
      </w:r>
      <w:r w:rsidRPr="00231BE1">
        <w:rPr>
          <w:b w:val="0"/>
          <w:sz w:val="22"/>
          <w:szCs w:val="22"/>
        </w:rPr>
        <w:t xml:space="preserve">, </w:t>
      </w:r>
      <w:r w:rsidRPr="00CA04D0">
        <w:rPr>
          <w:rFonts w:ascii="Symbol" w:hAnsi="Symbol"/>
          <w:b w:val="0"/>
          <w:sz w:val="22"/>
          <w:szCs w:val="22"/>
        </w:rPr>
        <w:t></w:t>
      </w:r>
      <w:r w:rsidRPr="00CA04D0">
        <w:rPr>
          <w:rFonts w:ascii="Symbol" w:hAnsi="Symbol"/>
          <w:b w:val="0"/>
          <w:sz w:val="22"/>
          <w:szCs w:val="22"/>
        </w:rPr>
        <w:t></w:t>
      </w:r>
      <w:r w:rsidRPr="00231BE1">
        <w:rPr>
          <w:b w:val="0"/>
          <w:sz w:val="22"/>
          <w:szCs w:val="22"/>
        </w:rPr>
        <w:t xml:space="preserve">, and </w:t>
      </w:r>
      <w:r w:rsidRPr="00CA04D0">
        <w:rPr>
          <w:rFonts w:ascii="Symbol" w:hAnsi="Symbol"/>
          <w:b w:val="0"/>
          <w:sz w:val="22"/>
          <w:szCs w:val="22"/>
        </w:rPr>
        <w:t></w:t>
      </w:r>
      <w:r w:rsidRPr="00CA04D0">
        <w:rPr>
          <w:rFonts w:ascii="Symbol" w:hAnsi="Symbol"/>
          <w:b w:val="0"/>
          <w:sz w:val="22"/>
          <w:szCs w:val="22"/>
        </w:rPr>
        <w:t></w:t>
      </w:r>
      <w:r w:rsidRPr="00CA04D0">
        <w:rPr>
          <w:rFonts w:ascii="Symbol" w:hAnsi="Symbol"/>
          <w:b w:val="0"/>
          <w:sz w:val="22"/>
          <w:szCs w:val="22"/>
        </w:rPr>
        <w:t></w:t>
      </w:r>
      <w:r w:rsidRPr="00CA04D0">
        <w:rPr>
          <w:rFonts w:ascii="Symbol" w:hAnsi="Symbol"/>
          <w:b w:val="0"/>
          <w:sz w:val="22"/>
          <w:szCs w:val="22"/>
        </w:rPr>
        <w:t></w:t>
      </w:r>
      <w:r w:rsidRPr="00CA04D0">
        <w:rPr>
          <w:rFonts w:ascii="Symbol" w:hAnsi="Symbol"/>
          <w:b w:val="0"/>
          <w:sz w:val="22"/>
          <w:szCs w:val="22"/>
        </w:rPr>
        <w:t></w:t>
      </w:r>
      <w:r w:rsidRPr="00231BE1">
        <w:rPr>
          <w:b w:val="0"/>
          <w:sz w:val="22"/>
          <w:szCs w:val="22"/>
        </w:rPr>
        <w:t>. Young (Y, closed symbol) (age ranges 17-40) and old (O, open symbol) (age ranges 68-85) donors are shown.</w:t>
      </w:r>
    </w:p>
    <w:p w14:paraId="1A45EE99" w14:textId="07DF3303" w:rsidR="006F5EBC" w:rsidRDefault="006F5EBC" w:rsidP="00E6546E">
      <w:pPr>
        <w:pStyle w:val="SMHeading"/>
        <w:rPr>
          <w:b w:val="0"/>
          <w:sz w:val="22"/>
          <w:szCs w:val="22"/>
        </w:rPr>
      </w:pPr>
    </w:p>
    <w:p w14:paraId="5329F7C5" w14:textId="77777777" w:rsidR="004F31ED" w:rsidRDefault="004F31ED" w:rsidP="00E6546E">
      <w:pPr>
        <w:rPr>
          <w:sz w:val="22"/>
        </w:rPr>
      </w:pPr>
    </w:p>
    <w:p w14:paraId="5EE69857" w14:textId="77777777" w:rsidR="00A05068" w:rsidRDefault="00A05068" w:rsidP="00E6546E">
      <w:pPr>
        <w:rPr>
          <w:sz w:val="22"/>
        </w:rPr>
      </w:pPr>
    </w:p>
    <w:p w14:paraId="7711D857" w14:textId="77777777" w:rsidR="00A05068" w:rsidRDefault="00A05068" w:rsidP="00E6546E">
      <w:pPr>
        <w:rPr>
          <w:sz w:val="22"/>
        </w:rPr>
      </w:pPr>
    </w:p>
    <w:p w14:paraId="0FEA7124" w14:textId="3C6AFED0" w:rsidR="00B33FEA" w:rsidRDefault="00A05068" w:rsidP="00B87BA9">
      <w:pPr>
        <w:spacing w:before="0" w:after="200" w:line="276" w:lineRule="auto"/>
        <w:rPr>
          <w:sz w:val="22"/>
        </w:rPr>
      </w:pPr>
      <w:r>
        <w:rPr>
          <w:sz w:val="22"/>
        </w:rPr>
        <w:br w:type="page"/>
      </w:r>
    </w:p>
    <w:p w14:paraId="725D0448" w14:textId="77777777" w:rsidR="00E6546E" w:rsidRPr="00820484" w:rsidRDefault="00E6546E" w:rsidP="00E6546E">
      <w:pPr>
        <w:pStyle w:val="SMHeading"/>
        <w:rPr>
          <w:sz w:val="22"/>
          <w:szCs w:val="22"/>
        </w:rPr>
      </w:pPr>
      <w:r w:rsidRPr="00820484">
        <w:rPr>
          <w:sz w:val="22"/>
          <w:szCs w:val="22"/>
        </w:rPr>
        <w:lastRenderedPageBreak/>
        <w:t xml:space="preserve">Table S1. </w:t>
      </w:r>
      <w:r w:rsidRPr="00C901A1">
        <w:rPr>
          <w:sz w:val="22"/>
          <w:szCs w:val="22"/>
        </w:rPr>
        <w:t>Summary of genders and ages of donors used in study, ordered by increasing age.</w:t>
      </w:r>
      <w:r w:rsidRPr="00820484">
        <w:rPr>
          <w:sz w:val="22"/>
          <w:szCs w:val="22"/>
        </w:rPr>
        <w:t xml:space="preserve"> </w:t>
      </w:r>
    </w:p>
    <w:p w14:paraId="757A2002" w14:textId="77777777" w:rsidR="00E6546E" w:rsidRDefault="00E6546E" w:rsidP="00E6546E">
      <w:pPr>
        <w:rPr>
          <w:sz w:val="22"/>
        </w:rPr>
      </w:pPr>
      <w:r w:rsidRPr="00C901A1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4F17EA26" wp14:editId="637EA03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658533" cy="7315200"/>
            <wp:effectExtent l="0" t="0" r="0" b="0"/>
            <wp:wrapNone/>
            <wp:docPr id="5" name="table">
              <a:extLst xmlns:a="http://schemas.openxmlformats.org/drawingml/2006/main">
                <a:ext uri="{FF2B5EF4-FFF2-40B4-BE49-F238E27FC236}">
                  <a16:creationId xmlns:a16="http://schemas.microsoft.com/office/drawing/2014/main" id="{279AF795-99AF-B847-87A9-3AD900EC25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279AF795-99AF-B847-87A9-3AD900EC25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853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1A1">
        <w:rPr>
          <w:noProof/>
          <w:sz w:val="22"/>
        </w:rPr>
        <w:drawing>
          <wp:anchor distT="0" distB="0" distL="114300" distR="114300" simplePos="0" relativeHeight="251660288" behindDoc="0" locked="0" layoutInCell="1" allowOverlap="1" wp14:anchorId="0BD5A48B" wp14:editId="1E162950">
            <wp:simplePos x="0" y="0"/>
            <wp:positionH relativeFrom="column">
              <wp:posOffset>2724150</wp:posOffset>
            </wp:positionH>
            <wp:positionV relativeFrom="paragraph">
              <wp:posOffset>-635</wp:posOffset>
            </wp:positionV>
            <wp:extent cx="2676596" cy="7315200"/>
            <wp:effectExtent l="0" t="0" r="3175" b="0"/>
            <wp:wrapNone/>
            <wp:docPr id="3" name="table">
              <a:extLst xmlns:a="http://schemas.openxmlformats.org/drawingml/2006/main">
                <a:ext uri="{FF2B5EF4-FFF2-40B4-BE49-F238E27FC236}">
                  <a16:creationId xmlns:a16="http://schemas.microsoft.com/office/drawing/2014/main" id="{E372CFEA-9199-F841-9D62-18D4577A0C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>
                      <a:extLst>
                        <a:ext uri="{FF2B5EF4-FFF2-40B4-BE49-F238E27FC236}">
                          <a16:creationId xmlns:a16="http://schemas.microsoft.com/office/drawing/2014/main" id="{E372CFEA-9199-F841-9D62-18D4577A0C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659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</w:rPr>
        <w:br w:type="page"/>
      </w:r>
    </w:p>
    <w:p w14:paraId="692AF59E" w14:textId="77777777" w:rsidR="00E6546E" w:rsidRPr="00C56E9B" w:rsidRDefault="00E6546E" w:rsidP="00E6546E">
      <w:pPr>
        <w:pStyle w:val="SMHeading"/>
        <w:rPr>
          <w:sz w:val="22"/>
          <w:szCs w:val="22"/>
        </w:rPr>
      </w:pPr>
      <w:r w:rsidRPr="00820484">
        <w:rPr>
          <w:sz w:val="22"/>
          <w:szCs w:val="22"/>
        </w:rPr>
        <w:lastRenderedPageBreak/>
        <w:t xml:space="preserve">Table S2. </w:t>
      </w:r>
      <w:r w:rsidRPr="00C56E9B">
        <w:rPr>
          <w:sz w:val="22"/>
          <w:szCs w:val="22"/>
        </w:rPr>
        <w:t>Summary of alternatively spliced product detection in resting T cell subsets.</w:t>
      </w:r>
    </w:p>
    <w:p w14:paraId="301DA935" w14:textId="77777777" w:rsidR="00E6546E" w:rsidRPr="00820484" w:rsidRDefault="00E6546E" w:rsidP="00E6546E">
      <w:pPr>
        <w:pStyle w:val="SMHeading"/>
        <w:rPr>
          <w:sz w:val="22"/>
          <w:szCs w:val="22"/>
        </w:rPr>
      </w:pPr>
      <w:r w:rsidRPr="00820484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533B9A1C" wp14:editId="3093F8EB">
            <wp:extent cx="5486400" cy="157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11-28 at 11.43.44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24ED" w14:textId="77777777" w:rsidR="00E6546E" w:rsidRPr="00820484" w:rsidRDefault="00E6546E" w:rsidP="00E6546E">
      <w:pPr>
        <w:pStyle w:val="SMcaption"/>
        <w:rPr>
          <w:sz w:val="22"/>
          <w:szCs w:val="22"/>
        </w:rPr>
      </w:pPr>
    </w:p>
    <w:p w14:paraId="4A228DA9" w14:textId="77777777" w:rsidR="00E6546E" w:rsidRDefault="00E6546E" w:rsidP="00E6546E">
      <w:pPr>
        <w:rPr>
          <w:sz w:val="22"/>
        </w:rPr>
      </w:pPr>
      <w:r>
        <w:rPr>
          <w:sz w:val="22"/>
        </w:rPr>
        <w:br w:type="page"/>
      </w:r>
    </w:p>
    <w:p w14:paraId="2AA16616" w14:textId="77777777" w:rsidR="00E6546E" w:rsidRPr="00820484" w:rsidRDefault="00E6546E" w:rsidP="00E6546E">
      <w:pPr>
        <w:pStyle w:val="SMHeading"/>
        <w:rPr>
          <w:sz w:val="22"/>
          <w:szCs w:val="22"/>
        </w:rPr>
      </w:pPr>
      <w:r w:rsidRPr="00820484">
        <w:rPr>
          <w:sz w:val="22"/>
          <w:szCs w:val="22"/>
        </w:rPr>
        <w:lastRenderedPageBreak/>
        <w:t>Table S</w:t>
      </w:r>
      <w:r>
        <w:rPr>
          <w:sz w:val="22"/>
          <w:szCs w:val="22"/>
        </w:rPr>
        <w:t>3</w:t>
      </w:r>
      <w:r w:rsidRPr="00820484">
        <w:rPr>
          <w:sz w:val="22"/>
          <w:szCs w:val="22"/>
        </w:rPr>
        <w:t xml:space="preserve">. </w:t>
      </w:r>
      <w:r w:rsidRPr="00120A96">
        <w:rPr>
          <w:sz w:val="22"/>
          <w:szCs w:val="22"/>
        </w:rPr>
        <w:t>FL/</w:t>
      </w:r>
      <w:r w:rsidRPr="00120A96">
        <w:rPr>
          <w:rFonts w:ascii="Symbol" w:hAnsi="Symbol"/>
          <w:sz w:val="22"/>
          <w:szCs w:val="22"/>
        </w:rPr>
        <w:t></w:t>
      </w:r>
      <w:r w:rsidRPr="00120A96">
        <w:rPr>
          <w:rFonts w:ascii="Symbol" w:hAnsi="Symbol"/>
          <w:sz w:val="22"/>
          <w:szCs w:val="22"/>
        </w:rPr>
        <w:t></w:t>
      </w:r>
      <w:r w:rsidRPr="00120A96">
        <w:rPr>
          <w:sz w:val="22"/>
          <w:szCs w:val="22"/>
        </w:rPr>
        <w:t xml:space="preserve"> ratios in resting and activated T cell subsets.</w:t>
      </w:r>
      <w:r w:rsidRPr="00820484">
        <w:rPr>
          <w:sz w:val="22"/>
          <w:szCs w:val="22"/>
        </w:rPr>
        <w:t xml:space="preserve">  </w:t>
      </w:r>
    </w:p>
    <w:p w14:paraId="0CD61DBB" w14:textId="77777777" w:rsidR="00E6546E" w:rsidRPr="00820484" w:rsidRDefault="00E6546E" w:rsidP="00E6546E">
      <w:pPr>
        <w:pStyle w:val="SMcaption"/>
        <w:rPr>
          <w:sz w:val="22"/>
          <w:szCs w:val="22"/>
        </w:rPr>
      </w:pPr>
    </w:p>
    <w:p w14:paraId="0D3F4A35" w14:textId="77777777" w:rsidR="00E6546E" w:rsidRDefault="00E6546E" w:rsidP="00E6546E">
      <w:pPr>
        <w:rPr>
          <w:sz w:val="22"/>
        </w:rPr>
      </w:pPr>
      <w:r>
        <w:rPr>
          <w:b/>
          <w:bCs/>
          <w:noProof/>
          <w:sz w:val="22"/>
        </w:rPr>
        <w:drawing>
          <wp:inline distT="0" distB="0" distL="0" distR="0" wp14:anchorId="37C1138F" wp14:editId="051813AB">
            <wp:extent cx="3871356" cy="1101813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11-28 at 11.45.10 A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453" cy="111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2"/>
        </w:rPr>
        <w:br w:type="page"/>
      </w:r>
    </w:p>
    <w:p w14:paraId="500E7A5E" w14:textId="77777777" w:rsidR="00E6546E" w:rsidRPr="00820484" w:rsidRDefault="00E6546E" w:rsidP="00E6546E">
      <w:pPr>
        <w:pStyle w:val="SMHeading"/>
        <w:rPr>
          <w:sz w:val="22"/>
          <w:szCs w:val="22"/>
        </w:rPr>
      </w:pPr>
      <w:r w:rsidRPr="00820484">
        <w:rPr>
          <w:sz w:val="22"/>
          <w:szCs w:val="22"/>
        </w:rPr>
        <w:lastRenderedPageBreak/>
        <w:t>Table S</w:t>
      </w:r>
      <w:r>
        <w:rPr>
          <w:sz w:val="22"/>
          <w:szCs w:val="22"/>
        </w:rPr>
        <w:t>4</w:t>
      </w:r>
      <w:r w:rsidRPr="00820484">
        <w:rPr>
          <w:sz w:val="22"/>
          <w:szCs w:val="22"/>
        </w:rPr>
        <w:t xml:space="preserve">.  </w:t>
      </w:r>
      <w:r w:rsidRPr="00120A96">
        <w:rPr>
          <w:sz w:val="22"/>
          <w:szCs w:val="22"/>
        </w:rPr>
        <w:t>Sequences of oligonucleotides used in this study.</w:t>
      </w:r>
    </w:p>
    <w:p w14:paraId="56793AF1" w14:textId="77777777" w:rsidR="00E6546E" w:rsidRPr="00820484" w:rsidRDefault="00E6546E" w:rsidP="00E6546E">
      <w:pPr>
        <w:pStyle w:val="SMcaption"/>
        <w:rPr>
          <w:sz w:val="22"/>
          <w:szCs w:val="22"/>
        </w:rPr>
      </w:pPr>
    </w:p>
    <w:tbl>
      <w:tblPr>
        <w:tblW w:w="9520" w:type="dxa"/>
        <w:tblLook w:val="04A0" w:firstRow="1" w:lastRow="0" w:firstColumn="1" w:lastColumn="0" w:noHBand="0" w:noVBand="1"/>
      </w:tblPr>
      <w:tblGrid>
        <w:gridCol w:w="1930"/>
        <w:gridCol w:w="4726"/>
        <w:gridCol w:w="1832"/>
        <w:gridCol w:w="1032"/>
      </w:tblGrid>
      <w:tr w:rsidR="00CD29BE" w:rsidRPr="00CD29BE" w14:paraId="2E83A461" w14:textId="77777777" w:rsidTr="00CD29BE">
        <w:trPr>
          <w:trHeight w:val="4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831AD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Primer name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666BB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FE635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Assay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43AB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Target</w:t>
            </w:r>
          </w:p>
        </w:tc>
      </w:tr>
      <w:tr w:rsidR="00CD29BE" w:rsidRPr="00CD29BE" w14:paraId="725F8F69" w14:textId="77777777" w:rsidTr="00CD29BE">
        <w:trPr>
          <w:trHeight w:val="4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5EBFE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TS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B1F15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AATCCGTCGAGCAGAGTT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417C2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TRAP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50FB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D29BE" w:rsidRPr="00CD29BE" w14:paraId="665E437C" w14:textId="77777777" w:rsidTr="00CD29BE">
        <w:trPr>
          <w:trHeight w:val="4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DB45E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NT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D527D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ATCGCTTCTCGGCCTTTT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2652B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TRAP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001B5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D29BE" w:rsidRPr="00CD29BE" w14:paraId="3FBD1A95" w14:textId="77777777" w:rsidTr="00CD29BE">
        <w:trPr>
          <w:trHeight w:val="4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D7DE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ACX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9481A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GCGCGGCTTACCCTTACCCTTACCCTAACC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C8DD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TRAP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A1B2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D29BE" w:rsidRPr="00CD29BE" w14:paraId="724245FB" w14:textId="77777777" w:rsidTr="00CD29BE">
        <w:trPr>
          <w:trHeight w:val="4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195C7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TSNT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D05B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AATCCGTCGAGCAGAGTTAAAAGGCCGAGAAGCGAT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4FD77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TRAP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7FDD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D29BE" w:rsidRPr="00CD29BE" w14:paraId="7CEBA193" w14:textId="77777777" w:rsidTr="00CD29BE">
        <w:trPr>
          <w:trHeight w:val="4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A265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hTERT2164-S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9F268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GCCTGAGCTGTACTTTGTCAA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410B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Isoform PCR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D24DA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hTERT</w:t>
            </w:r>
          </w:p>
        </w:tc>
      </w:tr>
      <w:tr w:rsidR="00CD29BE" w:rsidRPr="00CD29BE" w14:paraId="00C97391" w14:textId="77777777" w:rsidTr="00CD29BE">
        <w:trPr>
          <w:trHeight w:val="4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27132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hTERT2620-AS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817A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CGCAAACAGCTTGTTCTCCATGTC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CF7F7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Isoform PCR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1A5FB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hTERT</w:t>
            </w:r>
          </w:p>
        </w:tc>
      </w:tr>
      <w:tr w:rsidR="00CD29BE" w:rsidRPr="00CD29BE" w14:paraId="2FE3336D" w14:textId="77777777" w:rsidTr="00CD29BE">
        <w:trPr>
          <w:trHeight w:val="4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2BEF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hTERT-S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95AC0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GTGTGCACCAACATCTACAAG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3E69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qRT</w:t>
            </w:r>
            <w:proofErr w:type="spellEnd"/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-PCR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600A2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hTERT</w:t>
            </w:r>
          </w:p>
        </w:tc>
      </w:tr>
      <w:tr w:rsidR="00CD29BE" w:rsidRPr="00CD29BE" w14:paraId="5BCE8B7A" w14:textId="77777777" w:rsidTr="00CD29BE">
        <w:trPr>
          <w:trHeight w:val="4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897A4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hTERT-AS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4D84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CATCAGCAAGTTTGGAAGAACC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79C0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qRT</w:t>
            </w:r>
            <w:proofErr w:type="spellEnd"/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-PCR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B8874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hTERT</w:t>
            </w:r>
          </w:p>
        </w:tc>
      </w:tr>
      <w:tr w:rsidR="00CD29BE" w:rsidRPr="00CD29BE" w14:paraId="5110A1F8" w14:textId="77777777" w:rsidTr="00CD29BE">
        <w:trPr>
          <w:trHeight w:val="4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9B026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ACOX1-S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59B3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CCATTCAAGCTGTCTTAAGGAG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91533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qRT</w:t>
            </w:r>
            <w:proofErr w:type="spellEnd"/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-PCR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11F4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ACOX1</w:t>
            </w:r>
          </w:p>
        </w:tc>
      </w:tr>
      <w:tr w:rsidR="00CD29BE" w:rsidRPr="00CD29BE" w14:paraId="617D1CC7" w14:textId="77777777" w:rsidTr="00CD29BE">
        <w:trPr>
          <w:trHeight w:val="4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8941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ACOX1-AS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83423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TTGTGTAATCTGAGGCTCTGTC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52564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qRT</w:t>
            </w:r>
            <w:proofErr w:type="spellEnd"/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-PCR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3EC6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ACOX1</w:t>
            </w:r>
          </w:p>
        </w:tc>
      </w:tr>
      <w:tr w:rsidR="00CD29BE" w:rsidRPr="00CD29BE" w14:paraId="2A57DA26" w14:textId="77777777" w:rsidTr="00CD29BE">
        <w:trPr>
          <w:trHeight w:val="4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5D8E2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IL2-S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20BC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AAGAATCCCAAACTCACCAGGAT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A7C7A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qRT</w:t>
            </w:r>
            <w:proofErr w:type="spellEnd"/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-PCR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264B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IL2</w:t>
            </w:r>
          </w:p>
        </w:tc>
      </w:tr>
      <w:tr w:rsidR="00CD29BE" w:rsidRPr="00CD29BE" w14:paraId="1D9EC9C6" w14:textId="77777777" w:rsidTr="00CD29BE">
        <w:trPr>
          <w:trHeight w:val="4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8A18D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IL2-AS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A451C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TAGACACTGAAGCTGTTTCAGTTCTG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276D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qRT</w:t>
            </w:r>
            <w:proofErr w:type="spellEnd"/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-PCR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75BF0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IL2</w:t>
            </w:r>
          </w:p>
        </w:tc>
      </w:tr>
      <w:tr w:rsidR="00CD29BE" w:rsidRPr="00CD29BE" w14:paraId="0314E047" w14:textId="77777777" w:rsidTr="00CD29BE">
        <w:trPr>
          <w:trHeight w:val="4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849F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IL21-S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FC3D8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GCCAGCTCCAGAAGATGTAGAGA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0784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qRT</w:t>
            </w:r>
            <w:proofErr w:type="spellEnd"/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-PCR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228D2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IL21</w:t>
            </w:r>
          </w:p>
        </w:tc>
      </w:tr>
      <w:tr w:rsidR="00CD29BE" w:rsidRPr="00CD29BE" w14:paraId="1A7A8C52" w14:textId="77777777" w:rsidTr="00CD29BE">
        <w:trPr>
          <w:trHeight w:val="4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CAB0E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IL21-AS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18D2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GGGCCTTCTGAAAACAGGAAA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40DE1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qRT</w:t>
            </w:r>
            <w:proofErr w:type="spellEnd"/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-PCR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51F32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IL21</w:t>
            </w:r>
          </w:p>
        </w:tc>
      </w:tr>
      <w:tr w:rsidR="00CD29BE" w:rsidRPr="00CD29BE" w14:paraId="1814F759" w14:textId="77777777" w:rsidTr="00CD29BE">
        <w:trPr>
          <w:trHeight w:val="4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E061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2’F-ANA hTERT-AS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EB16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CAUCAGCCAGTGCAGGAAC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0A2E0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FANA Knockdown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55D30" w14:textId="77777777" w:rsidR="00CD29BE" w:rsidRPr="00CD29BE" w:rsidRDefault="00CD29BE" w:rsidP="00CD29BE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CD29BE">
              <w:rPr>
                <w:rFonts w:eastAsia="Times New Roman" w:cs="Times New Roman"/>
                <w:color w:val="000000"/>
                <w:sz w:val="18"/>
                <w:szCs w:val="18"/>
              </w:rPr>
              <w:t>hTERT</w:t>
            </w:r>
          </w:p>
        </w:tc>
      </w:tr>
    </w:tbl>
    <w:p w14:paraId="03D724BE" w14:textId="32239FC9" w:rsidR="00E6546E" w:rsidRDefault="00E6546E" w:rsidP="00E6546E">
      <w:pPr>
        <w:pStyle w:val="SMcaption"/>
        <w:rPr>
          <w:sz w:val="22"/>
          <w:szCs w:val="22"/>
        </w:rPr>
      </w:pPr>
    </w:p>
    <w:p w14:paraId="6FA943CB" w14:textId="77777777" w:rsidR="00E6546E" w:rsidRDefault="00E6546E" w:rsidP="00E6546E">
      <w:pPr>
        <w:pStyle w:val="SMcaption"/>
        <w:rPr>
          <w:sz w:val="22"/>
          <w:szCs w:val="22"/>
        </w:rPr>
      </w:pPr>
    </w:p>
    <w:p w14:paraId="4B9ABA7B" w14:textId="77777777" w:rsidR="00E6546E" w:rsidRPr="00015F74" w:rsidRDefault="00E6546E" w:rsidP="00E6546E">
      <w:pPr>
        <w:pStyle w:val="SMcaption"/>
      </w:pPr>
    </w:p>
    <w:p w14:paraId="7B65BC41" w14:textId="77777777" w:rsidR="00DE23E8" w:rsidRPr="00E6546E" w:rsidRDefault="00DE23E8" w:rsidP="00E6546E"/>
    <w:sectPr w:rsidR="00DE23E8" w:rsidRPr="00E6546E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2ED83" w14:textId="77777777" w:rsidR="006A52B0" w:rsidRDefault="006A52B0" w:rsidP="00117666">
      <w:pPr>
        <w:spacing w:after="0"/>
      </w:pPr>
      <w:r>
        <w:separator/>
      </w:r>
    </w:p>
  </w:endnote>
  <w:endnote w:type="continuationSeparator" w:id="0">
    <w:p w14:paraId="142B0107" w14:textId="77777777" w:rsidR="006A52B0" w:rsidRDefault="006A52B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3B257" w14:textId="77777777" w:rsidR="006A52B0" w:rsidRDefault="006A52B0" w:rsidP="00117666">
      <w:pPr>
        <w:spacing w:after="0"/>
      </w:pPr>
      <w:r>
        <w:separator/>
      </w:r>
    </w:p>
  </w:footnote>
  <w:footnote w:type="continuationSeparator" w:id="0">
    <w:p w14:paraId="569FD5AB" w14:textId="77777777" w:rsidR="006A52B0" w:rsidRDefault="006A52B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E3244"/>
    <w:rsid w:val="001055C7"/>
    <w:rsid w:val="00105FD9"/>
    <w:rsid w:val="00114E07"/>
    <w:rsid w:val="00117666"/>
    <w:rsid w:val="001549D3"/>
    <w:rsid w:val="00160065"/>
    <w:rsid w:val="00177D84"/>
    <w:rsid w:val="001D6E7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83752"/>
    <w:rsid w:val="003D2F2D"/>
    <w:rsid w:val="00401590"/>
    <w:rsid w:val="00422919"/>
    <w:rsid w:val="00447801"/>
    <w:rsid w:val="00452E9C"/>
    <w:rsid w:val="004735C8"/>
    <w:rsid w:val="004947A6"/>
    <w:rsid w:val="004961FF"/>
    <w:rsid w:val="004D6FA1"/>
    <w:rsid w:val="004F31ED"/>
    <w:rsid w:val="00517A89"/>
    <w:rsid w:val="005250F2"/>
    <w:rsid w:val="00593EEA"/>
    <w:rsid w:val="005A5EEE"/>
    <w:rsid w:val="006375C7"/>
    <w:rsid w:val="00654E8F"/>
    <w:rsid w:val="00660D05"/>
    <w:rsid w:val="006624DE"/>
    <w:rsid w:val="006820B1"/>
    <w:rsid w:val="006A52B0"/>
    <w:rsid w:val="006B7D14"/>
    <w:rsid w:val="006F5EBC"/>
    <w:rsid w:val="00701727"/>
    <w:rsid w:val="0070566C"/>
    <w:rsid w:val="00714C50"/>
    <w:rsid w:val="00725A7D"/>
    <w:rsid w:val="007501BE"/>
    <w:rsid w:val="007745F8"/>
    <w:rsid w:val="00790BB3"/>
    <w:rsid w:val="007C206C"/>
    <w:rsid w:val="00817DD6"/>
    <w:rsid w:val="00826AAB"/>
    <w:rsid w:val="0083759F"/>
    <w:rsid w:val="00885156"/>
    <w:rsid w:val="00896D47"/>
    <w:rsid w:val="00912F41"/>
    <w:rsid w:val="009151AA"/>
    <w:rsid w:val="0093429D"/>
    <w:rsid w:val="00943573"/>
    <w:rsid w:val="00964134"/>
    <w:rsid w:val="00970F7D"/>
    <w:rsid w:val="009804E0"/>
    <w:rsid w:val="00994A3D"/>
    <w:rsid w:val="009C2B12"/>
    <w:rsid w:val="00A05068"/>
    <w:rsid w:val="00A174D9"/>
    <w:rsid w:val="00A178B9"/>
    <w:rsid w:val="00A54E44"/>
    <w:rsid w:val="00AA4D24"/>
    <w:rsid w:val="00AB6715"/>
    <w:rsid w:val="00AE09AD"/>
    <w:rsid w:val="00B11906"/>
    <w:rsid w:val="00B1671E"/>
    <w:rsid w:val="00B25EB8"/>
    <w:rsid w:val="00B33FEA"/>
    <w:rsid w:val="00B37F4D"/>
    <w:rsid w:val="00B87BA9"/>
    <w:rsid w:val="00C42FE5"/>
    <w:rsid w:val="00C52A7B"/>
    <w:rsid w:val="00C56BAF"/>
    <w:rsid w:val="00C679AA"/>
    <w:rsid w:val="00C75972"/>
    <w:rsid w:val="00CD066B"/>
    <w:rsid w:val="00CD29BE"/>
    <w:rsid w:val="00CE4FEE"/>
    <w:rsid w:val="00D060CF"/>
    <w:rsid w:val="00DB59C3"/>
    <w:rsid w:val="00DC259A"/>
    <w:rsid w:val="00DE23E8"/>
    <w:rsid w:val="00E52140"/>
    <w:rsid w:val="00E52377"/>
    <w:rsid w:val="00E537AD"/>
    <w:rsid w:val="00E64E17"/>
    <w:rsid w:val="00E6546E"/>
    <w:rsid w:val="00E866C9"/>
    <w:rsid w:val="00E97797"/>
    <w:rsid w:val="00EA3D3C"/>
    <w:rsid w:val="00EC090A"/>
    <w:rsid w:val="00ED20B5"/>
    <w:rsid w:val="00F46900"/>
    <w:rsid w:val="00F61D89"/>
    <w:rsid w:val="00FE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SMHeading">
    <w:name w:val="SM Heading"/>
    <w:basedOn w:val="Heading1"/>
    <w:qFormat/>
    <w:rsid w:val="00E6546E"/>
    <w:pPr>
      <w:keepNext/>
      <w:numPr>
        <w:numId w:val="0"/>
      </w:numPr>
      <w:spacing w:after="60"/>
    </w:pPr>
    <w:rPr>
      <w:rFonts w:eastAsia="Times New Roman"/>
      <w:bCs/>
      <w:kern w:val="32"/>
    </w:rPr>
  </w:style>
  <w:style w:type="paragraph" w:customStyle="1" w:styleId="SMcaption">
    <w:name w:val="SM caption"/>
    <w:basedOn w:val="Normal"/>
    <w:qFormat/>
    <w:rsid w:val="00E6546E"/>
    <w:pPr>
      <w:spacing w:before="0" w:after="0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D646000-5DDE-4BF7-A65B-52849D784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</TotalTime>
  <Pages>9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Weng, Nan Ping (NIH/NIA/IRP) [E]</cp:lastModifiedBy>
  <cp:revision>4</cp:revision>
  <cp:lastPrinted>2013-10-03T12:51:00Z</cp:lastPrinted>
  <dcterms:created xsi:type="dcterms:W3CDTF">2019-08-02T14:58:00Z</dcterms:created>
  <dcterms:modified xsi:type="dcterms:W3CDTF">2019-08-02T15:05:00Z</dcterms:modified>
</cp:coreProperties>
</file>