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2"/>
        <w:rPr>
          <w:b w:val="0"/>
        </w:rPr>
      </w:pPr>
      <w:r>
        <w:t>Supplementary Material</w:t>
      </w:r>
    </w:p>
    <w:p>
      <w:pPr>
        <w:keepNext/>
        <w:jc w:val="both"/>
        <w:rPr>
          <w:rFonts w:cs="Times New Roman"/>
          <w:szCs w:val="24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Unicode MS" w:hAnsi="Arial Unicode MS" w:eastAsia="Arial Unicode MS" w:cs="Arial Unicode MS"/>
          <w:color w:val="231F20"/>
          <w:sz w:val="21"/>
          <w:szCs w:val="21"/>
        </w:rPr>
      </w:pPr>
      <w:r>
        <w:rPr>
          <w:rFonts w:hint="eastAsia" w:ascii="Arial Unicode MS" w:hAnsi="Arial Unicode MS" w:eastAsia="宋体" w:cs="Arial Unicode MS"/>
          <w:b/>
          <w:sz w:val="21"/>
          <w:szCs w:val="21"/>
        </w:rPr>
        <w:t xml:space="preserve">Supplemental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 xml:space="preserve">Figure 1 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 xml:space="preserve">Disruption of </w:t>
      </w:r>
      <w:r>
        <w:rPr>
          <w:rFonts w:hint="eastAsia" w:ascii="Arial Unicode MS" w:hAnsi="Arial Unicode MS" w:eastAsia="宋体" w:cs="Arial Unicode MS"/>
          <w:b/>
          <w:sz w:val="21"/>
          <w:szCs w:val="21"/>
        </w:rPr>
        <w:t>CD8</w:t>
      </w:r>
      <w:r>
        <w:rPr>
          <w:rFonts w:hint="eastAsia" w:ascii="Arial Unicode MS" w:hAnsi="Arial Unicode MS" w:eastAsia="宋体" w:cs="Arial Unicode MS"/>
          <w:b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宋体" w:cs="Arial Unicode MS"/>
          <w:b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>T</w:t>
      </w:r>
      <w:r>
        <w:rPr>
          <w:rFonts w:hint="eastAsia" w:ascii="Arial Unicode MS" w:hAnsi="Arial Unicode MS" w:eastAsia="宋体" w:cs="Arial Unicode MS"/>
          <w:b/>
          <w:sz w:val="21"/>
          <w:szCs w:val="21"/>
        </w:rPr>
        <w:t>c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 xml:space="preserve"> cell subset distribution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in patients with liver cirrhosis.</w:t>
      </w:r>
      <w:r>
        <w:rPr>
          <w:rFonts w:hint="default" w:ascii="Arial Unicode MS" w:hAnsi="Arial Unicode MS" w:eastAsia="Arial Unicode MS" w:cs="Arial Unicode MS"/>
          <w:b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sz w:val="21"/>
          <w:szCs w:val="21"/>
        </w:rPr>
        <w:t>(A)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Representative dot plots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show the gating strategy of CD8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 cell subsets basing on CXCR5, CCR6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and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CXCR3 expression in spleen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peripheral blood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. Values in the quadrants represent the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each subset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.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Among CD8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 cells,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CXCR5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Tch cells,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CCR6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CXCR3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  <w:vertAlign w:val="superscript"/>
        </w:rPr>
        <w:t>-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T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c17 cells,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CCR6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CXCR3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Tc1/Tc17cells,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CCR6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CXCR3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Tc1 cells,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CCR6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CXCR3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Tc2 cells were defined, respectively.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(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B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 Summarized data show the 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CD8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 cell subsets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in the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peripheral blood from HC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42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2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Non-HBV-LC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groups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2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)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and in the spleen from HC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22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2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7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Non-HBV-LC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groups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13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).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Each dot represents one subject, and line represents mean value. </w:t>
      </w:r>
      <w:r>
        <w:rPr>
          <w:rFonts w:ascii="Arial Unicode MS" w:hAnsi="Arial Unicode MS" w:eastAsia="Arial Unicode MS" w:cs="Arial Unicode MS"/>
          <w:i/>
          <w:color w:val="231F20"/>
          <w:sz w:val="21"/>
          <w:szCs w:val="21"/>
        </w:rPr>
        <w:t>P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values are shown.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Unicode MS" w:hAnsi="Arial Unicode MS" w:eastAsia="Arial Unicode MS" w:cs="Arial Unicode MS"/>
          <w:color w:val="231F20"/>
          <w:sz w:val="21"/>
          <w:szCs w:val="21"/>
        </w:rPr>
      </w:pPr>
    </w:p>
    <w:p>
      <w:pPr>
        <w:adjustRightInd w:val="0"/>
        <w:snapToGrid w:val="0"/>
        <w:spacing w:line="360" w:lineRule="auto"/>
        <w:jc w:val="both"/>
        <w:rPr>
          <w:rFonts w:ascii="Arial Unicode MS" w:hAnsi="Arial Unicode MS" w:eastAsia="Arial Unicode MS" w:cs="Arial Unicode MS"/>
          <w:color w:val="231F20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sz w:val="21"/>
          <w:szCs w:val="21"/>
        </w:rPr>
        <w:t>Supplemental Fig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ure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 xml:space="preserve"> </w:t>
      </w:r>
      <w:r>
        <w:rPr>
          <w:rFonts w:hint="eastAsia" w:ascii="Arial Unicode MS" w:hAnsi="Arial Unicode MS" w:eastAsia="宋体" w:cs="Arial Unicode MS"/>
          <w:b/>
          <w:sz w:val="21"/>
          <w:szCs w:val="21"/>
        </w:rPr>
        <w:t>2</w:t>
      </w:r>
      <w:r>
        <w:rPr>
          <w:rFonts w:hint="eastAsia" w:ascii="Arial Unicode MS" w:hAnsi="Arial Unicode MS" w:eastAsia="Arial Unicode MS" w:cs="Arial Unicode MS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Representative dot plots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show the proportion of PD-1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high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ICOS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cells among various Th (A) and Tc (B) subsets in peripheral blood and spleen from a LC patient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. Values in the quadrants represent the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splenic PD-1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high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ICOS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cells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. </w:t>
      </w:r>
    </w:p>
    <w:p>
      <w:pPr>
        <w:keepNext/>
        <w:rPr>
          <w:rFonts w:cs="Times New Roman"/>
          <w:b/>
          <w:szCs w:val="24"/>
        </w:rPr>
      </w:pPr>
    </w:p>
    <w:p>
      <w:pPr>
        <w:adjustRightInd w:val="0"/>
        <w:snapToGrid w:val="0"/>
        <w:spacing w:line="360" w:lineRule="auto"/>
        <w:jc w:val="both"/>
        <w:rPr>
          <w:rFonts w:ascii="Arial Unicode MS" w:hAnsi="Arial Unicode MS" w:eastAsia="Arial Unicode MS" w:cs="Arial Unicode MS"/>
          <w:color w:val="231F20"/>
          <w:sz w:val="21"/>
          <w:szCs w:val="21"/>
        </w:rPr>
      </w:pPr>
      <w:r>
        <w:rPr>
          <w:rFonts w:ascii="Arial Unicode MS" w:hAnsi="Arial Unicode MS" w:eastAsia="Arial Unicode MS" w:cs="Arial Unicode MS"/>
          <w:b/>
          <w:sz w:val="21"/>
          <w:szCs w:val="21"/>
        </w:rPr>
        <w:t xml:space="preserve">Supplemental </w:t>
      </w:r>
      <w:r>
        <w:rPr>
          <w:rFonts w:hint="eastAsia" w:ascii="Arial Unicode MS" w:hAnsi="Arial Unicode MS" w:eastAsia="Arial Unicode MS" w:cs="Arial Unicode MS"/>
          <w:b/>
          <w:color w:val="231F20"/>
          <w:sz w:val="21"/>
          <w:szCs w:val="21"/>
        </w:rPr>
        <w:t xml:space="preserve">Figure </w:t>
      </w:r>
      <w:r>
        <w:rPr>
          <w:rFonts w:hint="eastAsia" w:ascii="Arial Unicode MS" w:hAnsi="Arial Unicode MS" w:eastAsia="宋体" w:cs="Arial Unicode MS"/>
          <w:b/>
          <w:color w:val="231F20"/>
          <w:sz w:val="21"/>
          <w:szCs w:val="21"/>
        </w:rPr>
        <w:t>3</w:t>
      </w:r>
      <w:r>
        <w:rPr>
          <w:rFonts w:hint="eastAsia" w:ascii="Arial Unicode MS" w:hAnsi="Arial Unicode MS" w:eastAsia="Arial Unicode MS" w:cs="Arial Unicode MS"/>
          <w:b/>
          <w:color w:val="231F20"/>
          <w:sz w:val="21"/>
          <w:szCs w:val="21"/>
        </w:rPr>
        <w:t xml:space="preserve"> Peripheral Tfh cells were significantly increased in LC patients.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(A)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Representative dot plots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show the proportion of PD-1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high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ICOS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cells among CD185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Tfh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-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like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cells and CD185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CD8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T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cells in peripheral blood from a LC patient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. Values in the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gate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represent the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peripheral Tfh and Tch cell subset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. (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B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 Summarized data show the 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PD-1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high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ICOS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CD185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 cells and PD-1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high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ICOS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CD185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CD8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 cells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in the peripheral blood from HC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42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2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Non-HBV-LC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groups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23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).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Each dot represents one subject, and line represents mean value. ***</w:t>
      </w:r>
      <w:r>
        <w:rPr>
          <w:rFonts w:ascii="Arial Unicode MS" w:hAnsi="Arial Unicode MS" w:eastAsia="Arial Unicode MS" w:cs="Arial Unicode MS"/>
          <w:i/>
          <w:color w:val="231F20"/>
          <w:sz w:val="21"/>
          <w:szCs w:val="21"/>
        </w:rPr>
        <w:t>P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&lt; 0.001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.</w:t>
      </w:r>
    </w:p>
    <w:p>
      <w:pPr>
        <w:spacing w:before="240"/>
      </w:pPr>
      <w:bookmarkStart w:id="0" w:name="_GoBack"/>
      <w:bookmarkEnd w:id="0"/>
    </w:p>
    <w:p>
      <w:pPr>
        <w:spacing w:line="360" w:lineRule="auto"/>
        <w:jc w:val="both"/>
        <w:rPr>
          <w:rFonts w:ascii="Arial Unicode MS" w:hAnsi="Arial Unicode MS" w:eastAsia="Arial Unicode MS" w:cs="Arial Unicode MS"/>
          <w:color w:val="231F20"/>
          <w:sz w:val="21"/>
          <w:szCs w:val="21"/>
        </w:rPr>
      </w:pPr>
      <w:r>
        <w:rPr>
          <w:rFonts w:hint="eastAsia" w:ascii="Arial Unicode MS" w:hAnsi="Arial Unicode MS" w:eastAsia="宋体" w:cs="Arial Unicode MS"/>
          <w:b/>
          <w:sz w:val="21"/>
          <w:szCs w:val="21"/>
        </w:rPr>
        <w:t xml:space="preserve">Supplemental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 xml:space="preserve">Figure </w:t>
      </w:r>
      <w:r>
        <w:rPr>
          <w:rFonts w:hint="eastAsia" w:ascii="Arial Unicode MS" w:hAnsi="Arial Unicode MS" w:eastAsia="宋体" w:cs="Arial Unicode MS"/>
          <w:b/>
          <w:sz w:val="21"/>
          <w:szCs w:val="21"/>
        </w:rPr>
        <w:t>4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>T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f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>h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-like cell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 xml:space="preserve"> subset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s</w:t>
      </w:r>
      <w:r>
        <w:rPr>
          <w:rFonts w:ascii="Arial Unicode MS" w:hAnsi="Arial Unicode MS" w:eastAsia="Arial Unicode MS" w:cs="Arial Unicode MS"/>
          <w:b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b/>
          <w:sz w:val="21"/>
          <w:szCs w:val="21"/>
        </w:rPr>
        <w:t>were disturbed in both peripheral blood and spleen of patients with liver cirrhosis.</w:t>
      </w:r>
      <w:r>
        <w:rPr>
          <w:rFonts w:hint="eastAsia" w:ascii="Arial Unicode MS" w:hAnsi="Arial Unicode MS" w:eastAsia="Arial Unicode MS" w:cs="Arial Unicode MS"/>
          <w:sz w:val="21"/>
          <w:szCs w:val="21"/>
        </w:rPr>
        <w:t xml:space="preserve"> (A)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Representative dot plots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show the gating strategy of 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5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 cell subsets basing on CCR6 and CXCR3 expression in spleen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peripheral blood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. Values in the quadrants represent the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each subset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.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Within 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5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Tfh-like cells, 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6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3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T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f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h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17 cells, 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CCR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6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Tfh1/Tfh17cells, 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6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Tfh1 cells, 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6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3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–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Tfh2 cells were defined, respectively.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(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B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 Summarized data show the percentages of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</w:t>
      </w:r>
      <w:r>
        <w:rPr>
          <w:rFonts w:hint="eastAsia" w:ascii="Arial Unicode MS" w:hAnsi="Arial Unicode MS" w:eastAsia="宋体" w:cs="Arial Unicode MS"/>
          <w:color w:val="231F20"/>
          <w:sz w:val="21"/>
          <w:szCs w:val="21"/>
        </w:rPr>
        <w:t>XCR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5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CD4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  <w:vertAlign w:val="superscript"/>
        </w:rPr>
        <w:t>+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Tfh-like cells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in the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peripheral blood from HC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10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2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4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Non-HBV-LC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groups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12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)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and in the spleen from HC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22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2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7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), and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Non-HBV-LC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groups (n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=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>13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 xml:space="preserve">). 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Each dot represents one subject, and line represents mean value. </w:t>
      </w:r>
      <w:r>
        <w:rPr>
          <w:rFonts w:ascii="Arial Unicode MS" w:hAnsi="Arial Unicode MS" w:eastAsia="Arial Unicode MS" w:cs="Arial Unicode MS"/>
          <w:i/>
          <w:color w:val="231F20"/>
          <w:sz w:val="21"/>
          <w:szCs w:val="21"/>
        </w:rPr>
        <w:t>P</w:t>
      </w:r>
      <w:r>
        <w:rPr>
          <w:rFonts w:hint="eastAsia" w:ascii="Arial Unicode MS" w:hAnsi="Arial Unicode MS" w:eastAsia="Arial Unicode MS" w:cs="Arial Unicode MS"/>
          <w:color w:val="231F20"/>
          <w:sz w:val="21"/>
          <w:szCs w:val="21"/>
        </w:rPr>
        <w:t xml:space="preserve"> </w:t>
      </w:r>
      <w:r>
        <w:rPr>
          <w:rFonts w:ascii="Arial Unicode MS" w:hAnsi="Arial Unicode MS" w:eastAsia="Arial Unicode MS" w:cs="Arial Unicode MS"/>
          <w:color w:val="231F20"/>
          <w:sz w:val="21"/>
          <w:szCs w:val="21"/>
        </w:rPr>
        <w:t>values are shown.</w:t>
      </w:r>
    </w:p>
    <w:p>
      <w:pPr>
        <w:spacing w:before="240"/>
      </w:pPr>
    </w:p>
    <w:sectPr>
      <w:headerReference r:id="rId4" w:type="first"/>
      <w:footerReference r:id="rId5" w:type="default"/>
      <w:headerReference r:id="rId3" w:type="even"/>
      <w:footerReference r:id="rId6" w:type="even"/>
      <w:pgSz w:w="12240" w:h="15840"/>
      <w:pgMar w:top="1138" w:right="1181" w:bottom="1138" w:left="1282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S Mincho">
    <w:panose1 w:val="02020609040205080304"/>
    <w:charset w:val="4E"/>
    <w:family w:val="auto"/>
    <w:pitch w:val="default"/>
    <w:sig w:usb0="E00002FF" w:usb1="6AC7FDFB" w:usb2="00000012" w:usb3="00000000" w:csb0="4002009F" w:csb1="DFD70000"/>
  </w:font>
  <w:font w:name="Arial Unicode MS">
    <w:panose1 w:val="020B0604020202020204"/>
    <w:charset w:val="4E"/>
    <w:family w:val="auto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MS Gothic">
    <w:panose1 w:val="020B0609070205080204"/>
    <w:charset w:val="4E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b/>
        <w:sz w:val="2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6" o:spid="_x0000_s1026" o:spt="202" type="#_x0000_t202" style="position:absolute;left:0pt;margin-left:0pt;margin-top:0pt;height:31.15pt;width:118.8pt;mso-position-horizontal-relative:page;mso-position-vertical-relative:page;z-index:251646976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Fy56YYVAgAAJw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  <w:szCs w:val="24"/>
      </w:rPr>
    </w:pPr>
    <w:r>
      <w:rPr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right"/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34.15pt;margin-top:724.2pt;height:31.15pt;width:118.8pt;mso-position-horizontal-relative:page;mso-position-vertical-relative:page;z-index:251659264;mso-width-relative:page;mso-height-relative:page;" filled="f" stroked="f" coordsize="21600,21600" o:gfxdata="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TFdEItIAAAAEAQAADwAAAAAAAAABACAAAAA4AAAAZHJzL2Rvd25yZXYueG1sUEsBAhQAFAAAAAgA&#10;h07iQJJ3p+cVAgAAJQQAAA4AAAAAAAAAAQAgAAAAN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jc w:val="right"/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b/>
        <w:color w:val="A6A6A6" w:themeColor="background1" w:themeShade="A6"/>
        <w:lang w:val="en-GB" w:eastAsia="en-GB"/>
      </w:rPr>
      <w:drawing>
        <wp:inline distT="0" distB="0" distL="0" distR="0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1A"/>
    <w:multiLevelType w:val="multilevel"/>
    <w:tmpl w:val="1EC0601A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>
    <w:nsid w:val="225305B5"/>
    <w:multiLevelType w:val="multilevel"/>
    <w:tmpl w:val="225305B5"/>
    <w:lvl w:ilvl="0" w:tentative="0">
      <w:start w:val="1"/>
      <w:numFmt w:val="bullet"/>
      <w:pStyle w:val="3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nforcement="0"/>
  <w:defaultTabStop w:val="720"/>
  <w:evenAndOddHeaders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7DBC51CF"/>
    <w:rsid w:val="EFFB8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2" w:semiHidden="0" w:name="heading 1"/>
    <w:lsdException w:qFormat="1" w:unhideWhenUsed="0" w:uiPriority="2" w:semiHidden="0" w:name="heading 2"/>
    <w:lsdException w:qFormat="1" w:unhideWhenUsed="0" w:uiPriority="2" w:semiHidden="0" w:name="heading 3"/>
    <w:lsdException w:qFormat="1" w:unhideWhenUsed="0" w:uiPriority="2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qFormat="1" w:uiPriority="99" w:semiHidden="0" w:name="line number"/>
    <w:lsdException w:uiPriority="99" w:name="page number"/>
    <w:lsdException w:qFormat="1" w:uiPriority="99" w:semiHidden="0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3"/>
    <w:next w:val="1"/>
    <w:link w:val="31"/>
    <w:qFormat/>
    <w:uiPriority w:val="2"/>
    <w:pPr>
      <w:numPr>
        <w:ilvl w:val="0"/>
        <w:numId w:val="1"/>
      </w:numPr>
      <w:spacing w:before="240"/>
      <w:contextualSpacing w:val="0"/>
      <w:outlineLvl w:val="0"/>
    </w:pPr>
    <w:rPr>
      <w:b/>
    </w:rPr>
  </w:style>
  <w:style w:type="paragraph" w:styleId="4">
    <w:name w:val="heading 2"/>
    <w:basedOn w:val="2"/>
    <w:next w:val="1"/>
    <w:link w:val="32"/>
    <w:qFormat/>
    <w:uiPriority w:val="2"/>
    <w:pPr>
      <w:numPr>
        <w:ilvl w:val="1"/>
      </w:numPr>
      <w:spacing w:after="200"/>
      <w:outlineLvl w:val="1"/>
    </w:pPr>
  </w:style>
  <w:style w:type="paragraph" w:styleId="5">
    <w:name w:val="heading 3"/>
    <w:basedOn w:val="1"/>
    <w:next w:val="1"/>
    <w:link w:val="45"/>
    <w:qFormat/>
    <w:uiPriority w:val="2"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6">
    <w:name w:val="heading 4"/>
    <w:basedOn w:val="5"/>
    <w:next w:val="1"/>
    <w:link w:val="46"/>
    <w:qFormat/>
    <w:uiPriority w:val="2"/>
    <w:pPr>
      <w:numPr>
        <w:ilvl w:val="3"/>
      </w:numPr>
      <w:outlineLvl w:val="3"/>
    </w:pPr>
    <w:rPr>
      <w:iCs/>
    </w:rPr>
  </w:style>
  <w:style w:type="paragraph" w:styleId="7">
    <w:name w:val="heading 5"/>
    <w:basedOn w:val="6"/>
    <w:next w:val="1"/>
    <w:link w:val="47"/>
    <w:qFormat/>
    <w:uiPriority w:val="2"/>
    <w:pPr>
      <w:numPr>
        <w:ilvl w:val="4"/>
      </w:numPr>
      <w:outlineLvl w:val="4"/>
    </w:pPr>
  </w:style>
  <w:style w:type="character" w:default="1" w:styleId="20">
    <w:name w:val="Default Paragraph Font"/>
    <w:unhideWhenUsed/>
    <w:qFormat/>
    <w:uiPriority w:val="1"/>
  </w:style>
  <w:style w:type="table" w:default="1" w:styleId="2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ist Paragraph"/>
    <w:basedOn w:val="1"/>
    <w:qFormat/>
    <w:uiPriority w:val="3"/>
    <w:pPr>
      <w:numPr>
        <w:ilvl w:val="0"/>
        <w:numId w:val="2"/>
      </w:numPr>
      <w:contextualSpacing/>
    </w:pPr>
    <w:rPr>
      <w:rFonts w:eastAsia="Cambria" w:cs="Times New Roman"/>
      <w:szCs w:val="24"/>
    </w:rPr>
  </w:style>
  <w:style w:type="paragraph" w:styleId="8">
    <w:name w:val="annotation subject"/>
    <w:basedOn w:val="9"/>
    <w:next w:val="9"/>
    <w:link w:val="38"/>
    <w:unhideWhenUsed/>
    <w:qFormat/>
    <w:uiPriority w:val="99"/>
    <w:rPr>
      <w:b/>
      <w:bCs/>
    </w:rPr>
  </w:style>
  <w:style w:type="paragraph" w:styleId="9">
    <w:name w:val="annotation text"/>
    <w:basedOn w:val="1"/>
    <w:link w:val="37"/>
    <w:unhideWhenUsed/>
    <w:qFormat/>
    <w:uiPriority w:val="99"/>
    <w:rPr>
      <w:sz w:val="20"/>
      <w:szCs w:val="20"/>
    </w:rPr>
  </w:style>
  <w:style w:type="paragraph" w:styleId="10">
    <w:name w:val="caption"/>
    <w:basedOn w:val="1"/>
    <w:next w:val="11"/>
    <w:unhideWhenUsed/>
    <w:qFormat/>
    <w:uiPriority w:val="35"/>
    <w:pPr>
      <w:keepNext/>
    </w:pPr>
    <w:rPr>
      <w:rFonts w:cs="Times New Roman"/>
      <w:b/>
      <w:bCs/>
      <w:szCs w:val="24"/>
    </w:rPr>
  </w:style>
  <w:style w:type="paragraph" w:customStyle="1" w:styleId="11">
    <w:name w:val="No Spacing"/>
    <w:unhideWhenUsed/>
    <w:qFormat/>
    <w:uiPriority w:val="99"/>
    <w:pPr>
      <w:spacing w:after="0" w:line="240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12">
    <w:name w:val="endnote text"/>
    <w:basedOn w:val="1"/>
    <w:link w:val="39"/>
    <w:unhideWhenUsed/>
    <w:qFormat/>
    <w:uiPriority w:val="99"/>
    <w:pPr>
      <w:spacing w:after="0"/>
    </w:pPr>
    <w:rPr>
      <w:sz w:val="20"/>
      <w:szCs w:val="20"/>
    </w:rPr>
  </w:style>
  <w:style w:type="paragraph" w:styleId="13">
    <w:name w:val="Balloon Text"/>
    <w:basedOn w:val="1"/>
    <w:link w:val="35"/>
    <w:unhideWhenUsed/>
    <w:qFormat/>
    <w:uiPriority w:val="99"/>
    <w:pPr>
      <w:spacing w:after="0"/>
    </w:pPr>
    <w:rPr>
      <w:rFonts w:ascii="Tahoma" w:hAnsi="Tahoma" w:cs="Tahoma"/>
      <w:sz w:val="16"/>
      <w:szCs w:val="16"/>
    </w:rPr>
  </w:style>
  <w:style w:type="paragraph" w:styleId="14">
    <w:name w:val="footer"/>
    <w:basedOn w:val="1"/>
    <w:link w:val="40"/>
    <w:unhideWhenUsed/>
    <w:qFormat/>
    <w:uiPriority w:val="99"/>
    <w:pPr>
      <w:tabs>
        <w:tab w:val="center" w:pos="4844"/>
        <w:tab w:val="right" w:pos="9689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844"/>
        <w:tab w:val="right" w:pos="9689"/>
      </w:tabs>
    </w:pPr>
    <w:rPr>
      <w:b/>
    </w:rPr>
  </w:style>
  <w:style w:type="paragraph" w:styleId="16">
    <w:name w:val="Subtitle"/>
    <w:basedOn w:val="1"/>
    <w:next w:val="1"/>
    <w:link w:val="33"/>
    <w:unhideWhenUsed/>
    <w:qFormat/>
    <w:uiPriority w:val="99"/>
    <w:pPr>
      <w:spacing w:before="240"/>
    </w:pPr>
    <w:rPr>
      <w:rFonts w:cs="Times New Roman"/>
      <w:b/>
      <w:szCs w:val="24"/>
    </w:rPr>
  </w:style>
  <w:style w:type="paragraph" w:styleId="17">
    <w:name w:val="footnote text"/>
    <w:basedOn w:val="1"/>
    <w:link w:val="41"/>
    <w:unhideWhenUsed/>
    <w:qFormat/>
    <w:uiPriority w:val="99"/>
    <w:pPr>
      <w:spacing w:after="0"/>
    </w:pPr>
    <w:rPr>
      <w:sz w:val="20"/>
      <w:szCs w:val="20"/>
    </w:rPr>
  </w:style>
  <w:style w:type="paragraph" w:styleId="1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19">
    <w:name w:val="Title"/>
    <w:basedOn w:val="1"/>
    <w:next w:val="1"/>
    <w:link w:val="51"/>
    <w:qFormat/>
    <w:uiPriority w:val="0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styleId="21">
    <w:name w:val="Strong"/>
    <w:basedOn w:val="20"/>
    <w:qFormat/>
    <w:uiPriority w:val="22"/>
    <w:rPr>
      <w:rFonts w:ascii="Times New Roman" w:hAnsi="Times New Roman"/>
      <w:b/>
      <w:bCs/>
    </w:rPr>
  </w:style>
  <w:style w:type="character" w:styleId="22">
    <w:name w:val="endnote reference"/>
    <w:basedOn w:val="20"/>
    <w:unhideWhenUsed/>
    <w:qFormat/>
    <w:uiPriority w:val="99"/>
    <w:rPr>
      <w:vertAlign w:val="superscript"/>
    </w:rPr>
  </w:style>
  <w:style w:type="character" w:styleId="23">
    <w:name w:val="FollowedHyperlink"/>
    <w:basedOn w:val="20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Emphasis"/>
    <w:basedOn w:val="20"/>
    <w:qFormat/>
    <w:uiPriority w:val="20"/>
    <w:rPr>
      <w:rFonts w:ascii="Times New Roman" w:hAnsi="Times New Roman"/>
      <w:i/>
      <w:iCs/>
    </w:rPr>
  </w:style>
  <w:style w:type="character" w:styleId="25">
    <w:name w:val="line number"/>
    <w:basedOn w:val="20"/>
    <w:unhideWhenUsed/>
    <w:qFormat/>
    <w:uiPriority w:val="99"/>
  </w:style>
  <w:style w:type="character" w:styleId="26">
    <w:name w:val="Hyperlink"/>
    <w:basedOn w:val="20"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0"/>
    <w:unhideWhenUsed/>
    <w:qFormat/>
    <w:uiPriority w:val="99"/>
    <w:rPr>
      <w:sz w:val="16"/>
      <w:szCs w:val="16"/>
    </w:rPr>
  </w:style>
  <w:style w:type="character" w:styleId="28">
    <w:name w:val="footnote reference"/>
    <w:basedOn w:val="20"/>
    <w:unhideWhenUsed/>
    <w:qFormat/>
    <w:uiPriority w:val="99"/>
    <w:rPr>
      <w:vertAlign w:val="superscript"/>
    </w:rPr>
  </w:style>
  <w:style w:type="table" w:styleId="30">
    <w:name w:val="Table Grid"/>
    <w:basedOn w:val="29"/>
    <w:qFormat/>
    <w:uiPriority w:val="59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31">
    <w:name w:val="Heading 1 Char"/>
    <w:basedOn w:val="20"/>
    <w:link w:val="2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2">
    <w:name w:val="Heading 2 Char"/>
    <w:basedOn w:val="20"/>
    <w:link w:val="4"/>
    <w:qFormat/>
    <w:uiPriority w:val="2"/>
    <w:rPr>
      <w:rFonts w:ascii="Times New Roman" w:hAnsi="Times New Roman" w:eastAsia="Cambria" w:cs="Times New Roman"/>
      <w:b/>
      <w:sz w:val="24"/>
      <w:szCs w:val="24"/>
    </w:rPr>
  </w:style>
  <w:style w:type="character" w:customStyle="1" w:styleId="33">
    <w:name w:val="Subtitle Char"/>
    <w:basedOn w:val="20"/>
    <w:link w:val="16"/>
    <w:qFormat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34">
    <w:name w:val="Author List"/>
    <w:basedOn w:val="16"/>
    <w:next w:val="1"/>
    <w:qFormat/>
    <w:uiPriority w:val="1"/>
  </w:style>
  <w:style w:type="character" w:customStyle="1" w:styleId="35">
    <w:name w:val="Balloon Text Char"/>
    <w:basedOn w:val="20"/>
    <w:link w:val="1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36">
    <w:name w:val="Book Title"/>
    <w:basedOn w:val="20"/>
    <w:qFormat/>
    <w:uiPriority w:val="33"/>
    <w:rPr>
      <w:rFonts w:ascii="Times New Roman" w:hAnsi="Times New Roman"/>
      <w:b/>
      <w:bCs/>
      <w:i/>
      <w:iCs/>
      <w:spacing w:val="5"/>
    </w:rPr>
  </w:style>
  <w:style w:type="character" w:customStyle="1" w:styleId="37">
    <w:name w:val="Comment Text Char"/>
    <w:basedOn w:val="20"/>
    <w:link w:val="9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38">
    <w:name w:val="Comment Subject Char"/>
    <w:basedOn w:val="37"/>
    <w:link w:val="8"/>
    <w:semiHidden/>
    <w:qFormat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39">
    <w:name w:val="Endnote Text Char"/>
    <w:basedOn w:val="20"/>
    <w:link w:val="12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0">
    <w:name w:val="Footer Char"/>
    <w:basedOn w:val="20"/>
    <w:link w:val="14"/>
    <w:qFormat/>
    <w:uiPriority w:val="99"/>
    <w:rPr>
      <w:rFonts w:ascii="Times New Roman" w:hAnsi="Times New Roman"/>
      <w:sz w:val="24"/>
    </w:rPr>
  </w:style>
  <w:style w:type="character" w:customStyle="1" w:styleId="41">
    <w:name w:val="Footnote Text Char"/>
    <w:basedOn w:val="20"/>
    <w:link w:val="17"/>
    <w:semiHidden/>
    <w:qFormat/>
    <w:uiPriority w:val="99"/>
    <w:rPr>
      <w:rFonts w:ascii="Times New Roman" w:hAnsi="Times New Roman"/>
      <w:sz w:val="20"/>
      <w:szCs w:val="20"/>
    </w:rPr>
  </w:style>
  <w:style w:type="character" w:customStyle="1" w:styleId="42">
    <w:name w:val="Header Char"/>
    <w:basedOn w:val="20"/>
    <w:link w:val="15"/>
    <w:qFormat/>
    <w:uiPriority w:val="99"/>
    <w:rPr>
      <w:rFonts w:ascii="Times New Roman" w:hAnsi="Times New Roman"/>
      <w:b/>
      <w:sz w:val="24"/>
    </w:rPr>
  </w:style>
  <w:style w:type="character" w:customStyle="1" w:styleId="43">
    <w:name w:val="Intense Emphasis"/>
    <w:basedOn w:val="20"/>
    <w:unhideWhenUsed/>
    <w:qFormat/>
    <w:uiPriority w:val="21"/>
    <w:rPr>
      <w:rFonts w:ascii="Times New Roman" w:hAnsi="Times New Roman"/>
      <w:i/>
      <w:iCs/>
      <w:color w:val="auto"/>
    </w:rPr>
  </w:style>
  <w:style w:type="character" w:customStyle="1" w:styleId="44">
    <w:name w:val="Intense Reference"/>
    <w:basedOn w:val="20"/>
    <w:qFormat/>
    <w:uiPriority w:val="32"/>
    <w:rPr>
      <w:b/>
      <w:bCs/>
      <w:smallCaps/>
      <w:color w:val="auto"/>
      <w:spacing w:val="5"/>
    </w:rPr>
  </w:style>
  <w:style w:type="character" w:customStyle="1" w:styleId="45">
    <w:name w:val="Heading 3 Char"/>
    <w:basedOn w:val="20"/>
    <w:link w:val="5"/>
    <w:qFormat/>
    <w:uiPriority w:val="2"/>
    <w:rPr>
      <w:rFonts w:ascii="Times New Roman" w:hAnsi="Times New Roman" w:eastAsiaTheme="majorEastAsia" w:cstheme="majorBidi"/>
      <w:b/>
      <w:sz w:val="24"/>
      <w:szCs w:val="24"/>
    </w:rPr>
  </w:style>
  <w:style w:type="character" w:customStyle="1" w:styleId="46">
    <w:name w:val="Heading 4 Char"/>
    <w:basedOn w:val="20"/>
    <w:link w:val="6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character" w:customStyle="1" w:styleId="47">
    <w:name w:val="Heading 5 Char"/>
    <w:basedOn w:val="20"/>
    <w:link w:val="7"/>
    <w:qFormat/>
    <w:uiPriority w:val="2"/>
    <w:rPr>
      <w:rFonts w:ascii="Times New Roman" w:hAnsi="Times New Roman" w:eastAsiaTheme="majorEastAsia" w:cstheme="majorBidi"/>
      <w:b/>
      <w:iCs/>
      <w:sz w:val="24"/>
      <w:szCs w:val="24"/>
    </w:rPr>
  </w:style>
  <w:style w:type="paragraph" w:customStyle="1" w:styleId="48">
    <w:name w:val="Quote"/>
    <w:basedOn w:val="1"/>
    <w:next w:val="1"/>
    <w:link w:val="49"/>
    <w:qFormat/>
    <w:uiPriority w:val="29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9">
    <w:name w:val="Quote Char"/>
    <w:basedOn w:val="20"/>
    <w:link w:val="48"/>
    <w:qFormat/>
    <w:uiPriority w:val="29"/>
    <w:rPr>
      <w:rFonts w:ascii="Times New Roman" w:hAnsi="Times New Roman"/>
      <w:i/>
      <w:iCs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0">
    <w:name w:val="Subtle Emphasis"/>
    <w:basedOn w:val="20"/>
    <w:qFormat/>
    <w:uiPriority w:val="19"/>
    <w:rPr>
      <w:rFonts w:ascii="Times New Roman" w:hAnsi="Times New Roman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51">
    <w:name w:val="Title Char"/>
    <w:basedOn w:val="20"/>
    <w:link w:val="19"/>
    <w:qFormat/>
    <w:uiPriority w:val="0"/>
    <w:rPr>
      <w:rFonts w:ascii="Times New Roman" w:hAnsi="Times New Roman" w:cs="Times New Roman"/>
      <w:b/>
      <w:sz w:val="32"/>
      <w:szCs w:val="32"/>
    </w:rPr>
  </w:style>
  <w:style w:type="paragraph" w:customStyle="1" w:styleId="52">
    <w:name w:val="Supplementary Material"/>
    <w:basedOn w:val="19"/>
    <w:next w:val="19"/>
    <w:qFormat/>
    <w:uiPriority w:val="0"/>
    <w:pPr>
      <w:spacing w:after="120"/>
    </w:pPr>
    <w:rPr>
      <w:i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rzsy7/Documents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Pages>1</Pages>
  <Words>247</Words>
  <Characters>1410</Characters>
  <Lines>11</Lines>
  <Paragraphs>3</Paragraphs>
  <ScaleCrop>false</ScaleCrop>
  <LinksUpToDate>false</LinksUpToDate>
  <CharactersWithSpaces>1654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2018-11-24T00:58:00Z</dcterms:created>
  <dc:creator>Frontiers Media SA</dc:creator>
  <cp:lastModifiedBy>jrzsy7</cp:lastModifiedBy>
  <cp:lastPrinted>2013-10-04T04:51:00Z</cp:lastPrinted>
  <dcterms:modified xsi:type="dcterms:W3CDTF">2019-07-19T07:27:08Z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