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4C0784" w:rsidRDefault="00654E8F" w:rsidP="0001436A">
      <w:pPr>
        <w:pStyle w:val="SupplementaryMaterial"/>
        <w:rPr>
          <w:b w:val="0"/>
        </w:rPr>
      </w:pPr>
      <w:r w:rsidRPr="004C0784">
        <w:t>Supplementary Material</w:t>
      </w:r>
    </w:p>
    <w:p w14:paraId="01EEBFB9" w14:textId="77777777" w:rsidR="00BC3C2E" w:rsidRPr="004C0784" w:rsidRDefault="00BC3C2E" w:rsidP="00BC3C2E">
      <w:pPr>
        <w:pStyle w:val="Title"/>
      </w:pPr>
      <w:r w:rsidRPr="004C0784">
        <w:t xml:space="preserve">Transcranial recording of electrophysiological neural activity in the rodent brain </w:t>
      </w:r>
      <w:r w:rsidRPr="004C0784">
        <w:rPr>
          <w:i/>
        </w:rPr>
        <w:t>in vivo</w:t>
      </w:r>
      <w:r w:rsidRPr="004C0784">
        <w:t xml:space="preserve"> using functional photoacoustic imaging of near-infrared voltage-sensitive dye</w:t>
      </w:r>
    </w:p>
    <w:p w14:paraId="0A358B67" w14:textId="77777777" w:rsidR="00BC4506" w:rsidRPr="004C0784" w:rsidRDefault="00BC4506" w:rsidP="00BC4506">
      <w:pPr>
        <w:pStyle w:val="AuthorList"/>
      </w:pPr>
      <w:r w:rsidRPr="004C0784">
        <w:t>Jeeun Kang</w:t>
      </w:r>
      <w:r w:rsidRPr="004C0784">
        <w:rPr>
          <w:vertAlign w:val="superscript"/>
        </w:rPr>
        <w:t>1,2</w:t>
      </w:r>
      <w:r w:rsidRPr="004C0784">
        <w:t>, Haichong K. Zhang</w:t>
      </w:r>
      <w:r w:rsidRPr="004C0784">
        <w:rPr>
          <w:vertAlign w:val="superscript"/>
        </w:rPr>
        <w:t>1,2</w:t>
      </w:r>
      <w:r w:rsidRPr="004C0784">
        <w:t>, Shilpa D. Kadam</w:t>
      </w:r>
      <w:r w:rsidRPr="004C0784">
        <w:rPr>
          <w:vertAlign w:val="superscript"/>
        </w:rPr>
        <w:t>3</w:t>
      </w:r>
      <w:r w:rsidRPr="004C0784">
        <w:t>, Julie Fedorko</w:t>
      </w:r>
      <w:r w:rsidRPr="004C0784">
        <w:rPr>
          <w:vertAlign w:val="superscript"/>
        </w:rPr>
        <w:t>2</w:t>
      </w:r>
      <w:r w:rsidRPr="004C0784">
        <w:t>, Heather Valentine</w:t>
      </w:r>
      <w:r w:rsidRPr="004C0784">
        <w:rPr>
          <w:vertAlign w:val="superscript"/>
        </w:rPr>
        <w:t>2</w:t>
      </w:r>
      <w:r w:rsidRPr="004C0784">
        <w:t>, Adarsha P. Malla</w:t>
      </w:r>
      <w:r w:rsidRPr="004C0784">
        <w:rPr>
          <w:vertAlign w:val="superscript"/>
        </w:rPr>
        <w:t>4</w:t>
      </w:r>
      <w:r w:rsidRPr="004C0784">
        <w:t>, Ping Yan</w:t>
      </w:r>
      <w:r w:rsidRPr="004C0784">
        <w:rPr>
          <w:vertAlign w:val="superscript"/>
        </w:rPr>
        <w:t>5</w:t>
      </w:r>
      <w:r w:rsidRPr="004C0784">
        <w:t>, Maged M. Harraz</w:t>
      </w:r>
      <w:r w:rsidRPr="004C0784">
        <w:rPr>
          <w:vertAlign w:val="superscript"/>
        </w:rPr>
        <w:t>4</w:t>
      </w:r>
      <w:r w:rsidRPr="004C0784">
        <w:t>, Jin U. Kang</w:t>
      </w:r>
      <w:r w:rsidRPr="004C0784">
        <w:rPr>
          <w:vertAlign w:val="superscript"/>
        </w:rPr>
        <w:t>1</w:t>
      </w:r>
      <w:r w:rsidRPr="004C0784">
        <w:t>, Arman Rahmim</w:t>
      </w:r>
      <w:r w:rsidRPr="004C0784">
        <w:rPr>
          <w:vertAlign w:val="superscript"/>
        </w:rPr>
        <w:t>2</w:t>
      </w:r>
      <w:r w:rsidRPr="004C0784">
        <w:t>, Albert Gjedde</w:t>
      </w:r>
      <w:r w:rsidRPr="004C0784">
        <w:rPr>
          <w:vertAlign w:val="superscript"/>
        </w:rPr>
        <w:t>2,6</w:t>
      </w:r>
      <w:r w:rsidRPr="004C0784">
        <w:t>, Leslie M. Loew</w:t>
      </w:r>
      <w:r w:rsidRPr="004C0784">
        <w:rPr>
          <w:vertAlign w:val="superscript"/>
        </w:rPr>
        <w:t>5</w:t>
      </w:r>
      <w:r w:rsidRPr="004C0784">
        <w:t>, Dean F. Wong</w:t>
      </w:r>
      <w:r w:rsidRPr="004C0784">
        <w:rPr>
          <w:vertAlign w:val="superscript"/>
        </w:rPr>
        <w:t>2,4,6,7,8</w:t>
      </w:r>
      <w:r w:rsidRPr="004C0784">
        <w:t>, Emad M. Boctor</w:t>
      </w:r>
      <w:r w:rsidRPr="004C0784">
        <w:rPr>
          <w:vertAlign w:val="superscript"/>
        </w:rPr>
        <w:t>1,2 *</w:t>
      </w:r>
    </w:p>
    <w:p w14:paraId="0C8DED4F" w14:textId="282EA28B" w:rsidR="002868E2" w:rsidRPr="004C0784" w:rsidRDefault="002868E2" w:rsidP="00994A3D">
      <w:pPr>
        <w:spacing w:before="240" w:after="0"/>
        <w:rPr>
          <w:rFonts w:cs="Times New Roman"/>
        </w:rPr>
      </w:pPr>
      <w:r w:rsidRPr="004C0784">
        <w:rPr>
          <w:rFonts w:cs="Times New Roman"/>
          <w:b/>
        </w:rPr>
        <w:t xml:space="preserve">* Correspondence: </w:t>
      </w:r>
      <w:r w:rsidR="00BC4506" w:rsidRPr="004C0784">
        <w:rPr>
          <w:rFonts w:cs="Times New Roman"/>
        </w:rPr>
        <w:t>Dr. Emad M. Boctor</w:t>
      </w:r>
      <w:r w:rsidR="00994A3D" w:rsidRPr="004C0784">
        <w:rPr>
          <w:rFonts w:cs="Times New Roman"/>
        </w:rPr>
        <w:t xml:space="preserve">: </w:t>
      </w:r>
      <w:hyperlink r:id="rId8" w:history="1">
        <w:r w:rsidR="00A80033" w:rsidRPr="004C0784">
          <w:rPr>
            <w:rStyle w:val="Hyperlink"/>
            <w:rFonts w:cs="Times New Roman"/>
            <w:szCs w:val="24"/>
          </w:rPr>
          <w:t>eboctor1@jhmi.edu</w:t>
        </w:r>
      </w:hyperlink>
    </w:p>
    <w:p w14:paraId="7154D355" w14:textId="57181444" w:rsidR="002E7B86" w:rsidRPr="004C0784" w:rsidRDefault="002E7B86" w:rsidP="00076A15">
      <w:pPr>
        <w:pStyle w:val="Heading1"/>
      </w:pPr>
      <w:r w:rsidRPr="004C0784">
        <w:t xml:space="preserve">Characterization of </w:t>
      </w:r>
      <w:r w:rsidR="00B21763" w:rsidRPr="004C0784">
        <w:rPr>
          <w:noProof/>
        </w:rPr>
        <w:t>fPA</w:t>
      </w:r>
      <w:r w:rsidR="00B21763" w:rsidRPr="004C0784">
        <w:t xml:space="preserve"> </w:t>
      </w:r>
      <w:r w:rsidRPr="004C0784">
        <w:t>imaging performance.</w:t>
      </w:r>
    </w:p>
    <w:p w14:paraId="1D948097" w14:textId="7C7B431A" w:rsidR="00236B1D" w:rsidRPr="004C0784" w:rsidRDefault="002E7B86" w:rsidP="00D10493">
      <w:pPr>
        <w:rPr>
          <w:rFonts w:cs="Times New Roman"/>
          <w:color w:val="000000" w:themeColor="text1"/>
          <w:szCs w:val="24"/>
          <w:lang w:eastAsia="ko-KR"/>
        </w:rPr>
      </w:pPr>
      <w:r w:rsidRPr="004C0784">
        <w:rPr>
          <w:rFonts w:eastAsia="Calibri" w:cs="Times New Roman"/>
          <w:szCs w:val="24"/>
        </w:rPr>
        <w:t xml:space="preserve">The performance of the PA imaging system </w:t>
      </w:r>
      <w:r w:rsidRPr="004C0784">
        <w:rPr>
          <w:rFonts w:eastAsia="Calibri" w:cs="Times New Roman"/>
          <w:noProof/>
          <w:szCs w:val="24"/>
        </w:rPr>
        <w:t>was evaluated</w:t>
      </w:r>
      <w:r w:rsidRPr="004C0784">
        <w:rPr>
          <w:rFonts w:eastAsia="Calibri" w:cs="Times New Roman"/>
          <w:szCs w:val="24"/>
        </w:rPr>
        <w:t>. The wire target with 150</w:t>
      </w:r>
      <w:r w:rsidRPr="004C0784">
        <w:rPr>
          <w:rFonts w:eastAsia="Times New Roman" w:cs="Times New Roman"/>
          <w:szCs w:val="24"/>
          <w:shd w:val="clear" w:color="auto" w:fill="FFFFFF"/>
        </w:rPr>
        <w:t>-</w:t>
      </w:r>
      <w:r w:rsidRPr="004C0784">
        <w:rPr>
          <w:rFonts w:eastAsia="Times New Roman" w:cs="Times New Roman"/>
          <w:szCs w:val="24"/>
          <w:shd w:val="clear" w:color="auto" w:fill="FFFFFF"/>
        </w:rPr>
        <w:sym w:font="Symbol" w:char="F06D"/>
      </w:r>
      <w:r w:rsidRPr="004C0784">
        <w:rPr>
          <w:rFonts w:eastAsia="Times New Roman" w:cs="Times New Roman"/>
          <w:szCs w:val="24"/>
          <w:shd w:val="clear" w:color="auto" w:fill="FFFFFF"/>
        </w:rPr>
        <w:t xml:space="preserve">m diameter </w:t>
      </w:r>
      <w:r w:rsidRPr="004C0784">
        <w:rPr>
          <w:rFonts w:eastAsia="Times New Roman" w:cs="Times New Roman"/>
          <w:noProof/>
          <w:szCs w:val="24"/>
          <w:shd w:val="clear" w:color="auto" w:fill="FFFFFF"/>
        </w:rPr>
        <w:t>was placed</w:t>
      </w:r>
      <w:r w:rsidRPr="004C0784">
        <w:rPr>
          <w:rFonts w:eastAsia="Times New Roman" w:cs="Times New Roman"/>
          <w:szCs w:val="24"/>
          <w:shd w:val="clear" w:color="auto" w:fill="FFFFFF"/>
        </w:rPr>
        <w:t xml:space="preserve"> in the water tank, and the PA data </w:t>
      </w:r>
      <w:r w:rsidRPr="004C0784">
        <w:rPr>
          <w:rFonts w:eastAsia="Times New Roman" w:cs="Times New Roman"/>
          <w:noProof/>
          <w:szCs w:val="24"/>
          <w:shd w:val="clear" w:color="auto" w:fill="FFFFFF"/>
        </w:rPr>
        <w:t>were obtained</w:t>
      </w:r>
      <w:r w:rsidRPr="004C0784">
        <w:rPr>
          <w:rFonts w:eastAsia="Times New Roman" w:cs="Times New Roman"/>
          <w:szCs w:val="24"/>
          <w:shd w:val="clear" w:color="auto" w:fill="FFFFFF"/>
        </w:rPr>
        <w:t xml:space="preserve"> at 20-, 25-, and 30-mm distance which </w:t>
      </w:r>
      <w:r w:rsidRPr="004C0784">
        <w:rPr>
          <w:rFonts w:eastAsia="Times New Roman" w:cs="Times New Roman"/>
          <w:noProof/>
          <w:szCs w:val="24"/>
          <w:shd w:val="clear" w:color="auto" w:fill="FFFFFF"/>
        </w:rPr>
        <w:t>are</w:t>
      </w:r>
      <w:r w:rsidRPr="004C0784">
        <w:rPr>
          <w:rFonts w:eastAsia="Times New Roman" w:cs="Times New Roman"/>
          <w:szCs w:val="24"/>
          <w:shd w:val="clear" w:color="auto" w:fill="FFFFFF"/>
        </w:rPr>
        <w:t xml:space="preserve"> in the depth-of-interest for our lipid vesicle and </w:t>
      </w:r>
      <w:r w:rsidRPr="004C0784">
        <w:rPr>
          <w:rFonts w:eastAsia="Times New Roman" w:cs="Times New Roman"/>
          <w:i/>
          <w:szCs w:val="24"/>
          <w:shd w:val="clear" w:color="auto" w:fill="FFFFFF"/>
        </w:rPr>
        <w:t>in vivo</w:t>
      </w:r>
      <w:r w:rsidRPr="004C0784">
        <w:rPr>
          <w:rFonts w:eastAsia="Times New Roman" w:cs="Times New Roman"/>
          <w:szCs w:val="24"/>
          <w:shd w:val="clear" w:color="auto" w:fill="FFFFFF"/>
        </w:rPr>
        <w:t xml:space="preserve"> experiments. </w:t>
      </w:r>
      <w:r w:rsidR="00304812" w:rsidRPr="004C0784">
        <w:rPr>
          <w:rFonts w:cs="Times New Roman"/>
          <w:szCs w:val="24"/>
          <w:lang w:eastAsia="ko-KR"/>
        </w:rPr>
        <w:t xml:space="preserve">The PA image sequence </w:t>
      </w:r>
      <w:r w:rsidR="00304812" w:rsidRPr="004C0784">
        <w:rPr>
          <w:rFonts w:cs="Times New Roman"/>
          <w:noProof/>
          <w:szCs w:val="24"/>
          <w:lang w:eastAsia="ko-KR"/>
        </w:rPr>
        <w:t>was reconstructed</w:t>
      </w:r>
      <w:r w:rsidR="00304812" w:rsidRPr="004C0784">
        <w:rPr>
          <w:rFonts w:cs="Times New Roman"/>
          <w:szCs w:val="24"/>
          <w:lang w:eastAsia="ko-KR"/>
        </w:rPr>
        <w:t xml:space="preserve"> by using </w:t>
      </w:r>
      <w:r w:rsidR="00304812" w:rsidRPr="004C0784">
        <w:rPr>
          <w:rFonts w:cs="Times New Roman"/>
          <w:noProof/>
          <w:szCs w:val="24"/>
          <w:lang w:eastAsia="ko-KR"/>
        </w:rPr>
        <w:t>a delay-and-sum</w:t>
      </w:r>
      <w:r w:rsidR="00304812" w:rsidRPr="004C0784">
        <w:rPr>
          <w:rFonts w:cs="Times New Roman"/>
          <w:szCs w:val="24"/>
          <w:lang w:eastAsia="ko-KR"/>
        </w:rPr>
        <w:t xml:space="preserve"> beamforming, and </w:t>
      </w:r>
      <w:r w:rsidR="00304812" w:rsidRPr="004C0784">
        <w:rPr>
          <w:rFonts w:cs="Times New Roman"/>
          <w:noProof/>
          <w:szCs w:val="24"/>
          <w:lang w:eastAsia="ko-KR"/>
        </w:rPr>
        <w:t>envelope</w:t>
      </w:r>
      <w:r w:rsidR="00304812" w:rsidRPr="004C0784">
        <w:rPr>
          <w:rFonts w:cs="Times New Roman"/>
          <w:szCs w:val="24"/>
          <w:lang w:eastAsia="ko-KR"/>
        </w:rPr>
        <w:t xml:space="preserve"> </w:t>
      </w:r>
      <w:r w:rsidR="00304812" w:rsidRPr="004C0784">
        <w:rPr>
          <w:rFonts w:cs="Times New Roman"/>
          <w:noProof/>
          <w:szCs w:val="24"/>
          <w:lang w:eastAsia="ko-KR"/>
        </w:rPr>
        <w:t>was detected</w:t>
      </w:r>
      <w:r w:rsidR="00304812" w:rsidRPr="004C0784">
        <w:rPr>
          <w:rFonts w:cs="Times New Roman"/>
          <w:szCs w:val="24"/>
          <w:lang w:eastAsia="ko-KR"/>
        </w:rPr>
        <w:t xml:space="preserve"> for the bandwidth 1 - 5MHz.</w:t>
      </w:r>
      <w:r w:rsidR="00304812" w:rsidRPr="004C0784">
        <w:rPr>
          <w:rFonts w:cs="Times New Roman"/>
          <w:color w:val="000000" w:themeColor="text1"/>
          <w:szCs w:val="24"/>
          <w:lang w:eastAsia="ko-KR"/>
        </w:rPr>
        <w:t xml:space="preserve"> </w:t>
      </w:r>
    </w:p>
    <w:p w14:paraId="7376410E" w14:textId="77777777" w:rsidR="00236B1D" w:rsidRPr="004C0784" w:rsidRDefault="00236B1D" w:rsidP="00236B1D">
      <w:pPr>
        <w:pStyle w:val="ExpressBodySubsequentParagraph"/>
        <w:ind w:firstLine="0"/>
        <w:jc w:val="center"/>
        <w:rPr>
          <w:rFonts w:ascii="Arial" w:hAnsi="Arial" w:cs="Arial"/>
          <w:lang w:eastAsia="ko-KR"/>
        </w:rPr>
      </w:pPr>
      <w:r w:rsidRPr="004C0784">
        <w:rPr>
          <w:rFonts w:ascii="Arial" w:hAnsi="Arial" w:cs="Arial"/>
          <w:noProof/>
          <w:lang w:eastAsia="ko-KR"/>
        </w:rPr>
        <w:drawing>
          <wp:inline distT="0" distB="0" distL="0" distR="0" wp14:anchorId="2308DC15" wp14:editId="25EFD01F">
            <wp:extent cx="5486400" cy="3044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044190"/>
                    </a:xfrm>
                    <a:prstGeom prst="rect">
                      <a:avLst/>
                    </a:prstGeom>
                    <a:noFill/>
                    <a:ln>
                      <a:noFill/>
                    </a:ln>
                  </pic:spPr>
                </pic:pic>
              </a:graphicData>
            </a:graphic>
          </wp:inline>
        </w:drawing>
      </w:r>
    </w:p>
    <w:p w14:paraId="1AAABC5C" w14:textId="7E6530F2" w:rsidR="00236B1D" w:rsidRPr="004C0784" w:rsidRDefault="00236B1D" w:rsidP="00236B1D">
      <w:pPr>
        <w:rPr>
          <w:rFonts w:cs="Times New Roman"/>
          <w:sz w:val="20"/>
        </w:rPr>
      </w:pPr>
      <w:r w:rsidRPr="004C0784">
        <w:rPr>
          <w:rFonts w:cs="Times New Roman"/>
          <w:sz w:val="20"/>
        </w:rPr>
        <w:t>Fig. S1. PA imaging characterization</w:t>
      </w:r>
      <w:r w:rsidR="00773A6D" w:rsidRPr="004C0784">
        <w:rPr>
          <w:rFonts w:cs="Times New Roman"/>
          <w:sz w:val="20"/>
        </w:rPr>
        <w:t>.</w:t>
      </w:r>
      <w:r w:rsidRPr="004C0784">
        <w:rPr>
          <w:rFonts w:cs="Times New Roman"/>
          <w:sz w:val="20"/>
        </w:rPr>
        <w:t xml:space="preserve"> (a) spatial full-width-half-maximum (FWHM) beam profile in axial and lateral directions at various depth-of-interest (i.e., 20, 25, and 30 mm). (b) </w:t>
      </w:r>
      <w:r w:rsidRPr="004C0784">
        <w:rPr>
          <w:rFonts w:cs="Times New Roman"/>
          <w:noProof/>
          <w:sz w:val="20"/>
        </w:rPr>
        <w:t>Fractional</w:t>
      </w:r>
      <w:r w:rsidRPr="004C0784">
        <w:rPr>
          <w:rFonts w:cs="Times New Roman"/>
          <w:sz w:val="20"/>
        </w:rPr>
        <w:t xml:space="preserve"> change in energy fluctuation with </w:t>
      </w:r>
      <w:r w:rsidRPr="004C0784">
        <w:rPr>
          <w:rFonts w:cs="Times New Roman"/>
          <w:noProof/>
          <w:sz w:val="20"/>
        </w:rPr>
        <w:t>various</w:t>
      </w:r>
      <w:r w:rsidRPr="004C0784">
        <w:rPr>
          <w:rFonts w:cs="Times New Roman"/>
          <w:sz w:val="20"/>
        </w:rPr>
        <w:t xml:space="preserve"> number of frame averaging (i.e., 1, 5, 10, 20, 40 frames). (c) Long-term comparison in laser energy fluctuation between 0-2 min to 8-10 min time ranges. (d) Normalized </w:t>
      </w:r>
      <w:r w:rsidRPr="004C0784">
        <w:rPr>
          <w:rFonts w:cs="Times New Roman"/>
          <w:noProof/>
          <w:sz w:val="20"/>
        </w:rPr>
        <w:t>PA</w:t>
      </w:r>
      <w:r w:rsidRPr="004C0784">
        <w:rPr>
          <w:rFonts w:cs="Times New Roman"/>
          <w:sz w:val="20"/>
        </w:rPr>
        <w:t xml:space="preserve"> intensity for 8 min. PA intensity averaged for 1-2 min was used as a reference intensity. White dotted rectangular in the PA image of seizure control rat indicates the photo-bleaching ROIs.</w:t>
      </w:r>
    </w:p>
    <w:p w14:paraId="4B57520A" w14:textId="505CB390" w:rsidR="009201B9" w:rsidRPr="004C0784" w:rsidRDefault="00B15D4C" w:rsidP="00334022">
      <w:pPr>
        <w:rPr>
          <w:color w:val="000000" w:themeColor="text1"/>
          <w:szCs w:val="24"/>
          <w:shd w:val="clear" w:color="auto" w:fill="FFFFFF"/>
        </w:rPr>
      </w:pPr>
      <w:r w:rsidRPr="004C0784">
        <w:lastRenderedPageBreak/>
        <w:t xml:space="preserve">The center frequency and fractional bandwidth of the ultrasound linear array transducer are 6.88 MHz and 78.25% at -6dB level, covering the imaging bandwidth used in this study. Moreover, bandwidth below -6dB level would still be detectable.    </w:t>
      </w:r>
      <w:r w:rsidRPr="004C0784">
        <w:rPr>
          <w:color w:val="000000" w:themeColor="text1"/>
          <w:shd w:val="clear" w:color="auto" w:fill="FFFFFF"/>
        </w:rPr>
        <w:t xml:space="preserve">The designated imaging bandwidth is essential to have (1) deep imaging sensitivity by alleviating acoustic attenuation in skull and scalp layers and (2) better sensitivity for the PA signal bandwidth generated from tissue-scale VSD redistribution mechanism, rather than from blood contents in </w:t>
      </w:r>
      <w:r w:rsidRPr="004C0784">
        <w:rPr>
          <w:noProof/>
          <w:color w:val="000000" w:themeColor="text1"/>
          <w:shd w:val="clear" w:color="auto" w:fill="FFFFFF"/>
        </w:rPr>
        <w:t>neurovasculatures</w:t>
      </w:r>
      <w:r w:rsidRPr="004C0784">
        <w:rPr>
          <w:color w:val="000000" w:themeColor="text1"/>
          <w:shd w:val="clear" w:color="auto" w:fill="FFFFFF"/>
        </w:rPr>
        <w:t xml:space="preserve"> with diameter from 10-</w:t>
      </w:r>
      <w:r w:rsidRPr="004C0784">
        <w:rPr>
          <w:color w:val="000000" w:themeColor="text1"/>
          <w:shd w:val="clear" w:color="auto" w:fill="FFFFFF"/>
        </w:rPr>
        <w:sym w:font="Symbol" w:char="F06D"/>
      </w:r>
      <w:r w:rsidRPr="004C0784">
        <w:rPr>
          <w:color w:val="000000" w:themeColor="text1"/>
          <w:shd w:val="clear" w:color="auto" w:fill="FFFFFF"/>
        </w:rPr>
        <w:t>m to 200-</w:t>
      </w:r>
      <w:r w:rsidRPr="004C0784">
        <w:rPr>
          <w:color w:val="000000" w:themeColor="text1"/>
          <w:shd w:val="clear" w:color="auto" w:fill="FFFFFF"/>
        </w:rPr>
        <w:sym w:font="Symbol" w:char="F06D"/>
      </w:r>
      <w:r w:rsidRPr="004C0784">
        <w:rPr>
          <w:noProof/>
          <w:color w:val="000000" w:themeColor="text1"/>
          <w:shd w:val="clear" w:color="auto" w:fill="FFFFFF"/>
        </w:rPr>
        <w:t>m in</w:t>
      </w:r>
      <w:r w:rsidRPr="004C0784">
        <w:rPr>
          <w:color w:val="000000" w:themeColor="text1"/>
          <w:shd w:val="clear" w:color="auto" w:fill="FFFFFF"/>
        </w:rPr>
        <w:t xml:space="preserve"> rat brain (Zhang, et al., 2015). It </w:t>
      </w:r>
      <w:r w:rsidRPr="004C0784">
        <w:rPr>
          <w:noProof/>
          <w:color w:val="000000" w:themeColor="text1"/>
          <w:shd w:val="clear" w:color="auto" w:fill="FFFFFF"/>
        </w:rPr>
        <w:t>is well known</w:t>
      </w:r>
      <w:r w:rsidRPr="004C0784">
        <w:rPr>
          <w:color w:val="000000" w:themeColor="text1"/>
          <w:shd w:val="clear" w:color="auto" w:fill="FFFFFF"/>
        </w:rPr>
        <w:t xml:space="preserve"> that PA signal bandwidth would be inversely proportional to absorber size when thermal/stress confinements are met (Sun and Gerstman, 1999). Our imaging bandwidth extended from 1MHz to 5Hz is optimal for sphere targets from 1-mm to 200-</w:t>
      </w:r>
      <w:r w:rsidRPr="004C0784">
        <w:rPr>
          <w:color w:val="000000" w:themeColor="text1"/>
          <w:shd w:val="clear" w:color="auto" w:fill="FFFFFF"/>
        </w:rPr>
        <w:sym w:font="Symbol" w:char="F06D"/>
      </w:r>
      <w:r w:rsidRPr="004C0784">
        <w:rPr>
          <w:color w:val="000000" w:themeColor="text1"/>
          <w:shd w:val="clear" w:color="auto" w:fill="FFFFFF"/>
        </w:rPr>
        <w:t>m radii (</w:t>
      </w:r>
      <w:r w:rsidRPr="004C0784">
        <w:rPr>
          <w:noProof/>
          <w:color w:val="000000" w:themeColor="text1"/>
          <w:shd w:val="clear" w:color="auto" w:fill="FFFFFF"/>
        </w:rPr>
        <w:t>Kumavor,</w:t>
      </w:r>
      <w:r w:rsidRPr="004C0784">
        <w:rPr>
          <w:color w:val="000000" w:themeColor="text1"/>
          <w:shd w:val="clear" w:color="auto" w:fill="FFFFFF"/>
        </w:rPr>
        <w:t xml:space="preserve"> et al., 2011), minimizing dominant signal from microvasculatures at the higher frequency range, i.e., &gt; 10MHz. </w:t>
      </w:r>
      <w:r w:rsidR="002E7B86" w:rsidRPr="004C0784">
        <w:rPr>
          <w:rFonts w:eastAsia="Times New Roman" w:cs="Times New Roman"/>
          <w:szCs w:val="24"/>
          <w:shd w:val="clear" w:color="auto" w:fill="FFFFFF"/>
        </w:rPr>
        <w:t>The data recording was also extended for 10 min to validate the expe</w:t>
      </w:r>
      <w:bookmarkStart w:id="0" w:name="_GoBack"/>
      <w:bookmarkEnd w:id="0"/>
      <w:r w:rsidR="002E7B86" w:rsidRPr="004C0784">
        <w:rPr>
          <w:rFonts w:eastAsia="Times New Roman" w:cs="Times New Roman"/>
          <w:szCs w:val="24"/>
          <w:shd w:val="clear" w:color="auto" w:fill="FFFFFF"/>
        </w:rPr>
        <w:t xml:space="preserve">ctable range of pulse-to-pulse laser energy fluctuation. </w:t>
      </w:r>
    </w:p>
    <w:p w14:paraId="5E3C62CE" w14:textId="7D18352A" w:rsidR="002E7B86" w:rsidRPr="004C0784" w:rsidRDefault="002E7B86" w:rsidP="009201B9">
      <w:pPr>
        <w:ind w:firstLine="288"/>
        <w:rPr>
          <w:rFonts w:cs="Times New Roman"/>
          <w:szCs w:val="24"/>
          <w:lang w:eastAsia="ko-KR"/>
        </w:rPr>
      </w:pPr>
      <w:r w:rsidRPr="004C0784">
        <w:rPr>
          <w:rFonts w:eastAsia="Calibri" w:cs="Times New Roman"/>
          <w:szCs w:val="24"/>
        </w:rPr>
        <w:t xml:space="preserve">Fig. </w:t>
      </w:r>
      <w:r w:rsidR="00F52AE4" w:rsidRPr="004C0784">
        <w:rPr>
          <w:rFonts w:eastAsia="Calibri" w:cs="Times New Roman"/>
          <w:szCs w:val="24"/>
        </w:rPr>
        <w:t>S</w:t>
      </w:r>
      <w:r w:rsidRPr="004C0784">
        <w:rPr>
          <w:rFonts w:eastAsia="Calibri" w:cs="Times New Roman"/>
          <w:szCs w:val="24"/>
        </w:rPr>
        <w:t xml:space="preserve">1a presents the full-width-half-maximum (FWHM) measurements were 473.0 µm, 477.8 µm, and 482.6 µm (479.5 ± 2.7 µm </w:t>
      </w:r>
      <w:r w:rsidRPr="004C0784">
        <w:rPr>
          <w:rFonts w:eastAsia="Calibri" w:cs="Times New Roman"/>
          <w:noProof/>
          <w:szCs w:val="24"/>
        </w:rPr>
        <w:t>in</w:t>
      </w:r>
      <w:r w:rsidRPr="004C0784">
        <w:rPr>
          <w:rFonts w:eastAsia="Calibri" w:cs="Times New Roman"/>
          <w:szCs w:val="24"/>
        </w:rPr>
        <w:t xml:space="preserve"> average) in axial direction, and 448.5 µm, 467.6 µm, and 496.2 µm (470.8 </w:t>
      </w:r>
      <w:bookmarkStart w:id="1" w:name="OLE_LINK1"/>
      <w:bookmarkStart w:id="2" w:name="OLE_LINK2"/>
      <w:r w:rsidRPr="004C0784">
        <w:rPr>
          <w:rFonts w:eastAsia="Calibri" w:cs="Times New Roman"/>
          <w:szCs w:val="24"/>
        </w:rPr>
        <w:t>±</w:t>
      </w:r>
      <w:bookmarkEnd w:id="1"/>
      <w:bookmarkEnd w:id="2"/>
      <w:r w:rsidRPr="004C0784">
        <w:rPr>
          <w:rFonts w:eastAsia="Calibri" w:cs="Times New Roman"/>
          <w:szCs w:val="24"/>
        </w:rPr>
        <w:t xml:space="preserve"> 24.0 µm in average) in lateral direction at 20 mm, 25 mm, and 30 mm depths, respectively. </w:t>
      </w:r>
      <w:r w:rsidR="009201B9" w:rsidRPr="004C0784">
        <w:rPr>
          <w:rFonts w:eastAsia="Calibri" w:cs="Times New Roman"/>
          <w:szCs w:val="24"/>
        </w:rPr>
        <w:t xml:space="preserve">We also evaluated the short- and long-term laser energy variation; Fig. S1b shows the energy fluctuation when </w:t>
      </w:r>
      <w:r w:rsidR="009201B9" w:rsidRPr="004C0784">
        <w:rPr>
          <w:rFonts w:eastAsia="Calibri" w:cs="Times New Roman"/>
          <w:noProof/>
          <w:szCs w:val="24"/>
        </w:rPr>
        <w:t>various</w:t>
      </w:r>
      <w:r w:rsidR="009201B9" w:rsidRPr="004C0784">
        <w:rPr>
          <w:rFonts w:eastAsia="Calibri" w:cs="Times New Roman"/>
          <w:szCs w:val="24"/>
        </w:rPr>
        <w:t xml:space="preserve"> number of frame averaging is applied: 1, 5, 10, 20, 40 frames. The result proves that the median values were well converged to baseline: </w:t>
      </w:r>
      <w:r w:rsidR="009201B9" w:rsidRPr="004C0784">
        <w:rPr>
          <w:rFonts w:cs="Times New Roman"/>
          <w:szCs w:val="24"/>
          <w:lang w:eastAsia="ko-KR"/>
        </w:rPr>
        <w:t xml:space="preserve">0.10%, -0.07%, 0.06%, 0.14%, and 0.10% of fractional change from the global mean value, respectively. Also, the lower and upper adjacent values were limited well with more frame averaging: -8.69 – 8.69, -5.17 – 5.13, -4.52 – 4.86, -3.30 – 4.34, and </w:t>
      </w:r>
      <w:r w:rsidR="00CF114C" w:rsidRPr="004C0784">
        <w:rPr>
          <w:rFonts w:cs="Times New Roman"/>
          <w:szCs w:val="24"/>
          <w:lang w:eastAsia="ko-KR"/>
        </w:rPr>
        <w:t>-</w:t>
      </w:r>
      <w:r w:rsidR="009201B9" w:rsidRPr="004C0784">
        <w:rPr>
          <w:rFonts w:cs="Times New Roman"/>
          <w:szCs w:val="24"/>
          <w:lang w:eastAsia="ko-KR"/>
        </w:rPr>
        <w:t xml:space="preserve">2.01 – 3.02 for 1-, 5-, 10-, 20-, 40-frame averaging, respectively. Note that our image reconstruction was with 40-frame averaging. </w:t>
      </w:r>
      <w:r w:rsidR="009201B9" w:rsidRPr="004C0784">
        <w:rPr>
          <w:rFonts w:cs="Times New Roman"/>
          <w:i/>
          <w:szCs w:val="24"/>
          <w:lang w:eastAsia="ko-KR"/>
        </w:rPr>
        <w:t>In vivo</w:t>
      </w:r>
      <w:r w:rsidR="009201B9" w:rsidRPr="004C0784">
        <w:rPr>
          <w:rFonts w:cs="Times New Roman"/>
          <w:szCs w:val="24"/>
          <w:lang w:eastAsia="ko-KR"/>
        </w:rPr>
        <w:t xml:space="preserve"> signal fluctuation was much greater than </w:t>
      </w:r>
      <w:r w:rsidR="009201B9" w:rsidRPr="004C0784">
        <w:rPr>
          <w:rFonts w:cs="Times New Roman"/>
          <w:noProof/>
          <w:szCs w:val="24"/>
          <w:lang w:eastAsia="ko-KR"/>
        </w:rPr>
        <w:t>error</w:t>
      </w:r>
      <w:r w:rsidR="009201B9" w:rsidRPr="004C0784">
        <w:rPr>
          <w:rFonts w:cs="Times New Roman"/>
          <w:szCs w:val="24"/>
          <w:lang w:eastAsia="ko-KR"/>
        </w:rPr>
        <w:t xml:space="preserve"> given by laser fluctuation (raw PA intensity sequence in Fig. 2). </w:t>
      </w:r>
      <w:r w:rsidR="009201B9" w:rsidRPr="004C0784">
        <w:rPr>
          <w:rFonts w:eastAsia="Calibri" w:cs="Times New Roman"/>
          <w:szCs w:val="24"/>
        </w:rPr>
        <w:t xml:space="preserve">In the investigation on long-term laser energy variation, the fractional PA intensity change was only 0.15% between the first and last two minutes: 0-2 min: 0.00±1.27% vs. 8-10 min: 0.15±1.33 % </w:t>
      </w:r>
      <w:r w:rsidR="009201B9" w:rsidRPr="004C0784">
        <w:rPr>
          <w:rFonts w:cs="Times New Roman"/>
          <w:szCs w:val="24"/>
          <w:lang w:eastAsia="ko-KR"/>
        </w:rPr>
        <w:t>(Fig. S1c)</w:t>
      </w:r>
      <w:r w:rsidR="009201B9" w:rsidRPr="004C0784">
        <w:rPr>
          <w:rFonts w:eastAsia="Calibri" w:cs="Times New Roman"/>
          <w:szCs w:val="24"/>
        </w:rPr>
        <w:t xml:space="preserve">. </w:t>
      </w:r>
      <w:r w:rsidR="009201B9" w:rsidRPr="004C0784">
        <w:rPr>
          <w:rFonts w:eastAsia="Calibri" w:cs="Times New Roman"/>
          <w:noProof/>
          <w:szCs w:val="24"/>
        </w:rPr>
        <w:t>In addition</w:t>
      </w:r>
      <w:r w:rsidR="009201B9" w:rsidRPr="004C0784">
        <w:rPr>
          <w:rFonts w:eastAsia="Calibri" w:cs="Times New Roman"/>
          <w:szCs w:val="24"/>
        </w:rPr>
        <w:t>, there was no significant photo-bleaching detected with given energy density, 3.5mJ/cm</w:t>
      </w:r>
      <w:r w:rsidR="009201B9" w:rsidRPr="004C0784">
        <w:rPr>
          <w:rFonts w:eastAsia="Calibri" w:cs="Times New Roman"/>
          <w:szCs w:val="24"/>
          <w:vertAlign w:val="superscript"/>
        </w:rPr>
        <w:t>2</w:t>
      </w:r>
      <w:r w:rsidR="009201B9" w:rsidRPr="004C0784">
        <w:rPr>
          <w:rFonts w:eastAsia="Calibri" w:cs="Times New Roman"/>
          <w:szCs w:val="24"/>
        </w:rPr>
        <w:t xml:space="preserve"> (Fig. S1d).</w:t>
      </w:r>
    </w:p>
    <w:p w14:paraId="76F0C9F9" w14:textId="74150BBE" w:rsidR="002E7B86" w:rsidRPr="004C0784" w:rsidRDefault="00027DF9" w:rsidP="00076A15">
      <w:pPr>
        <w:pStyle w:val="Heading1"/>
      </w:pPr>
      <w:r w:rsidRPr="004C0784">
        <w:t>S</w:t>
      </w:r>
      <w:r w:rsidR="002E7B86" w:rsidRPr="004C0784">
        <w:t xml:space="preserve">election </w:t>
      </w:r>
      <w:r w:rsidRPr="004C0784">
        <w:t xml:space="preserve">of region-of-interest (ROI) </w:t>
      </w:r>
      <w:r w:rsidR="002E7B86" w:rsidRPr="004C0784">
        <w:t xml:space="preserve">for </w:t>
      </w:r>
      <w:r w:rsidR="006F7995" w:rsidRPr="004C0784">
        <w:t xml:space="preserve">the quantification of </w:t>
      </w:r>
      <w:r w:rsidR="002E7B86" w:rsidRPr="004C0784">
        <w:t>fPA VSD response.</w:t>
      </w:r>
    </w:p>
    <w:p w14:paraId="52BD3996" w14:textId="77777777" w:rsidR="007D3EE5" w:rsidRPr="004C0784" w:rsidRDefault="007D3EE5" w:rsidP="007D3EE5">
      <w:pPr>
        <w:pStyle w:val="ExpressBodySubsequentParagraph"/>
        <w:ind w:firstLine="0"/>
        <w:jc w:val="center"/>
      </w:pPr>
      <w:r w:rsidRPr="004C0784">
        <w:rPr>
          <w:noProof/>
        </w:rPr>
        <w:drawing>
          <wp:inline distT="0" distB="0" distL="0" distR="0" wp14:anchorId="65EE34F9" wp14:editId="140FB4F8">
            <wp:extent cx="5787390" cy="2750820"/>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38"/>
                    <a:stretch/>
                  </pic:blipFill>
                  <pic:spPr bwMode="auto">
                    <a:xfrm>
                      <a:off x="0" y="0"/>
                      <a:ext cx="5787390" cy="2750820"/>
                    </a:xfrm>
                    <a:prstGeom prst="rect">
                      <a:avLst/>
                    </a:prstGeom>
                    <a:noFill/>
                    <a:ln>
                      <a:noFill/>
                    </a:ln>
                    <a:extLst>
                      <a:ext uri="{53640926-AAD7-44D8-BBD7-CCE9431645EC}">
                        <a14:shadowObscured xmlns:a14="http://schemas.microsoft.com/office/drawing/2010/main"/>
                      </a:ext>
                    </a:extLst>
                  </pic:spPr>
                </pic:pic>
              </a:graphicData>
            </a:graphic>
          </wp:inline>
        </w:drawing>
      </w:r>
    </w:p>
    <w:p w14:paraId="40570882" w14:textId="77777777" w:rsidR="007D3EE5" w:rsidRPr="004C0784" w:rsidRDefault="007D3EE5" w:rsidP="007D3EE5">
      <w:pPr>
        <w:rPr>
          <w:rFonts w:cs="Times New Roman"/>
          <w:sz w:val="20"/>
        </w:rPr>
      </w:pPr>
      <w:r w:rsidRPr="004C0784">
        <w:rPr>
          <w:rFonts w:cs="Times New Roman"/>
          <w:sz w:val="20"/>
        </w:rPr>
        <w:t xml:space="preserve">Fig. S2. Representative examples in ROI selection for fPA VSD response reconstruction and its correlation to the corresponding fractional change in PA intensity from baseline to comparison phases. </w:t>
      </w:r>
    </w:p>
    <w:p w14:paraId="0E8145C7" w14:textId="45ACFC88" w:rsidR="002E7B86" w:rsidRPr="004C0784" w:rsidRDefault="002E7B86" w:rsidP="009A6F35">
      <w:pPr>
        <w:rPr>
          <w:rFonts w:eastAsia="Calibri" w:cs="Times New Roman"/>
          <w:szCs w:val="24"/>
        </w:rPr>
      </w:pPr>
      <w:r w:rsidRPr="004C0784">
        <w:rPr>
          <w:rFonts w:eastAsia="Calibri" w:cs="Times New Roman"/>
          <w:szCs w:val="24"/>
        </w:rPr>
        <w:lastRenderedPageBreak/>
        <w:t xml:space="preserve">Fig. </w:t>
      </w:r>
      <w:r w:rsidR="00F1394F" w:rsidRPr="004C0784">
        <w:rPr>
          <w:rFonts w:eastAsia="Calibri" w:cs="Times New Roman"/>
          <w:szCs w:val="24"/>
        </w:rPr>
        <w:t>S2</w:t>
      </w:r>
      <w:r w:rsidRPr="004C0784">
        <w:rPr>
          <w:rFonts w:eastAsia="Calibri" w:cs="Times New Roman"/>
          <w:szCs w:val="24"/>
        </w:rPr>
        <w:t xml:space="preserve"> presents the representative examples in ROI selection for fPA VSD response quantification based on the anatomic relationship between SSS and brain tissue. Whole brain tissue region was selected using a rat brain atlas at bregma 2.2mm as used in the </w:t>
      </w:r>
      <w:r w:rsidRPr="004C0784">
        <w:rPr>
          <w:rFonts w:eastAsia="Calibri" w:cs="Times New Roman"/>
          <w:i/>
          <w:szCs w:val="24"/>
        </w:rPr>
        <w:t>in vivo</w:t>
      </w:r>
      <w:r w:rsidRPr="004C0784">
        <w:rPr>
          <w:rFonts w:eastAsia="Calibri" w:cs="Times New Roman"/>
          <w:szCs w:val="24"/>
        </w:rPr>
        <w:t xml:space="preserve"> experimental setup. The fractional change of PA intensity at 790 nm between comparison and baseline phases </w:t>
      </w:r>
      <w:r w:rsidRPr="004C0784">
        <w:rPr>
          <w:rFonts w:eastAsia="Calibri" w:cs="Times New Roman"/>
          <w:noProof/>
          <w:szCs w:val="24"/>
        </w:rPr>
        <w:t>were also presented</w:t>
      </w:r>
      <w:r w:rsidRPr="004C0784">
        <w:rPr>
          <w:rFonts w:eastAsia="Calibri" w:cs="Times New Roman"/>
          <w:szCs w:val="24"/>
        </w:rPr>
        <w:t xml:space="preserve"> (second row), which demonstrate the seizure-induced CBV change. Note that the PA image </w:t>
      </w:r>
      <w:r w:rsidRPr="004C0784">
        <w:rPr>
          <w:rFonts w:eastAsia="Calibri" w:cs="Times New Roman"/>
          <w:noProof/>
          <w:szCs w:val="24"/>
        </w:rPr>
        <w:t>was projected</w:t>
      </w:r>
      <w:r w:rsidRPr="004C0784">
        <w:rPr>
          <w:rFonts w:eastAsia="Calibri" w:cs="Times New Roman"/>
          <w:szCs w:val="24"/>
        </w:rPr>
        <w:t xml:space="preserve"> in </w:t>
      </w:r>
      <w:r w:rsidRPr="004C0784">
        <w:rPr>
          <w:rFonts w:eastAsia="Calibri" w:cs="Times New Roman"/>
          <w:noProof/>
          <w:szCs w:val="24"/>
        </w:rPr>
        <w:t>last</w:t>
      </w:r>
      <w:r w:rsidRPr="004C0784">
        <w:rPr>
          <w:rFonts w:eastAsia="Calibri" w:cs="Times New Roman"/>
          <w:szCs w:val="24"/>
        </w:rPr>
        <w:t xml:space="preserve"> 5 min for both comparison and baseline phases.</w:t>
      </w:r>
    </w:p>
    <w:p w14:paraId="4292B541" w14:textId="5C9176E3" w:rsidR="00D10493" w:rsidRPr="004C0784" w:rsidRDefault="00D10493" w:rsidP="00D10493">
      <w:pPr>
        <w:pStyle w:val="Heading1"/>
        <w:ind w:left="567" w:hanging="567"/>
      </w:pPr>
    </w:p>
    <w:p w14:paraId="68858711" w14:textId="3BEE5DD6" w:rsidR="009B4E71" w:rsidRPr="004C0784" w:rsidRDefault="009B4E71" w:rsidP="00334022">
      <w:pPr>
        <w:pStyle w:val="Heading1"/>
        <w:ind w:left="567" w:hanging="567"/>
      </w:pPr>
      <w:r w:rsidRPr="004C0784">
        <w:t>References</w:t>
      </w:r>
    </w:p>
    <w:p w14:paraId="35C46FF6" w14:textId="1541050A" w:rsidR="009B4E71" w:rsidRPr="004C0784" w:rsidRDefault="009B4E71" w:rsidP="009B4E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szCs w:val="24"/>
          <w:shd w:val="clear" w:color="auto" w:fill="FFFFFF"/>
        </w:rPr>
      </w:pPr>
      <w:r w:rsidRPr="004C0784">
        <w:rPr>
          <w:color w:val="000000" w:themeColor="text1"/>
          <w:szCs w:val="24"/>
          <w:shd w:val="clear" w:color="auto" w:fill="FFFFFF"/>
        </w:rPr>
        <w:t xml:space="preserve">Kumavor P. K., Xu C., Aquirre A., Gamelin J., Ardeshipour Y., Tavakoli B., Zanganeh S., Alqasemi U., Yang Y., Zhu Q. (2011) Target detection and quantification using a hybrid hand-held diffuse optical tomography and photoacoustic tomography system, </w:t>
      </w:r>
      <w:r w:rsidRPr="004C0784">
        <w:rPr>
          <w:i/>
          <w:iCs/>
          <w:color w:val="000000" w:themeColor="text1"/>
          <w:szCs w:val="24"/>
          <w:shd w:val="clear" w:color="auto" w:fill="FFFFFF"/>
        </w:rPr>
        <w:t xml:space="preserve">J. Biomed. Opt. </w:t>
      </w:r>
      <w:r w:rsidRPr="004C0784">
        <w:rPr>
          <w:b/>
          <w:bCs/>
          <w:color w:val="000000" w:themeColor="text1"/>
          <w:szCs w:val="24"/>
          <w:shd w:val="clear" w:color="auto" w:fill="FFFFFF"/>
        </w:rPr>
        <w:t>16</w:t>
      </w:r>
      <w:r w:rsidRPr="004C0784">
        <w:rPr>
          <w:color w:val="000000" w:themeColor="text1"/>
          <w:szCs w:val="24"/>
          <w:shd w:val="clear" w:color="auto" w:fill="FFFFFF"/>
        </w:rPr>
        <w:t xml:space="preserve">(4), 046010. </w:t>
      </w:r>
      <w:r w:rsidRPr="004C0784">
        <w:rPr>
          <w:noProof/>
          <w:color w:val="000000" w:themeColor="text1"/>
          <w:szCs w:val="24"/>
          <w:shd w:val="clear" w:color="auto" w:fill="FFFFFF"/>
        </w:rPr>
        <w:t>doi</w:t>
      </w:r>
      <w:r w:rsidRPr="004C0784">
        <w:rPr>
          <w:color w:val="000000" w:themeColor="text1"/>
          <w:szCs w:val="24"/>
          <w:shd w:val="clear" w:color="auto" w:fill="FFFFFF"/>
        </w:rPr>
        <w:t>: 10.1117/1.3563534.</w:t>
      </w:r>
    </w:p>
    <w:p w14:paraId="7A6B0980" w14:textId="1F32E42D" w:rsidR="00A22712" w:rsidRPr="004C0784" w:rsidRDefault="00A227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szCs w:val="24"/>
          <w:shd w:val="clear" w:color="auto" w:fill="FFFFFF"/>
        </w:rPr>
      </w:pPr>
      <w:r w:rsidRPr="004C0784">
        <w:rPr>
          <w:color w:val="000000" w:themeColor="text1"/>
          <w:szCs w:val="24"/>
          <w:shd w:val="clear" w:color="auto" w:fill="FFFFFF"/>
        </w:rPr>
        <w:t xml:space="preserve">Sun J. M. and Gerstman B. S. (1999) Photoacoustic generation for a spherical absorber with impedance mismatch with the surrounding media, </w:t>
      </w:r>
      <w:r w:rsidRPr="004C0784">
        <w:rPr>
          <w:i/>
          <w:color w:val="000000" w:themeColor="text1"/>
          <w:szCs w:val="24"/>
          <w:shd w:val="clear" w:color="auto" w:fill="FFFFFF"/>
        </w:rPr>
        <w:t>Phys. Rev. E</w:t>
      </w:r>
      <w:r w:rsidRPr="004C0784">
        <w:rPr>
          <w:color w:val="000000" w:themeColor="text1"/>
          <w:szCs w:val="24"/>
          <w:shd w:val="clear" w:color="auto" w:fill="FFFFFF"/>
        </w:rPr>
        <w:t xml:space="preserve"> </w:t>
      </w:r>
      <w:r w:rsidRPr="004C0784">
        <w:rPr>
          <w:b/>
          <w:color w:val="000000" w:themeColor="text1"/>
          <w:szCs w:val="24"/>
          <w:shd w:val="clear" w:color="auto" w:fill="FFFFFF"/>
        </w:rPr>
        <w:t>59</w:t>
      </w:r>
      <w:r w:rsidRPr="004C0784">
        <w:rPr>
          <w:color w:val="000000" w:themeColor="text1"/>
          <w:szCs w:val="24"/>
          <w:shd w:val="clear" w:color="auto" w:fill="FFFFFF"/>
        </w:rPr>
        <w:t xml:space="preserve">, 5772. </w:t>
      </w:r>
      <w:r w:rsidRPr="004C0784">
        <w:rPr>
          <w:noProof/>
          <w:color w:val="000000" w:themeColor="text1"/>
          <w:szCs w:val="24"/>
          <w:shd w:val="clear" w:color="auto" w:fill="FFFFFF"/>
        </w:rPr>
        <w:t>doi</w:t>
      </w:r>
      <w:r w:rsidRPr="004C0784">
        <w:rPr>
          <w:color w:val="000000" w:themeColor="text1"/>
          <w:szCs w:val="24"/>
          <w:shd w:val="clear" w:color="auto" w:fill="FFFFFF"/>
        </w:rPr>
        <w:t>: 10.1103/PhysRevE.59.5772</w:t>
      </w:r>
    </w:p>
    <w:p w14:paraId="237652A8" w14:textId="77777777" w:rsidR="000C6428" w:rsidRPr="00167764" w:rsidRDefault="000C6428" w:rsidP="000C64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color w:val="000000" w:themeColor="text1"/>
          <w:shd w:val="clear" w:color="auto" w:fill="FFFFFF"/>
        </w:rPr>
      </w:pPr>
      <w:r w:rsidRPr="004C0784">
        <w:rPr>
          <w:color w:val="000000" w:themeColor="text1"/>
          <w:shd w:val="clear" w:color="auto" w:fill="FFFFFF"/>
        </w:rPr>
        <w:t xml:space="preserve">Zhang M. Q., Zhou L., Deng Q. F., Xie Y. Y., Xiao T. Q., Ultra-high-resolution 3D digitalized imaging of the cerebral angioarchitecture in rats using synchrotron radiation, </w:t>
      </w:r>
      <w:r w:rsidRPr="004C0784">
        <w:rPr>
          <w:i/>
          <w:color w:val="000000" w:themeColor="text1"/>
          <w:shd w:val="clear" w:color="auto" w:fill="FFFFFF"/>
        </w:rPr>
        <w:t>Sci. Rep.</w:t>
      </w:r>
      <w:r w:rsidRPr="004C0784">
        <w:rPr>
          <w:color w:val="000000" w:themeColor="text1"/>
          <w:shd w:val="clear" w:color="auto" w:fill="FFFFFF"/>
        </w:rPr>
        <w:t xml:space="preserve"> </w:t>
      </w:r>
      <w:r w:rsidRPr="004C0784">
        <w:rPr>
          <w:b/>
          <w:color w:val="000000" w:themeColor="text1"/>
          <w:shd w:val="clear" w:color="auto" w:fill="FFFFFF"/>
        </w:rPr>
        <w:t>5</w:t>
      </w:r>
      <w:r w:rsidRPr="004C0784">
        <w:rPr>
          <w:color w:val="000000" w:themeColor="text1"/>
          <w:shd w:val="clear" w:color="auto" w:fill="FFFFFF"/>
        </w:rPr>
        <w:t xml:space="preserve">, 14982. </w:t>
      </w:r>
      <w:r w:rsidRPr="004C0784">
        <w:rPr>
          <w:noProof/>
          <w:color w:val="000000" w:themeColor="text1"/>
          <w:shd w:val="clear" w:color="auto" w:fill="FFFFFF"/>
        </w:rPr>
        <w:t>doi</w:t>
      </w:r>
      <w:r w:rsidRPr="004C0784">
        <w:rPr>
          <w:color w:val="000000" w:themeColor="text1"/>
          <w:shd w:val="clear" w:color="auto" w:fill="FFFFFF"/>
        </w:rPr>
        <w:t>: 10.1038/srep14982.</w:t>
      </w:r>
    </w:p>
    <w:p w14:paraId="3F724D2F" w14:textId="77777777" w:rsidR="009B4E71" w:rsidRPr="001C0D9C" w:rsidRDefault="009B4E71" w:rsidP="001C0D9C">
      <w:pPr>
        <w:rPr>
          <w:rFonts w:cs="Times New Roman"/>
          <w:sz w:val="20"/>
        </w:rPr>
      </w:pPr>
    </w:p>
    <w:sectPr w:rsidR="009B4E71" w:rsidRPr="001C0D9C"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111A1" w14:textId="77777777" w:rsidR="00E31CC3" w:rsidRDefault="00E31CC3" w:rsidP="00117666">
      <w:pPr>
        <w:spacing w:after="0"/>
      </w:pPr>
      <w:r>
        <w:separator/>
      </w:r>
    </w:p>
  </w:endnote>
  <w:endnote w:type="continuationSeparator" w:id="0">
    <w:p w14:paraId="19CE5C3E" w14:textId="77777777" w:rsidR="00E31CC3" w:rsidRDefault="00E31CC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E31CC3" w:rsidRPr="00577C4C" w:rsidRDefault="00E31CC3">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E31CC3" w:rsidRPr="00577C4C" w:rsidRDefault="00E31CC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" filled="f" stroked="f" strokeweight=".5pt">
              <v:textbox style="mso-fit-shape-to-text:t">
                <w:txbxContent>
                  <w:p w14:paraId="50BC4D33" w14:textId="77777777" w:rsidR="00E31CC3" w:rsidRPr="00577C4C" w:rsidRDefault="00E31CC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E31CC3" w:rsidRPr="00577C4C" w:rsidRDefault="00E31CC3">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E31CC3" w:rsidRPr="00577C4C" w:rsidRDefault="00E31CC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" filled="f" stroked="f" strokeweight=".5pt">
              <v:textbox style="mso-fit-shape-to-text:t">
                <w:txbxContent>
                  <w:p w14:paraId="570F0D09" w14:textId="77777777" w:rsidR="00E31CC3" w:rsidRPr="00577C4C" w:rsidRDefault="00E31CC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2DC4A" w14:textId="77777777" w:rsidR="00E31CC3" w:rsidRDefault="00E31CC3" w:rsidP="00117666">
      <w:pPr>
        <w:spacing w:after="0"/>
      </w:pPr>
      <w:r>
        <w:separator/>
      </w:r>
    </w:p>
  </w:footnote>
  <w:footnote w:type="continuationSeparator" w:id="0">
    <w:p w14:paraId="2CA4A37B" w14:textId="77777777" w:rsidR="00E31CC3" w:rsidRDefault="00E31CC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E31CC3" w:rsidRPr="009151AA" w:rsidRDefault="00E31CC3">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E31CC3" w:rsidRDefault="00E31CC3"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73747D43"/>
    <w:multiLevelType w:val="multilevel"/>
    <w:tmpl w:val="9AEE04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5"/>
  </w:num>
  <w:num w:numId="3">
    <w:abstractNumId w:val="2"/>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0"/>
  </w:num>
  <w:num w:numId="21">
    <w:abstractNumId w:val="8"/>
  </w:num>
  <w:num w:numId="22">
    <w:abstractNumId w:val="3"/>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attachedTemplate r:id="rId1"/>
  <w:trackRevisions/>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IxNbA0NzQwsjA1sDBU0lEKTi0uzszPAykwrAUA1PMQriwAAAA="/>
  </w:docVars>
  <w:rsids>
    <w:rsidRoot w:val="00ED20B5"/>
    <w:rsid w:val="0001436A"/>
    <w:rsid w:val="00024401"/>
    <w:rsid w:val="00027DF9"/>
    <w:rsid w:val="00034304"/>
    <w:rsid w:val="00035434"/>
    <w:rsid w:val="00050F50"/>
    <w:rsid w:val="00052A14"/>
    <w:rsid w:val="00073F28"/>
    <w:rsid w:val="00076A15"/>
    <w:rsid w:val="00077D53"/>
    <w:rsid w:val="000C6428"/>
    <w:rsid w:val="000C66FE"/>
    <w:rsid w:val="00105FD9"/>
    <w:rsid w:val="00117666"/>
    <w:rsid w:val="001549D3"/>
    <w:rsid w:val="00160065"/>
    <w:rsid w:val="00177D84"/>
    <w:rsid w:val="00185831"/>
    <w:rsid w:val="001C0D9C"/>
    <w:rsid w:val="001E5E7B"/>
    <w:rsid w:val="002163B1"/>
    <w:rsid w:val="002175D4"/>
    <w:rsid w:val="002338B2"/>
    <w:rsid w:val="00236B1D"/>
    <w:rsid w:val="00267D18"/>
    <w:rsid w:val="00280537"/>
    <w:rsid w:val="002868E2"/>
    <w:rsid w:val="002869C3"/>
    <w:rsid w:val="002936E4"/>
    <w:rsid w:val="002B4A57"/>
    <w:rsid w:val="002C74CA"/>
    <w:rsid w:val="002E7B86"/>
    <w:rsid w:val="002F58F6"/>
    <w:rsid w:val="00304812"/>
    <w:rsid w:val="00324E1C"/>
    <w:rsid w:val="00334022"/>
    <w:rsid w:val="003544FB"/>
    <w:rsid w:val="00381303"/>
    <w:rsid w:val="00384623"/>
    <w:rsid w:val="00390767"/>
    <w:rsid w:val="003A54D4"/>
    <w:rsid w:val="003C698E"/>
    <w:rsid w:val="003D20D6"/>
    <w:rsid w:val="003D2F2D"/>
    <w:rsid w:val="003F606A"/>
    <w:rsid w:val="00401590"/>
    <w:rsid w:val="00447801"/>
    <w:rsid w:val="00452E9C"/>
    <w:rsid w:val="00455B30"/>
    <w:rsid w:val="00471AB2"/>
    <w:rsid w:val="004735C8"/>
    <w:rsid w:val="0048649E"/>
    <w:rsid w:val="004947A6"/>
    <w:rsid w:val="004961FF"/>
    <w:rsid w:val="004A7766"/>
    <w:rsid w:val="004B533B"/>
    <w:rsid w:val="004C0784"/>
    <w:rsid w:val="004C191D"/>
    <w:rsid w:val="004D3CFE"/>
    <w:rsid w:val="004D7B74"/>
    <w:rsid w:val="004E336F"/>
    <w:rsid w:val="0050116E"/>
    <w:rsid w:val="00517A89"/>
    <w:rsid w:val="005250F2"/>
    <w:rsid w:val="00534B0F"/>
    <w:rsid w:val="00573004"/>
    <w:rsid w:val="005773B1"/>
    <w:rsid w:val="00593EEA"/>
    <w:rsid w:val="005A5EEE"/>
    <w:rsid w:val="005B2503"/>
    <w:rsid w:val="0061402E"/>
    <w:rsid w:val="006168F0"/>
    <w:rsid w:val="006375C7"/>
    <w:rsid w:val="00654E8F"/>
    <w:rsid w:val="00660D05"/>
    <w:rsid w:val="006820B1"/>
    <w:rsid w:val="006B7D14"/>
    <w:rsid w:val="006F7995"/>
    <w:rsid w:val="00701727"/>
    <w:rsid w:val="0070566C"/>
    <w:rsid w:val="00714C50"/>
    <w:rsid w:val="00722EB6"/>
    <w:rsid w:val="00725A7D"/>
    <w:rsid w:val="007501BE"/>
    <w:rsid w:val="00773A6D"/>
    <w:rsid w:val="00790BB3"/>
    <w:rsid w:val="007A45D3"/>
    <w:rsid w:val="007A7D47"/>
    <w:rsid w:val="007C206C"/>
    <w:rsid w:val="007D3EE5"/>
    <w:rsid w:val="007E55C1"/>
    <w:rsid w:val="00817DD6"/>
    <w:rsid w:val="0083759F"/>
    <w:rsid w:val="00837BAC"/>
    <w:rsid w:val="008551DC"/>
    <w:rsid w:val="00885156"/>
    <w:rsid w:val="008C43A5"/>
    <w:rsid w:val="009151AA"/>
    <w:rsid w:val="009201B9"/>
    <w:rsid w:val="0093429D"/>
    <w:rsid w:val="00943573"/>
    <w:rsid w:val="00970F7D"/>
    <w:rsid w:val="00973C72"/>
    <w:rsid w:val="00994A3D"/>
    <w:rsid w:val="009A6F35"/>
    <w:rsid w:val="009B4E71"/>
    <w:rsid w:val="009C2B12"/>
    <w:rsid w:val="009D2318"/>
    <w:rsid w:val="00A05E42"/>
    <w:rsid w:val="00A174D9"/>
    <w:rsid w:val="00A22712"/>
    <w:rsid w:val="00A4280A"/>
    <w:rsid w:val="00A43B30"/>
    <w:rsid w:val="00A60836"/>
    <w:rsid w:val="00A73A84"/>
    <w:rsid w:val="00A80033"/>
    <w:rsid w:val="00AA1EB0"/>
    <w:rsid w:val="00AA4D24"/>
    <w:rsid w:val="00AB6715"/>
    <w:rsid w:val="00AC5ED7"/>
    <w:rsid w:val="00AF091F"/>
    <w:rsid w:val="00B15D4C"/>
    <w:rsid w:val="00B1671E"/>
    <w:rsid w:val="00B21763"/>
    <w:rsid w:val="00B25EB8"/>
    <w:rsid w:val="00B37F4D"/>
    <w:rsid w:val="00B5177F"/>
    <w:rsid w:val="00B97927"/>
    <w:rsid w:val="00BC3C2E"/>
    <w:rsid w:val="00BC4506"/>
    <w:rsid w:val="00C446D8"/>
    <w:rsid w:val="00C52A7B"/>
    <w:rsid w:val="00C56BAF"/>
    <w:rsid w:val="00C679AA"/>
    <w:rsid w:val="00C75972"/>
    <w:rsid w:val="00C93D46"/>
    <w:rsid w:val="00CD066B"/>
    <w:rsid w:val="00CE0993"/>
    <w:rsid w:val="00CE4FEE"/>
    <w:rsid w:val="00CF114C"/>
    <w:rsid w:val="00D10493"/>
    <w:rsid w:val="00D20A49"/>
    <w:rsid w:val="00D40B2B"/>
    <w:rsid w:val="00D41414"/>
    <w:rsid w:val="00D4631E"/>
    <w:rsid w:val="00D522DC"/>
    <w:rsid w:val="00D62A4A"/>
    <w:rsid w:val="00DB59C3"/>
    <w:rsid w:val="00DC259A"/>
    <w:rsid w:val="00DE23E8"/>
    <w:rsid w:val="00E20774"/>
    <w:rsid w:val="00E31CC3"/>
    <w:rsid w:val="00E52377"/>
    <w:rsid w:val="00E64E17"/>
    <w:rsid w:val="00E70247"/>
    <w:rsid w:val="00E866C9"/>
    <w:rsid w:val="00EA3D3C"/>
    <w:rsid w:val="00EC090A"/>
    <w:rsid w:val="00EC28CA"/>
    <w:rsid w:val="00ED20B5"/>
    <w:rsid w:val="00F1394F"/>
    <w:rsid w:val="00F14540"/>
    <w:rsid w:val="00F46900"/>
    <w:rsid w:val="00F52AE4"/>
    <w:rsid w:val="00F61D89"/>
    <w:rsid w:val="00F741A9"/>
    <w:rsid w:val="00FA54BC"/>
    <w:rsid w:val="00FB75B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0"/>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xpressBodySubsequentParagraph">
    <w:name w:val="Express Body Subsequent Paragraph"/>
    <w:basedOn w:val="Normal"/>
    <w:qFormat/>
    <w:rsid w:val="002E7B86"/>
    <w:pPr>
      <w:spacing w:before="0" w:after="0"/>
      <w:ind w:firstLine="288"/>
      <w:jc w:val="both"/>
    </w:pPr>
    <w:rPr>
      <w:rFonts w:eastAsiaTheme="minorEastAsia"/>
      <w:color w:val="000000" w:themeColor="text1"/>
      <w:sz w:val="20"/>
    </w:rPr>
  </w:style>
  <w:style w:type="paragraph" w:customStyle="1" w:styleId="ExpressSectionHeader2">
    <w:name w:val="Express Section Header 2"/>
    <w:basedOn w:val="Normal"/>
    <w:next w:val="Normal"/>
    <w:qFormat/>
    <w:rsid w:val="002E7B86"/>
    <w:pPr>
      <w:spacing w:after="0"/>
    </w:pPr>
    <w:rPr>
      <w:rFonts w:ascii="Arial" w:eastAsiaTheme="minorEastAsia" w:hAnsi="Arial"/>
      <w:i/>
      <w:sz w:val="20"/>
    </w:rPr>
  </w:style>
  <w:style w:type="paragraph" w:customStyle="1" w:styleId="ExpressFigureCaptionLong">
    <w:name w:val="Express Figure Caption Long"/>
    <w:basedOn w:val="Normal"/>
    <w:next w:val="ExpressBodySubsequentParagraph"/>
    <w:qFormat/>
    <w:rsid w:val="002E7B86"/>
    <w:pPr>
      <w:spacing w:after="120"/>
      <w:ind w:left="720" w:right="720"/>
      <w:jc w:val="both"/>
    </w:pPr>
    <w:rPr>
      <w:rFonts w:eastAsiaTheme="minorEastAsia"/>
      <w:color w:val="000000" w:themeColor="text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boctor1@jhmi.ed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7EBCCEB-229F-CD4C-A904-E35FF60BF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58</TotalTime>
  <Pages>3</Pages>
  <Words>841</Words>
  <Characters>4796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Jeeun Kang</cp:lastModifiedBy>
  <cp:revision>155</cp:revision>
  <cp:lastPrinted>2013-10-03T12:51:00Z</cp:lastPrinted>
  <dcterms:created xsi:type="dcterms:W3CDTF">2018-06-12T14:56:00Z</dcterms:created>
  <dcterms:modified xsi:type="dcterms:W3CDTF">2019-05-29T04:47:00Z</dcterms:modified>
</cp:coreProperties>
</file>