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0446A" w14:textId="77777777" w:rsidR="003B2969" w:rsidRPr="007D650A" w:rsidRDefault="003B2969" w:rsidP="003B2969">
      <w:pPr>
        <w:jc w:val="center"/>
        <w:rPr>
          <w:rFonts w:cs="Times New Roman"/>
          <w:b/>
          <w:sz w:val="36"/>
          <w:szCs w:val="36"/>
        </w:rPr>
      </w:pPr>
      <w:r w:rsidRPr="005348EA">
        <w:rPr>
          <w:rFonts w:cs="Times New Roman"/>
          <w:b/>
          <w:sz w:val="36"/>
          <w:szCs w:val="36"/>
        </w:rPr>
        <w:t xml:space="preserve">Spatial Distance Correlates with Genetic Distance in </w:t>
      </w:r>
      <w:r>
        <w:rPr>
          <w:rFonts w:cs="Times New Roman"/>
          <w:b/>
          <w:sz w:val="36"/>
          <w:szCs w:val="36"/>
        </w:rPr>
        <w:t>Diffuse</w:t>
      </w:r>
      <w:r w:rsidRPr="005348EA">
        <w:rPr>
          <w:rFonts w:cs="Times New Roman"/>
          <w:b/>
          <w:sz w:val="36"/>
          <w:szCs w:val="36"/>
        </w:rPr>
        <w:t xml:space="preserve"> Glioma</w:t>
      </w:r>
    </w:p>
    <w:p w14:paraId="4227EEE6" w14:textId="77777777" w:rsidR="00654E8F" w:rsidRPr="001549D3" w:rsidRDefault="00654E8F" w:rsidP="0001436A">
      <w:pPr>
        <w:pStyle w:val="SupplementaryMaterial"/>
        <w:rPr>
          <w:b w:val="0"/>
        </w:rPr>
      </w:pPr>
      <w:r w:rsidRPr="001549D3">
        <w:t>Supplementary Material</w:t>
      </w:r>
    </w:p>
    <w:p w14:paraId="4D059444" w14:textId="08B7CD8A" w:rsidR="00994A3D" w:rsidRPr="00994A3D" w:rsidRDefault="00654E8F" w:rsidP="0001436A">
      <w:pPr>
        <w:pStyle w:val="Heading1"/>
      </w:pPr>
      <w:r w:rsidRPr="00994A3D">
        <w:t>Supplementary Tables</w:t>
      </w:r>
    </w:p>
    <w:p w14:paraId="6A15DD4D" w14:textId="179BF6D2" w:rsidR="00994A3D" w:rsidRDefault="003B2969" w:rsidP="002B4A57">
      <w:r>
        <w:t>See separate data file for supplementary tables S1 – S5</w:t>
      </w:r>
    </w:p>
    <w:p w14:paraId="55588904" w14:textId="408D372B" w:rsidR="003B2969" w:rsidRDefault="003B2969" w:rsidP="003B2969">
      <w:pPr>
        <w:pStyle w:val="Heading1"/>
      </w:pPr>
      <w:r>
        <w:t>Supplementary Methods</w:t>
      </w:r>
    </w:p>
    <w:p w14:paraId="02C31572" w14:textId="77777777" w:rsidR="003B2969" w:rsidRPr="005348EA" w:rsidRDefault="003B2969" w:rsidP="003B2969">
      <w:pPr>
        <w:pStyle w:val="Heading2"/>
      </w:pPr>
      <w:r w:rsidRPr="005348EA">
        <w:t>DNA methylation clustering analysis</w:t>
      </w:r>
    </w:p>
    <w:p w14:paraId="111A72BC" w14:textId="77777777" w:rsidR="003B2969" w:rsidRPr="005348EA" w:rsidRDefault="003B2969" w:rsidP="003B2969">
      <w:pPr>
        <w:spacing w:line="480" w:lineRule="auto"/>
        <w:jc w:val="both"/>
        <w:rPr>
          <w:rFonts w:cs="Times New Roman"/>
          <w:sz w:val="22"/>
        </w:rPr>
      </w:pPr>
      <w:r w:rsidRPr="005348EA">
        <w:rPr>
          <w:rFonts w:cs="Times New Roman"/>
          <w:sz w:val="22"/>
        </w:rPr>
        <w:t>With the same DNA methylation data set used in the methylation distance calculation, the MAD value was calculated across all samples for each probe. The top 200 probes with highest MAD value were selected and subjected to hierarchical clustering with default settings. 172 probes</w:t>
      </w:r>
      <w:r w:rsidRPr="005348EA" w:rsidDel="00745333">
        <w:rPr>
          <w:rFonts w:cs="Times New Roman"/>
          <w:sz w:val="22"/>
        </w:rPr>
        <w:t xml:space="preserve"> </w:t>
      </w:r>
      <w:r w:rsidRPr="005348EA">
        <w:rPr>
          <w:rFonts w:cs="Times New Roman"/>
          <w:sz w:val="22"/>
        </w:rPr>
        <w:t>after probes with missing values were removed. We then applied T-distributed stochastic neighbor embedding (TSNE) and compared the subgroups memberships between hierarchical clustering and TSNE.</w:t>
      </w:r>
    </w:p>
    <w:p w14:paraId="3EB0523E" w14:textId="77777777" w:rsidR="003B2969" w:rsidRPr="005348EA" w:rsidRDefault="003B2969" w:rsidP="003B2969">
      <w:pPr>
        <w:pStyle w:val="Heading2"/>
      </w:pPr>
      <w:r w:rsidRPr="005348EA">
        <w:t>WES processing</w:t>
      </w:r>
    </w:p>
    <w:p w14:paraId="0D4FEAFE" w14:textId="77777777" w:rsidR="003B2969" w:rsidRPr="005348EA" w:rsidRDefault="003B2969" w:rsidP="003B2969">
      <w:pPr>
        <w:spacing w:line="480" w:lineRule="auto"/>
        <w:jc w:val="both"/>
        <w:rPr>
          <w:rFonts w:cs="Times New Roman"/>
          <w:sz w:val="22"/>
        </w:rPr>
      </w:pPr>
      <w:r w:rsidRPr="005348EA">
        <w:rPr>
          <w:rFonts w:cs="Times New Roman"/>
          <w:sz w:val="22"/>
        </w:rPr>
        <w:t xml:space="preserve">For all WES </w:t>
      </w:r>
      <w:proofErr w:type="spellStart"/>
      <w:r w:rsidRPr="005348EA">
        <w:rPr>
          <w:rFonts w:cs="Times New Roman"/>
          <w:sz w:val="22"/>
        </w:rPr>
        <w:t>fastq</w:t>
      </w:r>
      <w:proofErr w:type="spellEnd"/>
      <w:r w:rsidRPr="005348EA">
        <w:rPr>
          <w:rFonts w:cs="Times New Roman"/>
          <w:sz w:val="22"/>
        </w:rPr>
        <w:t xml:space="preserve"> files, </w:t>
      </w:r>
      <w:proofErr w:type="spellStart"/>
      <w:r w:rsidRPr="005348EA">
        <w:rPr>
          <w:rFonts w:cs="Times New Roman"/>
          <w:sz w:val="22"/>
        </w:rPr>
        <w:t>fastqc</w:t>
      </w:r>
      <w:proofErr w:type="spellEnd"/>
      <w:r w:rsidRPr="005348EA">
        <w:rPr>
          <w:rFonts w:cs="Times New Roman"/>
          <w:sz w:val="22"/>
        </w:rPr>
        <w:t xml:space="preserve"> was applied for quality control purpose before alignment. BWA MEM was used for alignment, followed with mark duplicate reads, identify realign targets, realign insertion and deletion, and recalibrate values. GATK was used for coverage checking. After mapping, Mutect2 was applied to call variants using default setting. ANNOVAR was used to annotate mutation calls.</w:t>
      </w:r>
    </w:p>
    <w:p w14:paraId="4DF6DD47" w14:textId="4E206EC2" w:rsidR="003B2969" w:rsidRPr="005348EA" w:rsidRDefault="00F44F25" w:rsidP="003B2969">
      <w:pPr>
        <w:pStyle w:val="Heading1"/>
        <w:rPr>
          <w:szCs w:val="22"/>
        </w:rPr>
      </w:pPr>
      <w:r w:rsidRPr="00994A3D">
        <w:t>Supplementary</w:t>
      </w:r>
      <w:r w:rsidR="003B2969">
        <w:t xml:space="preserve"> </w:t>
      </w:r>
      <w:r w:rsidR="003B2969" w:rsidRPr="005348EA">
        <w:rPr>
          <w:szCs w:val="22"/>
        </w:rPr>
        <w:t>Results</w:t>
      </w:r>
    </w:p>
    <w:p w14:paraId="1293BFD1" w14:textId="77777777" w:rsidR="003B2969" w:rsidRPr="005348EA" w:rsidRDefault="003B2969" w:rsidP="003B2969">
      <w:pPr>
        <w:pStyle w:val="Heading2"/>
      </w:pPr>
      <w:r w:rsidRPr="005348EA">
        <w:t>DNA methylation clustering analysis</w:t>
      </w:r>
    </w:p>
    <w:p w14:paraId="4932724B" w14:textId="49E9F41D" w:rsidR="003B2969" w:rsidRDefault="003B2969" w:rsidP="003B2969">
      <w:pPr>
        <w:spacing w:line="480" w:lineRule="auto"/>
        <w:jc w:val="both"/>
        <w:rPr>
          <w:rFonts w:cs="Times New Roman"/>
          <w:sz w:val="22"/>
        </w:rPr>
      </w:pPr>
      <w:r w:rsidRPr="005348EA">
        <w:rPr>
          <w:rFonts w:cs="Times New Roman"/>
          <w:sz w:val="22"/>
        </w:rPr>
        <w:t>With the top 200 probes, hierarchical clustering analysis showed that samples also separated into two different subgroups, named as cluster 1 and cluster 2 (</w:t>
      </w:r>
      <w:r w:rsidRPr="005348EA">
        <w:rPr>
          <w:rFonts w:cs="Times New Roman"/>
          <w:b/>
          <w:sz w:val="22"/>
        </w:rPr>
        <w:t>Figure S1B-C</w:t>
      </w:r>
      <w:r w:rsidRPr="005348EA">
        <w:rPr>
          <w:rFonts w:cs="Times New Roman"/>
          <w:sz w:val="22"/>
        </w:rPr>
        <w:t>). These clusters are very similar to the clusters seen in Figure 4 using the top 500 probes, and the memberships show high concordance.</w:t>
      </w:r>
    </w:p>
    <w:p w14:paraId="2F46CB83" w14:textId="77777777" w:rsidR="003B2969" w:rsidRDefault="003B2969">
      <w:pPr>
        <w:spacing w:before="0" w:after="200" w:line="276" w:lineRule="auto"/>
        <w:rPr>
          <w:rFonts w:cs="Times New Roman"/>
          <w:sz w:val="22"/>
        </w:rPr>
      </w:pPr>
      <w:r>
        <w:rPr>
          <w:rFonts w:cs="Times New Roman"/>
          <w:sz w:val="22"/>
        </w:rPr>
        <w:br w:type="page"/>
      </w:r>
    </w:p>
    <w:p w14:paraId="63D7C2B0" w14:textId="77777777" w:rsidR="00994A3D" w:rsidRPr="001549D3" w:rsidRDefault="00994A3D" w:rsidP="003B2969">
      <w:pPr>
        <w:pStyle w:val="Heading1"/>
      </w:pPr>
      <w:r w:rsidRPr="0001436A">
        <w:lastRenderedPageBreak/>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2FA618A5" w:rsidR="00994A3D" w:rsidRPr="001549D3" w:rsidRDefault="003B2969" w:rsidP="00994A3D">
      <w:pPr>
        <w:keepNext/>
        <w:jc w:val="center"/>
        <w:rPr>
          <w:rFonts w:cs="Times New Roman"/>
          <w:szCs w:val="24"/>
        </w:rPr>
      </w:pPr>
      <w:r w:rsidRPr="005348EA">
        <w:rPr>
          <w:rFonts w:cs="Times New Roman"/>
          <w:noProof/>
          <w:sz w:val="22"/>
        </w:rPr>
        <w:drawing>
          <wp:inline distT="0" distB="0" distL="0" distR="0" wp14:anchorId="120C4916" wp14:editId="7C5C8DFB">
            <wp:extent cx="5939155" cy="3834130"/>
            <wp:effectExtent l="0" t="0" r="4445" b="0"/>
            <wp:docPr id="103" name="Picture 103" descr="Y:\Thesis files\Methylation Data\JNO\eps figs\FigureS1A_E_noca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Thesis files\Methylation Data\JNO\eps figs\FigureS1A_E_nocap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3834130"/>
                    </a:xfrm>
                    <a:prstGeom prst="rect">
                      <a:avLst/>
                    </a:prstGeom>
                    <a:noFill/>
                    <a:ln>
                      <a:noFill/>
                    </a:ln>
                  </pic:spPr>
                </pic:pic>
              </a:graphicData>
            </a:graphic>
          </wp:inline>
        </w:drawing>
      </w:r>
    </w:p>
    <w:p w14:paraId="3AE196DF" w14:textId="0910E0F1" w:rsidR="003B2969" w:rsidRPr="003B2969" w:rsidRDefault="00994A3D" w:rsidP="002B4A57">
      <w:pPr>
        <w:keepNext/>
        <w:rPr>
          <w:rFonts w:cs="Times New Roman"/>
          <w:szCs w:val="24"/>
        </w:rPr>
      </w:pPr>
      <w:r w:rsidRPr="003B2969">
        <w:rPr>
          <w:rFonts w:cs="Times New Roman"/>
          <w:b/>
          <w:szCs w:val="24"/>
        </w:rPr>
        <w:t xml:space="preserve">Supplementary Figure </w:t>
      </w:r>
      <w:r w:rsidR="003B2969" w:rsidRPr="003B2969">
        <w:rPr>
          <w:rFonts w:cs="Times New Roman"/>
          <w:b/>
          <w:szCs w:val="24"/>
        </w:rPr>
        <w:t>S</w:t>
      </w:r>
      <w:r w:rsidRPr="003B2969">
        <w:rPr>
          <w:rFonts w:cs="Times New Roman"/>
          <w:b/>
          <w:szCs w:val="24"/>
        </w:rPr>
        <w:fldChar w:fldCharType="begin"/>
      </w:r>
      <w:r w:rsidRPr="003B2969">
        <w:rPr>
          <w:rFonts w:cs="Times New Roman"/>
          <w:b/>
          <w:szCs w:val="24"/>
        </w:rPr>
        <w:instrText xml:space="preserve"> SEQ Figure \* ARABIC </w:instrText>
      </w:r>
      <w:r w:rsidRPr="003B2969">
        <w:rPr>
          <w:rFonts w:cs="Times New Roman"/>
          <w:b/>
          <w:szCs w:val="24"/>
        </w:rPr>
        <w:fldChar w:fldCharType="separate"/>
      </w:r>
      <w:r w:rsidR="00ED20B5" w:rsidRPr="003B2969">
        <w:rPr>
          <w:rFonts w:cs="Times New Roman"/>
          <w:b/>
          <w:noProof/>
          <w:szCs w:val="24"/>
        </w:rPr>
        <w:t>1</w:t>
      </w:r>
      <w:r w:rsidRPr="003B2969">
        <w:rPr>
          <w:rFonts w:cs="Times New Roman"/>
          <w:b/>
          <w:szCs w:val="24"/>
        </w:rPr>
        <w:fldChar w:fldCharType="end"/>
      </w:r>
      <w:r w:rsidRPr="003B2969">
        <w:rPr>
          <w:rFonts w:cs="Times New Roman"/>
          <w:b/>
          <w:szCs w:val="24"/>
        </w:rPr>
        <w:t>.</w:t>
      </w:r>
      <w:r w:rsidRPr="003B2969">
        <w:rPr>
          <w:rFonts w:cs="Times New Roman"/>
          <w:szCs w:val="24"/>
        </w:rPr>
        <w:t xml:space="preserve"> </w:t>
      </w:r>
      <w:r w:rsidR="003B2969" w:rsidRPr="003B2969">
        <w:rPr>
          <w:rFonts w:cs="Times New Roman"/>
          <w:b/>
          <w:szCs w:val="24"/>
        </w:rPr>
        <w:t>DNA methylation clustering analysis.</w:t>
      </w:r>
      <w:r w:rsidR="003B2969" w:rsidRPr="003B2969">
        <w:rPr>
          <w:rFonts w:cs="Times New Roman"/>
          <w:szCs w:val="24"/>
        </w:rPr>
        <w:t xml:space="preserve"> A: Median absolute deviation (MAD) value distribution for all probes. The number of probes decreases roughly exponentially with MAD above about 0.05. B: </w:t>
      </w:r>
      <w:proofErr w:type="spellStart"/>
      <w:r w:rsidR="003B2969" w:rsidRPr="003B2969">
        <w:rPr>
          <w:rFonts w:cs="Times New Roman"/>
          <w:szCs w:val="24"/>
        </w:rPr>
        <w:t>Heatmap</w:t>
      </w:r>
      <w:proofErr w:type="spellEnd"/>
      <w:r w:rsidR="003B2969" w:rsidRPr="003B2969">
        <w:rPr>
          <w:rFonts w:cs="Times New Roman"/>
          <w:szCs w:val="24"/>
        </w:rPr>
        <w:t xml:space="preserve"> of hierarchical clustering with the top 200 probes with highest MAD values. Each row represents one sample and each column one probe. The order of the samples are the same as in supplementary. C: TSNE plot of the top 200 probes with highest MAD values (probes with missing values were removed). The marker color indicates IDH mutation status. Note the slightly weaker clustering by IDH status than what is seen in Figure 4C using 500 probes.</w:t>
      </w:r>
    </w:p>
    <w:p w14:paraId="679227BC" w14:textId="77777777" w:rsidR="003B2969" w:rsidRDefault="003B2969">
      <w:pPr>
        <w:spacing w:before="0" w:after="200" w:line="276" w:lineRule="auto"/>
        <w:rPr>
          <w:rFonts w:cs="Times New Roman"/>
          <w:sz w:val="22"/>
        </w:rPr>
      </w:pPr>
      <w:r>
        <w:rPr>
          <w:rFonts w:cs="Times New Roman"/>
          <w:sz w:val="22"/>
        </w:rPr>
        <w:br w:type="page"/>
      </w:r>
    </w:p>
    <w:p w14:paraId="0C7F41ED" w14:textId="77777777" w:rsidR="00994A3D" w:rsidRPr="002B4A57" w:rsidRDefault="00994A3D" w:rsidP="002B4A57">
      <w:pPr>
        <w:keepNext/>
        <w:rPr>
          <w:rFonts w:cs="Times New Roman"/>
          <w:b/>
          <w:szCs w:val="24"/>
        </w:rPr>
      </w:pPr>
    </w:p>
    <w:p w14:paraId="02D1BEFC" w14:textId="3FBE17A2" w:rsidR="003B2969" w:rsidRPr="001549D3" w:rsidRDefault="003B2969" w:rsidP="003B2969">
      <w:pPr>
        <w:keepNext/>
        <w:jc w:val="center"/>
        <w:rPr>
          <w:rFonts w:cs="Times New Roman"/>
          <w:szCs w:val="24"/>
        </w:rPr>
      </w:pPr>
      <w:r w:rsidRPr="005348EA">
        <w:rPr>
          <w:rFonts w:cs="Times New Roman"/>
          <w:b/>
          <w:noProof/>
          <w:color w:val="000000"/>
          <w:sz w:val="22"/>
        </w:rPr>
        <w:drawing>
          <wp:inline distT="0" distB="0" distL="0" distR="0" wp14:anchorId="7A9D7971" wp14:editId="0648CADB">
            <wp:extent cx="3321050" cy="3550969"/>
            <wp:effectExtent l="0" t="0" r="0" b="0"/>
            <wp:docPr id="2" name="Picture 2" descr="Schellingerhout_Hamilton_revision_4-13-201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llingerhout_Hamilton_revision_4-13-2011_B"/>
                    <pic:cNvPicPr>
                      <a:picLocks noChangeAspect="1" noChangeArrowheads="1"/>
                    </pic:cNvPicPr>
                  </pic:nvPicPr>
                  <pic:blipFill rotWithShape="1">
                    <a:blip r:embed="rId9">
                      <a:extLst>
                        <a:ext uri="{28A0092B-C50C-407E-A947-70E740481C1C}">
                          <a14:useLocalDpi xmlns:a14="http://schemas.microsoft.com/office/drawing/2010/main" val="0"/>
                        </a:ext>
                      </a:extLst>
                    </a:blip>
                    <a:srcRect t="61442" r="69907"/>
                    <a:stretch/>
                  </pic:blipFill>
                  <pic:spPr bwMode="auto">
                    <a:xfrm>
                      <a:off x="0" y="0"/>
                      <a:ext cx="3326140" cy="355641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xt>
                    </a:extLst>
                  </pic:spPr>
                </pic:pic>
              </a:graphicData>
            </a:graphic>
          </wp:inline>
        </w:drawing>
      </w:r>
    </w:p>
    <w:p w14:paraId="0F4F9CAE" w14:textId="5A2A6ED4" w:rsidR="003B2969" w:rsidRPr="003B2969" w:rsidRDefault="003B2969" w:rsidP="003B2969">
      <w:pPr>
        <w:jc w:val="both"/>
        <w:rPr>
          <w:rFonts w:cs="Times New Roman"/>
          <w:szCs w:val="24"/>
        </w:rPr>
      </w:pPr>
      <w:r w:rsidRPr="003B2969">
        <w:rPr>
          <w:rFonts w:cs="Times New Roman"/>
          <w:b/>
          <w:szCs w:val="24"/>
        </w:rPr>
        <w:t xml:space="preserve">Supplementary Figure S2: Illustration of the </w:t>
      </w:r>
      <w:proofErr w:type="spellStart"/>
      <w:r w:rsidRPr="003B2969">
        <w:rPr>
          <w:rFonts w:cs="Times New Roman"/>
          <w:b/>
          <w:szCs w:val="24"/>
        </w:rPr>
        <w:t>Nashold</w:t>
      </w:r>
      <w:proofErr w:type="spellEnd"/>
      <w:r w:rsidRPr="003B2969">
        <w:rPr>
          <w:rFonts w:cs="Times New Roman"/>
          <w:b/>
          <w:szCs w:val="24"/>
        </w:rPr>
        <w:t xml:space="preserve"> biopsy needle used to collect biopsy specimens.</w:t>
      </w:r>
      <w:r w:rsidRPr="003B2969">
        <w:rPr>
          <w:rFonts w:cs="Times New Roman"/>
          <w:szCs w:val="24"/>
        </w:rPr>
        <w:t xml:space="preserve"> The surgical navigation software is correlated with the tip of the instrument (red dashed lines). The distance from the tip to the center of the side window is 7 mm and this distance is used to obtain the sample coordinates at the time of collection. For several specimens, the cylindrical core samples was cut in half for separate analysis of the “shallow” and “deep” ends. The ends were assumed to be 5mm distant. Note the samples are collected prior to the opening of the dura (blue) to avoid brain shift.</w:t>
      </w:r>
    </w:p>
    <w:p w14:paraId="28EAA770" w14:textId="77777777" w:rsidR="003B2969" w:rsidRDefault="003B2969">
      <w:pPr>
        <w:spacing w:before="0" w:after="200" w:line="276" w:lineRule="auto"/>
        <w:rPr>
          <w:rFonts w:cs="Times New Roman"/>
          <w:sz w:val="22"/>
        </w:rPr>
      </w:pPr>
      <w:r>
        <w:rPr>
          <w:rFonts w:cs="Times New Roman"/>
          <w:sz w:val="22"/>
        </w:rPr>
        <w:br w:type="page"/>
      </w:r>
    </w:p>
    <w:p w14:paraId="6EC3688C" w14:textId="77777777" w:rsidR="003B2969" w:rsidRDefault="003B2969" w:rsidP="003B2969">
      <w:pPr>
        <w:rPr>
          <w:rFonts w:cs="Times New Roman"/>
          <w:sz w:val="22"/>
        </w:rPr>
      </w:pPr>
      <w:r>
        <w:rPr>
          <w:rFonts w:cs="Times New Roman"/>
          <w:noProof/>
          <w:sz w:val="22"/>
        </w:rPr>
        <w:lastRenderedPageBreak/>
        <w:drawing>
          <wp:inline distT="0" distB="0" distL="0" distR="0" wp14:anchorId="50CD7D60" wp14:editId="764FA7E2">
            <wp:extent cx="6206490" cy="434086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490" cy="4340860"/>
                    </a:xfrm>
                    <a:prstGeom prst="rect">
                      <a:avLst/>
                    </a:prstGeom>
                    <a:noFill/>
                  </pic:spPr>
                </pic:pic>
              </a:graphicData>
            </a:graphic>
          </wp:inline>
        </w:drawing>
      </w:r>
    </w:p>
    <w:p w14:paraId="73C7FC64" w14:textId="28E2E565" w:rsidR="003B2969" w:rsidRDefault="003B2969" w:rsidP="003B2969">
      <w:pPr>
        <w:rPr>
          <w:rFonts w:cs="Times New Roman"/>
          <w:szCs w:val="24"/>
        </w:rPr>
      </w:pPr>
      <w:r w:rsidRPr="0001436A">
        <w:rPr>
          <w:rFonts w:cs="Times New Roman"/>
          <w:b/>
          <w:szCs w:val="24"/>
        </w:rPr>
        <w:t xml:space="preserve">Supplementary </w:t>
      </w:r>
      <w:r w:rsidRPr="003B2969">
        <w:rPr>
          <w:rFonts w:cs="Times New Roman"/>
          <w:b/>
          <w:szCs w:val="24"/>
        </w:rPr>
        <w:t>Figure S3: Methylation genetic distance by IDH status.</w:t>
      </w:r>
      <w:r w:rsidRPr="003B2969">
        <w:rPr>
          <w:rFonts w:cs="Times New Roman"/>
          <w:szCs w:val="24"/>
        </w:rPr>
        <w:t xml:space="preserve"> Top: recreation of Figure 2 with best-fit lines plotted for the combined data (black), only IDH1 mutant sample pairs (orange), and only IDH WT pairs (blue). The data are plotted separately in the bottom panels. The correlations for the subset data are very similar (r = 0.43 for IDH WT, 0.32 for IDH Mutant, 0.35 combined) and the trends are significant (p</w:t>
      </w:r>
      <w:r>
        <w:rPr>
          <w:rFonts w:cs="Times New Roman"/>
          <w:szCs w:val="24"/>
        </w:rPr>
        <w:t xml:space="preserve"> </w:t>
      </w:r>
      <w:r w:rsidRPr="003B2969">
        <w:rPr>
          <w:rFonts w:cs="Times New Roman"/>
          <w:szCs w:val="24"/>
        </w:rPr>
        <w:t>&lt;</w:t>
      </w:r>
      <w:r>
        <w:rPr>
          <w:rFonts w:cs="Times New Roman"/>
          <w:szCs w:val="24"/>
        </w:rPr>
        <w:t xml:space="preserve"> </w:t>
      </w:r>
      <w:r w:rsidRPr="003B2969">
        <w:rPr>
          <w:rFonts w:cs="Times New Roman"/>
          <w:szCs w:val="24"/>
        </w:rPr>
        <w:t>0.05) in all cases.</w:t>
      </w:r>
    </w:p>
    <w:p w14:paraId="74A2E4D7" w14:textId="77777777" w:rsidR="003B2969" w:rsidRDefault="003B2969">
      <w:pPr>
        <w:spacing w:before="0" w:after="200" w:line="276" w:lineRule="auto"/>
        <w:rPr>
          <w:rFonts w:cs="Times New Roman"/>
          <w:szCs w:val="24"/>
        </w:rPr>
      </w:pPr>
      <w:r>
        <w:rPr>
          <w:rFonts w:cs="Times New Roman"/>
          <w:szCs w:val="24"/>
        </w:rPr>
        <w:br w:type="page"/>
      </w:r>
    </w:p>
    <w:p w14:paraId="28320FD5" w14:textId="77777777" w:rsidR="003B2969" w:rsidRPr="005348EA" w:rsidRDefault="003B2969" w:rsidP="003B2969">
      <w:pPr>
        <w:spacing w:line="480" w:lineRule="auto"/>
        <w:rPr>
          <w:rFonts w:cs="Times New Roman"/>
          <w:sz w:val="22"/>
        </w:rPr>
      </w:pPr>
      <w:r>
        <w:rPr>
          <w:noProof/>
        </w:rPr>
        <w:lastRenderedPageBreak/>
        <w:drawing>
          <wp:inline distT="0" distB="0" distL="0" distR="0" wp14:anchorId="511ABA81" wp14:editId="0971BE75">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7700"/>
                    </a:xfrm>
                    <a:prstGeom prst="rect">
                      <a:avLst/>
                    </a:prstGeom>
                  </pic:spPr>
                </pic:pic>
              </a:graphicData>
            </a:graphic>
          </wp:inline>
        </w:drawing>
      </w:r>
    </w:p>
    <w:p w14:paraId="23961E72" w14:textId="11442A9A" w:rsidR="003B2969" w:rsidRPr="003B2969" w:rsidRDefault="003B2969" w:rsidP="003B2969">
      <w:pPr>
        <w:rPr>
          <w:rFonts w:cs="Times New Roman"/>
          <w:szCs w:val="24"/>
        </w:rPr>
      </w:pPr>
      <w:r w:rsidRPr="003B2969">
        <w:rPr>
          <w:rFonts w:cs="Times New Roman"/>
          <w:b/>
          <w:szCs w:val="24"/>
        </w:rPr>
        <w:t xml:space="preserve">Supplementary Figure S4: Methylation genetic distance by 1p/19q </w:t>
      </w:r>
      <w:proofErr w:type="spellStart"/>
      <w:r w:rsidRPr="003B2969">
        <w:rPr>
          <w:rFonts w:cs="Times New Roman"/>
          <w:b/>
          <w:szCs w:val="24"/>
        </w:rPr>
        <w:t>codeletion</w:t>
      </w:r>
      <w:proofErr w:type="spellEnd"/>
      <w:r w:rsidRPr="003B2969">
        <w:rPr>
          <w:rFonts w:cs="Times New Roman"/>
          <w:b/>
          <w:szCs w:val="24"/>
        </w:rPr>
        <w:t xml:space="preserve"> status.</w:t>
      </w:r>
      <w:r w:rsidRPr="003B2969">
        <w:rPr>
          <w:rFonts w:cs="Times New Roman"/>
          <w:szCs w:val="24"/>
        </w:rPr>
        <w:t xml:space="preserve"> Top: recreation of Figure 2 with best-fit lines plotted for the combined data (black), only 1p/19q </w:t>
      </w:r>
      <w:proofErr w:type="spellStart"/>
      <w:r w:rsidRPr="003B2969">
        <w:rPr>
          <w:rFonts w:cs="Times New Roman"/>
          <w:szCs w:val="24"/>
        </w:rPr>
        <w:t>codeleted</w:t>
      </w:r>
      <w:proofErr w:type="spellEnd"/>
      <w:r w:rsidRPr="003B2969">
        <w:rPr>
          <w:rFonts w:cs="Times New Roman"/>
          <w:szCs w:val="24"/>
        </w:rPr>
        <w:t xml:space="preserve"> samples (orange), and only non-</w:t>
      </w:r>
      <w:proofErr w:type="spellStart"/>
      <w:r w:rsidRPr="003B2969">
        <w:rPr>
          <w:rFonts w:cs="Times New Roman"/>
          <w:szCs w:val="24"/>
        </w:rPr>
        <w:t>codeleted</w:t>
      </w:r>
      <w:proofErr w:type="spellEnd"/>
      <w:r w:rsidRPr="003B2969">
        <w:rPr>
          <w:rFonts w:cs="Times New Roman"/>
          <w:szCs w:val="24"/>
        </w:rPr>
        <w:t xml:space="preserve"> samples (blue). The data are plotted separately in the bottom panels. The correlations for the subset data are very similar (r = 0.36 for 1p/19q </w:t>
      </w:r>
      <w:proofErr w:type="spellStart"/>
      <w:r w:rsidRPr="003B2969">
        <w:rPr>
          <w:rFonts w:cs="Times New Roman"/>
          <w:szCs w:val="24"/>
        </w:rPr>
        <w:t>codeleted</w:t>
      </w:r>
      <w:proofErr w:type="spellEnd"/>
      <w:r w:rsidRPr="003B2969">
        <w:rPr>
          <w:rFonts w:cs="Times New Roman"/>
          <w:szCs w:val="24"/>
        </w:rPr>
        <w:t>, 0.35 for non-</w:t>
      </w:r>
      <w:proofErr w:type="spellStart"/>
      <w:r w:rsidRPr="003B2969">
        <w:rPr>
          <w:rFonts w:cs="Times New Roman"/>
          <w:szCs w:val="24"/>
        </w:rPr>
        <w:t>codeleted</w:t>
      </w:r>
      <w:proofErr w:type="spellEnd"/>
      <w:r w:rsidRPr="003B2969">
        <w:rPr>
          <w:rFonts w:cs="Times New Roman"/>
          <w:szCs w:val="24"/>
        </w:rPr>
        <w:t>, 0.35 combined). The trend remains significant with p</w:t>
      </w:r>
      <w:r>
        <w:rPr>
          <w:rFonts w:cs="Times New Roman"/>
          <w:szCs w:val="24"/>
        </w:rPr>
        <w:t xml:space="preserve"> </w:t>
      </w:r>
      <w:r w:rsidRPr="003B2969">
        <w:rPr>
          <w:rFonts w:cs="Times New Roman"/>
          <w:szCs w:val="24"/>
        </w:rPr>
        <w:t>&lt;</w:t>
      </w:r>
      <w:r>
        <w:rPr>
          <w:rFonts w:cs="Times New Roman"/>
          <w:szCs w:val="24"/>
        </w:rPr>
        <w:t xml:space="preserve"> </w:t>
      </w:r>
      <w:r w:rsidRPr="003B2969">
        <w:rPr>
          <w:rFonts w:cs="Times New Roman"/>
          <w:szCs w:val="24"/>
        </w:rPr>
        <w:t>0.05 for the non-</w:t>
      </w:r>
      <w:proofErr w:type="spellStart"/>
      <w:r w:rsidRPr="003B2969">
        <w:rPr>
          <w:rFonts w:cs="Times New Roman"/>
          <w:szCs w:val="24"/>
        </w:rPr>
        <w:t>codeleted</w:t>
      </w:r>
      <w:proofErr w:type="spellEnd"/>
      <w:r w:rsidRPr="003B2969">
        <w:rPr>
          <w:rFonts w:cs="Times New Roman"/>
          <w:szCs w:val="24"/>
        </w:rPr>
        <w:t xml:space="preserve"> samples as well.</w:t>
      </w:r>
    </w:p>
    <w:p w14:paraId="3E5DD384" w14:textId="77777777" w:rsidR="003B2969" w:rsidRPr="005348EA" w:rsidRDefault="003B2969" w:rsidP="003B2969">
      <w:pPr>
        <w:rPr>
          <w:rFonts w:cs="Times New Roman"/>
          <w:sz w:val="22"/>
        </w:rPr>
      </w:pPr>
    </w:p>
    <w:p w14:paraId="619B915B" w14:textId="02053C4D" w:rsidR="00F65B14" w:rsidRPr="00F14BC6" w:rsidRDefault="00F65B14" w:rsidP="00F65B14">
      <w:pPr>
        <w:pStyle w:val="Heading1"/>
        <w:rPr>
          <w:szCs w:val="22"/>
        </w:rPr>
      </w:pPr>
      <w:r w:rsidRPr="00F14BC6">
        <w:t>Supplementary</w:t>
      </w:r>
      <w:r w:rsidRPr="00F14BC6">
        <w:rPr>
          <w:szCs w:val="22"/>
        </w:rPr>
        <w:t xml:space="preserve"> Table Captions</w:t>
      </w:r>
    </w:p>
    <w:p w14:paraId="439870E2" w14:textId="623D98EE" w:rsidR="003B2969" w:rsidRPr="00F14BC6" w:rsidRDefault="00804E8A" w:rsidP="003B2969">
      <w:pPr>
        <w:keepNext/>
        <w:rPr>
          <w:rFonts w:cs="Times New Roman"/>
        </w:rPr>
      </w:pPr>
      <w:r w:rsidRPr="00F14BC6">
        <w:rPr>
          <w:rFonts w:cs="Times New Roman"/>
          <w:b/>
        </w:rPr>
        <w:t>Table S1: Validation results for WES by focused Ion Proton sequencing.</w:t>
      </w:r>
      <w:r w:rsidRPr="00F14BC6">
        <w:rPr>
          <w:rFonts w:cs="Times New Roman"/>
        </w:rPr>
        <w:t xml:space="preserve"> The concordance rate for the validated samples (P17S1, P21S2, and P22S2) is 100%.</w:t>
      </w:r>
    </w:p>
    <w:p w14:paraId="34F87B2F" w14:textId="73DA4D68" w:rsidR="00804E8A" w:rsidRPr="00F14BC6" w:rsidRDefault="00804E8A" w:rsidP="00804E8A">
      <w:pPr>
        <w:keepNext/>
        <w:rPr>
          <w:rFonts w:cs="Times New Roman"/>
        </w:rPr>
      </w:pPr>
      <w:r w:rsidRPr="00F14BC6">
        <w:rPr>
          <w:rFonts w:cs="Times New Roman"/>
          <w:b/>
        </w:rPr>
        <w:t>Table S</w:t>
      </w:r>
      <w:r w:rsidRPr="00F14BC6">
        <w:rPr>
          <w:rFonts w:cs="Times New Roman"/>
          <w:b/>
        </w:rPr>
        <w:t>2</w:t>
      </w:r>
      <w:r w:rsidRPr="00F14BC6">
        <w:rPr>
          <w:rFonts w:cs="Times New Roman"/>
          <w:b/>
        </w:rPr>
        <w:t xml:space="preserve">: </w:t>
      </w:r>
      <w:r w:rsidRPr="00F14BC6">
        <w:rPr>
          <w:rFonts w:cs="Times New Roman"/>
          <w:b/>
        </w:rPr>
        <w:t>Primer sequences for</w:t>
      </w:r>
      <w:r w:rsidRPr="00F14BC6">
        <w:rPr>
          <w:rFonts w:cs="Times New Roman"/>
          <w:b/>
        </w:rPr>
        <w:t xml:space="preserve"> WES</w:t>
      </w:r>
      <w:r w:rsidRPr="00F14BC6">
        <w:rPr>
          <w:rFonts w:cs="Times New Roman"/>
        </w:rPr>
        <w:t xml:space="preserve">. Sequences are listed for the three samples </w:t>
      </w:r>
      <w:r w:rsidRPr="00F14BC6">
        <w:rPr>
          <w:rFonts w:cs="Times New Roman"/>
        </w:rPr>
        <w:t>(P17S1, P21S2, and P22S2)</w:t>
      </w:r>
      <w:r w:rsidRPr="00F14BC6">
        <w:rPr>
          <w:rFonts w:cs="Times New Roman"/>
        </w:rPr>
        <w:t xml:space="preserve"> used for validation of WES.</w:t>
      </w:r>
    </w:p>
    <w:p w14:paraId="2A3C0080" w14:textId="1EC28453" w:rsidR="00804E8A" w:rsidRPr="00F14BC6" w:rsidRDefault="00804E8A" w:rsidP="00804E8A">
      <w:pPr>
        <w:keepNext/>
        <w:rPr>
          <w:rFonts w:cs="Times New Roman"/>
        </w:rPr>
      </w:pPr>
      <w:r w:rsidRPr="00F14BC6">
        <w:rPr>
          <w:rFonts w:cs="Times New Roman"/>
          <w:b/>
        </w:rPr>
        <w:t>Table S3: Estimated tumor content.</w:t>
      </w:r>
      <w:r w:rsidRPr="00F14BC6">
        <w:rPr>
          <w:rFonts w:cs="Times New Roman"/>
        </w:rPr>
        <w:t xml:space="preserve"> Using CNV data we estimated the cellularity and ploidy of each sample. Cellularity was &gt;50% indicating substantial tumor content.</w:t>
      </w:r>
    </w:p>
    <w:p w14:paraId="529E8C39" w14:textId="5CFEED9C" w:rsidR="00804E8A" w:rsidRPr="00F14BC6" w:rsidRDefault="00804E8A" w:rsidP="00804E8A">
      <w:pPr>
        <w:keepNext/>
        <w:rPr>
          <w:rFonts w:cs="Times New Roman"/>
        </w:rPr>
      </w:pPr>
      <w:r w:rsidRPr="00F14BC6">
        <w:rPr>
          <w:rFonts w:cs="Times New Roman"/>
          <w:b/>
        </w:rPr>
        <w:t>Table S</w:t>
      </w:r>
      <w:r w:rsidRPr="00F14BC6">
        <w:rPr>
          <w:rFonts w:cs="Times New Roman"/>
          <w:b/>
        </w:rPr>
        <w:t>4</w:t>
      </w:r>
      <w:r w:rsidRPr="00F14BC6">
        <w:rPr>
          <w:rFonts w:cs="Times New Roman"/>
          <w:b/>
        </w:rPr>
        <w:t xml:space="preserve">: </w:t>
      </w:r>
      <w:r w:rsidRPr="00F14BC6">
        <w:rPr>
          <w:rFonts w:cs="Times New Roman"/>
          <w:b/>
        </w:rPr>
        <w:t>Methylation profile cluster data.</w:t>
      </w:r>
      <w:r w:rsidRPr="00F14BC6">
        <w:rPr>
          <w:rFonts w:cs="Times New Roman"/>
        </w:rPr>
        <w:t xml:space="preserve"> Samples were clustered using t-SNE analy</w:t>
      </w:r>
      <w:r w:rsidR="005502D9" w:rsidRPr="00F14BC6">
        <w:rPr>
          <w:rFonts w:cs="Times New Roman"/>
        </w:rPr>
        <w:t xml:space="preserve">sis and the clusters correspond strongly to IDH mutation status. For each sample, the IDH mutation status is </w:t>
      </w:r>
      <w:r w:rsidR="005502D9" w:rsidRPr="00F14BC6">
        <w:rPr>
          <w:rFonts w:cs="Times New Roman"/>
        </w:rPr>
        <w:lastRenderedPageBreak/>
        <w:t xml:space="preserve">listed in three ways: as given in the patient’s clinical record, as predicted by methylation analysis, and as found by WES (if available). The only discordance is in the case of </w:t>
      </w:r>
      <w:bookmarkStart w:id="0" w:name="_GoBack"/>
      <w:bookmarkEnd w:id="0"/>
      <w:r w:rsidR="005502D9" w:rsidRPr="00F14BC6">
        <w:rPr>
          <w:rFonts w:cs="Times New Roman"/>
        </w:rPr>
        <w:t>IDH2 mutation which is not tested for clinically but will be detected by methylation profiling or WES.</w:t>
      </w:r>
    </w:p>
    <w:p w14:paraId="7C3FB4EE" w14:textId="3B06F607" w:rsidR="005502D9" w:rsidRPr="00F14BC6" w:rsidRDefault="005502D9" w:rsidP="005502D9">
      <w:pPr>
        <w:keepNext/>
        <w:rPr>
          <w:rFonts w:cs="Times New Roman"/>
        </w:rPr>
      </w:pPr>
      <w:r w:rsidRPr="00F14BC6">
        <w:rPr>
          <w:rFonts w:cs="Times New Roman"/>
          <w:b/>
        </w:rPr>
        <w:t xml:space="preserve">Table </w:t>
      </w:r>
      <w:r w:rsidRPr="00F14BC6">
        <w:rPr>
          <w:rFonts w:cs="Times New Roman"/>
          <w:b/>
        </w:rPr>
        <w:t>S5: Euclidean and genetic distance data</w:t>
      </w:r>
      <w:r w:rsidRPr="00F14BC6">
        <w:rPr>
          <w:rFonts w:cs="Times New Roman"/>
          <w:b/>
        </w:rPr>
        <w:t>.</w:t>
      </w:r>
      <w:r w:rsidRPr="00F14BC6">
        <w:rPr>
          <w:rFonts w:cs="Times New Roman"/>
        </w:rPr>
        <w:t xml:space="preserve"> </w:t>
      </w:r>
      <w:r w:rsidRPr="00F14BC6">
        <w:rPr>
          <w:rFonts w:cs="Times New Roman"/>
        </w:rPr>
        <w:t xml:space="preserve">For each pair of samples the physical (Euclidean) distance between samples is listed along with the three measures of genetic distance. </w:t>
      </w:r>
      <w:proofErr w:type="spellStart"/>
      <w:r w:rsidRPr="00F14BC6">
        <w:rPr>
          <w:rFonts w:cs="Times New Roman"/>
        </w:rPr>
        <w:t>Jaccard</w:t>
      </w:r>
      <w:proofErr w:type="spellEnd"/>
      <w:r w:rsidRPr="00F14BC6">
        <w:rPr>
          <w:rFonts w:cs="Times New Roman"/>
        </w:rPr>
        <w:t xml:space="preserve"> genetic distance (mutation genetic distance), CNV genetic distance, and methylation genetic distance are plotted in Figures 2-4. For reference the clinical IDH1 mutation status, 1p/19q co-deletion status, and MGMT promotor methylation are also given for each sample pair.</w:t>
      </w:r>
    </w:p>
    <w:p w14:paraId="55E639AE" w14:textId="77777777" w:rsidR="005502D9" w:rsidRPr="001549D3" w:rsidRDefault="005502D9" w:rsidP="00654E8F">
      <w:pPr>
        <w:spacing w:before="240"/>
      </w:pPr>
    </w:p>
    <w:sectPr w:rsidR="005502D9"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14BC6">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14BC6">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14BC6">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14BC6">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B2969"/>
    <w:rsid w:val="003D2F2D"/>
    <w:rsid w:val="00401590"/>
    <w:rsid w:val="00447801"/>
    <w:rsid w:val="00452E9C"/>
    <w:rsid w:val="004735C8"/>
    <w:rsid w:val="004947A6"/>
    <w:rsid w:val="004961FF"/>
    <w:rsid w:val="0051713B"/>
    <w:rsid w:val="00517A89"/>
    <w:rsid w:val="005250F2"/>
    <w:rsid w:val="005502D9"/>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4E8A"/>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14BC6"/>
    <w:rsid w:val="00F44F25"/>
    <w:rsid w:val="00F46900"/>
    <w:rsid w:val="00F61D89"/>
    <w:rsid w:val="00F65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21036AB-3C56-4C7F-AA5E-B106570C0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Gates,Evan</cp:lastModifiedBy>
  <cp:revision>3</cp:revision>
  <cp:lastPrinted>2013-10-03T12:51:00Z</cp:lastPrinted>
  <dcterms:created xsi:type="dcterms:W3CDTF">2019-07-17T16:22:00Z</dcterms:created>
  <dcterms:modified xsi:type="dcterms:W3CDTF">2019-07-17T16:22:00Z</dcterms:modified>
</cp:coreProperties>
</file>