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F1348" w14:textId="233D321A" w:rsidR="00654E8F" w:rsidRPr="007E0FA5" w:rsidRDefault="00654E8F" w:rsidP="0001436A">
      <w:pPr>
        <w:pStyle w:val="SupplementaryMaterial"/>
        <w:rPr>
          <w:b w:val="0"/>
          <w:color w:val="000000" w:themeColor="text1"/>
        </w:rPr>
      </w:pPr>
      <w:r w:rsidRPr="007E0FA5">
        <w:rPr>
          <w:color w:val="000000" w:themeColor="text1"/>
        </w:rPr>
        <w:t>Supplementary Material</w:t>
      </w:r>
    </w:p>
    <w:p w14:paraId="4A63A332" w14:textId="77777777" w:rsidR="00EA3D3C" w:rsidRPr="007E0FA5" w:rsidRDefault="00654E8F" w:rsidP="00B31006">
      <w:pPr>
        <w:pStyle w:val="1"/>
        <w:numPr>
          <w:ilvl w:val="0"/>
          <w:numId w:val="0"/>
        </w:numPr>
        <w:rPr>
          <w:color w:val="000000" w:themeColor="text1"/>
        </w:rPr>
      </w:pPr>
      <w:r w:rsidRPr="007E0FA5">
        <w:rPr>
          <w:color w:val="000000" w:themeColor="text1"/>
        </w:rPr>
        <w:t>Supplementary Data</w:t>
      </w:r>
    </w:p>
    <w:p w14:paraId="55A9124A" w14:textId="77777777" w:rsidR="00C718D7" w:rsidRPr="007E0FA5" w:rsidRDefault="00C718D7" w:rsidP="00C718D7">
      <w:pPr>
        <w:spacing w:before="100" w:beforeAutospacing="1" w:after="100" w:afterAutospacing="1"/>
        <w:jc w:val="both"/>
        <w:rPr>
          <w:rFonts w:cs="Times New Roman"/>
          <w:b/>
          <w:color w:val="000000" w:themeColor="text1"/>
          <w:szCs w:val="24"/>
        </w:rPr>
      </w:pPr>
      <w:r w:rsidRPr="007E0FA5">
        <w:rPr>
          <w:rFonts w:cs="Times New Roman"/>
          <w:b/>
          <w:color w:val="000000" w:themeColor="text1"/>
          <w:szCs w:val="24"/>
        </w:rPr>
        <w:t>Real-time Quantitative Polymerase Chain Reaction (qPCR) Analysis</w:t>
      </w:r>
    </w:p>
    <w:p w14:paraId="522F8330" w14:textId="41ED046F" w:rsidR="00C718D7" w:rsidRPr="007E0FA5" w:rsidRDefault="00C718D7" w:rsidP="00C718D7">
      <w:pPr>
        <w:spacing w:before="100" w:beforeAutospacing="1" w:after="100" w:afterAutospacing="1"/>
        <w:jc w:val="both"/>
        <w:rPr>
          <w:rFonts w:cs="Times New Roman"/>
          <w:color w:val="000000" w:themeColor="text1"/>
          <w:szCs w:val="24"/>
        </w:rPr>
      </w:pPr>
      <w:r w:rsidRPr="007E0FA5">
        <w:rPr>
          <w:rFonts w:cs="Times New Roman"/>
          <w:color w:val="000000" w:themeColor="text1"/>
          <w:szCs w:val="24"/>
        </w:rPr>
        <w:t xml:space="preserve">Total RNA from tissues was extracted using Isogen (Nippon Gene, Tokyo, Japan) combined with the clean-up protocol of the RNeasy Mini kit (QIAGEN, Hilden, Germany). </w:t>
      </w:r>
      <w:proofErr w:type="gramStart"/>
      <w:r w:rsidRPr="007E0FA5">
        <w:rPr>
          <w:rFonts w:cs="Times New Roman"/>
          <w:color w:val="000000" w:themeColor="text1"/>
          <w:szCs w:val="24"/>
        </w:rPr>
        <w:t>cDNA</w:t>
      </w:r>
      <w:proofErr w:type="gramEnd"/>
      <w:r w:rsidRPr="007E0FA5">
        <w:rPr>
          <w:rFonts w:cs="Times New Roman"/>
          <w:color w:val="000000" w:themeColor="text1"/>
          <w:szCs w:val="24"/>
        </w:rPr>
        <w:t xml:space="preserve"> synthesis from 500 ng total RNA was performed using a </w:t>
      </w:r>
      <w:proofErr w:type="spellStart"/>
      <w:r w:rsidRPr="007E0FA5">
        <w:rPr>
          <w:rFonts w:cs="Times New Roman"/>
          <w:color w:val="000000" w:themeColor="text1"/>
          <w:szCs w:val="24"/>
        </w:rPr>
        <w:t>ReverTra</w:t>
      </w:r>
      <w:proofErr w:type="spellEnd"/>
      <w:r w:rsidRPr="007E0FA5">
        <w:rPr>
          <w:rFonts w:cs="Times New Roman"/>
          <w:color w:val="000000" w:themeColor="text1"/>
          <w:szCs w:val="24"/>
        </w:rPr>
        <w:t xml:space="preserve"> Ace qPCR RT Kit (Toyobo, Osaka, Japan). Real-time qPCR was performed with cDNA samples using Power SYBR Green Master Mix (Applied Biosystems, Foster City, CA, USA) and the ABI </w:t>
      </w:r>
      <w:proofErr w:type="spellStart"/>
      <w:r w:rsidRPr="007E0FA5">
        <w:rPr>
          <w:rFonts w:cs="Times New Roman"/>
          <w:color w:val="000000" w:themeColor="text1"/>
          <w:szCs w:val="24"/>
        </w:rPr>
        <w:t>StepOnePlus</w:t>
      </w:r>
      <w:proofErr w:type="spellEnd"/>
      <w:r w:rsidRPr="007E0FA5">
        <w:rPr>
          <w:rFonts w:cs="Times New Roman"/>
          <w:color w:val="000000" w:themeColor="text1"/>
          <w:szCs w:val="24"/>
        </w:rPr>
        <w:t xml:space="preserve"> Real-Time PCR System (Applied Biosystems) according to the manufacturer</w:t>
      </w:r>
      <w:r w:rsidRPr="007E0FA5">
        <w:rPr>
          <w:rFonts w:cs="Times New Roman"/>
          <w:color w:val="000000" w:themeColor="text1"/>
          <w:szCs w:val="24"/>
          <w:lang w:eastAsia="ja-JP"/>
        </w:rPr>
        <w:t>’</w:t>
      </w:r>
      <w:r w:rsidRPr="007E0FA5">
        <w:rPr>
          <w:rFonts w:cs="Times New Roman"/>
          <w:color w:val="000000" w:themeColor="text1"/>
          <w:szCs w:val="24"/>
        </w:rPr>
        <w:t xml:space="preserve">s instructions. The relative mRNA levels were determined using 18S as an endogenous control gene. </w:t>
      </w:r>
    </w:p>
    <w:p w14:paraId="3C2C5C13" w14:textId="77777777" w:rsidR="00011DA0" w:rsidRPr="007E0FA5" w:rsidRDefault="00011DA0" w:rsidP="00011DA0">
      <w:pPr>
        <w:spacing w:before="100" w:beforeAutospacing="1" w:after="100" w:afterAutospacing="1"/>
        <w:jc w:val="both"/>
        <w:rPr>
          <w:rFonts w:cs="Times New Roman"/>
          <w:b/>
          <w:color w:val="000000" w:themeColor="text1"/>
          <w:szCs w:val="24"/>
        </w:rPr>
      </w:pPr>
      <w:r w:rsidRPr="007E0FA5">
        <w:rPr>
          <w:rFonts w:cs="Times New Roman"/>
          <w:b/>
          <w:color w:val="000000" w:themeColor="text1"/>
          <w:szCs w:val="24"/>
        </w:rPr>
        <w:t>Morpholino Treatment</w:t>
      </w:r>
    </w:p>
    <w:p w14:paraId="0CD51E12" w14:textId="46F4B312" w:rsidR="00011DA0" w:rsidRPr="007E0FA5" w:rsidRDefault="00510C2C" w:rsidP="00D91A3F">
      <w:pPr>
        <w:spacing w:before="100" w:beforeAutospacing="1" w:after="100" w:afterAutospacing="1"/>
        <w:jc w:val="both"/>
        <w:rPr>
          <w:rFonts w:cs="Times New Roman"/>
          <w:color w:val="000000" w:themeColor="text1"/>
          <w:szCs w:val="24"/>
        </w:rPr>
      </w:pPr>
      <w:r w:rsidRPr="007E0FA5">
        <w:rPr>
          <w:rFonts w:cs="Times New Roman"/>
          <w:color w:val="000000" w:themeColor="text1"/>
          <w:szCs w:val="24"/>
        </w:rPr>
        <w:t>Intraperitoneal injection of Morpholino (MO)</w:t>
      </w:r>
      <w:r w:rsidR="00F049A2" w:rsidRPr="007E0FA5">
        <w:rPr>
          <w:color w:val="000000" w:themeColor="text1"/>
          <w:szCs w:val="24"/>
        </w:rPr>
        <w:t xml:space="preserve"> was performed as previously described </w:t>
      </w:r>
      <w:r w:rsidR="00F049A2" w:rsidRPr="007E0FA5">
        <w:rPr>
          <w:color w:val="000000" w:themeColor="text1"/>
          <w:szCs w:val="24"/>
        </w:rPr>
        <w:fldChar w:fldCharType="begin"/>
      </w:r>
      <w:r w:rsidR="00F049A2" w:rsidRPr="007E0FA5">
        <w:rPr>
          <w:color w:val="000000" w:themeColor="text1"/>
          <w:szCs w:val="24"/>
        </w:rPr>
        <w:instrText xml:space="preserve"> ADDIN EN.CITE &lt;EndNote&gt;&lt;Cite&gt;&lt;Author&gt;Kinkel&lt;/Author&gt;&lt;Year&gt;2010&lt;/Year&gt;&lt;RecNum&gt;73&lt;/RecNum&gt;&lt;DisplayText&gt;(Kinkel et al., 2010)&lt;/DisplayText&gt;&lt;record&gt;&lt;rec-number&gt;73&lt;/rec-number&gt;&lt;foreign-keys&gt;&lt;key app="EN" db-id="satfxrzfgez2z2et9a9pdxsase5fwaa22ve0"&gt;73&lt;/key&gt;&lt;/foreign-keys&gt;&lt;ref-type name="Journal Article"&gt;17&lt;/ref-type&gt;&lt;contributors&gt;&lt;authors&gt;&lt;author&gt;Kinkel, M. D.&lt;/author&gt;&lt;author&gt;Eames, S. C.&lt;/author&gt;&lt;author&gt;Philipson, L. H.&lt;/author&gt;&lt;author&gt;Prince, V. E.&lt;/author&gt;&lt;/authors&gt;&lt;/contributors&gt;&lt;auth-address&gt;Department of Organismal Biology and Anatomy, The University of Chicago, USA. mkinkel@uchicago.edu&lt;/auth-address&gt;&lt;titles&gt;&lt;title&gt;Intraperitoneal injection into adult zebrafish&lt;/title&gt;&lt;secondary-title&gt;J Vis Exp&lt;/secondary-title&gt;&lt;alt-title&gt;Journal of visualized experiments : JoVE&lt;/alt-title&gt;&lt;/titles&gt;&lt;periodical&gt;&lt;full-title&gt;J Vis Exp&lt;/full-title&gt;&lt;abbr-1&gt;Journal of visualized experiments : JoVE&lt;/abbr-1&gt;&lt;/periodical&gt;&lt;alt-periodical&gt;&lt;full-title&gt;J Vis Exp&lt;/full-title&gt;&lt;abbr-1&gt;Journal of visualized experiments : JoVE&lt;/abbr-1&gt;&lt;/alt-periodical&gt;&lt;number&gt;42&lt;/number&gt;&lt;keywords&gt;&lt;keyword&gt;Animals&lt;/keyword&gt;&lt;keyword&gt;Injections, Intraperitoneal/*methods/*veterinary&lt;/keyword&gt;&lt;keyword&gt;*Zebrafish&lt;/keyword&gt;&lt;/keywords&gt;&lt;dates&gt;&lt;year&gt;2010&lt;/year&gt;&lt;pub-dates&gt;&lt;date&gt;Aug 30&lt;/date&gt;&lt;/pub-dates&gt;&lt;/dates&gt;&lt;isbn&gt;1940-087X (Electronic)&amp;#xD;1940-087X (Linking)&lt;/isbn&gt;&lt;accession-num&gt;20834219&lt;/accession-num&gt;&lt;urls&gt;&lt;related-urls&gt;&lt;url&gt;http://www.ncbi.nlm.nih.gov/pubmed/20834219&lt;/url&gt;&lt;/related-urls&gt;&lt;/urls&gt;&lt;custom2&gt;3278329&lt;/custom2&gt;&lt;electronic-resource-num&gt;10.3791/2126&lt;/electronic-resource-num&gt;&lt;/record&gt;&lt;/Cite&gt;&lt;/EndNote&gt;</w:instrText>
      </w:r>
      <w:r w:rsidR="00F049A2" w:rsidRPr="007E0FA5">
        <w:rPr>
          <w:color w:val="000000" w:themeColor="text1"/>
          <w:szCs w:val="24"/>
        </w:rPr>
        <w:fldChar w:fldCharType="separate"/>
      </w:r>
      <w:r w:rsidR="00F049A2" w:rsidRPr="007E0FA5">
        <w:rPr>
          <w:noProof/>
          <w:color w:val="000000" w:themeColor="text1"/>
          <w:szCs w:val="24"/>
        </w:rPr>
        <w:t>(</w:t>
      </w:r>
      <w:hyperlink w:anchor="_ENREF_1" w:tooltip="Kinkel, 2010 #73" w:history="1">
        <w:r w:rsidR="00F049A2" w:rsidRPr="007E0FA5">
          <w:rPr>
            <w:noProof/>
            <w:color w:val="000000" w:themeColor="text1"/>
            <w:szCs w:val="24"/>
          </w:rPr>
          <w:t>Kinkel et al., 2010</w:t>
        </w:r>
      </w:hyperlink>
      <w:r w:rsidR="00F049A2" w:rsidRPr="007E0FA5">
        <w:rPr>
          <w:noProof/>
          <w:color w:val="000000" w:themeColor="text1"/>
          <w:szCs w:val="24"/>
        </w:rPr>
        <w:t>)</w:t>
      </w:r>
      <w:r w:rsidR="00F049A2" w:rsidRPr="007E0FA5">
        <w:rPr>
          <w:color w:val="000000" w:themeColor="text1"/>
          <w:szCs w:val="24"/>
        </w:rPr>
        <w:fldChar w:fldCharType="end"/>
      </w:r>
      <w:r w:rsidR="00F049A2" w:rsidRPr="007E0FA5">
        <w:rPr>
          <w:color w:val="000000" w:themeColor="text1"/>
          <w:szCs w:val="24"/>
        </w:rPr>
        <w:t xml:space="preserve">. In brief, </w:t>
      </w:r>
      <w:r w:rsidR="00F049A2" w:rsidRPr="007E0FA5">
        <w:rPr>
          <w:rFonts w:cs="Times New Roman"/>
          <w:color w:val="000000" w:themeColor="text1"/>
          <w:szCs w:val="24"/>
        </w:rPr>
        <w:t xml:space="preserve">adult male fishes (AB strain) were anesthetized by temperature decrement using ice water (gradually from 17°C to 12°C). Body weight was measured, and the volume of MO solution was calculated to achieve a dose of 15 mg/kg fish weight, adjusted to 10 µL in distilled water. Thereafter, </w:t>
      </w:r>
      <w:r w:rsidR="00F049A2" w:rsidRPr="007E0FA5">
        <w:rPr>
          <w:color w:val="000000" w:themeColor="text1"/>
          <w:szCs w:val="24"/>
        </w:rPr>
        <w:t xml:space="preserve">MO was intraperitoneally injected at a dose of 15 mg/kg fish weight. </w:t>
      </w:r>
      <w:r w:rsidR="00F049A2" w:rsidRPr="007E0FA5">
        <w:rPr>
          <w:rFonts w:cs="Times New Roman"/>
          <w:color w:val="000000" w:themeColor="text1"/>
          <w:szCs w:val="24"/>
        </w:rPr>
        <w:t>Fishes were recovered in fresh system water after intraperitoneal injection.</w:t>
      </w:r>
      <w:r w:rsidR="00F049A2" w:rsidRPr="007E0FA5" w:rsidDel="0017765F">
        <w:rPr>
          <w:color w:val="000000" w:themeColor="text1"/>
          <w:szCs w:val="24"/>
        </w:rPr>
        <w:t xml:space="preserve"> </w:t>
      </w:r>
      <w:r w:rsidR="00F049A2" w:rsidRPr="007E0FA5">
        <w:rPr>
          <w:color w:val="000000" w:themeColor="text1"/>
          <w:szCs w:val="24"/>
        </w:rPr>
        <w:t xml:space="preserve">MO treatment was performed twice a week during the 8-week experiment period. </w:t>
      </w:r>
    </w:p>
    <w:p w14:paraId="66EF51DB" w14:textId="77777777" w:rsidR="00011DA0" w:rsidRPr="007E0FA5" w:rsidRDefault="00011DA0" w:rsidP="00011DA0">
      <w:pPr>
        <w:spacing w:before="100" w:beforeAutospacing="1" w:after="100" w:afterAutospacing="1"/>
        <w:jc w:val="both"/>
        <w:rPr>
          <w:rFonts w:cs="Times New Roman"/>
          <w:b/>
          <w:color w:val="000000" w:themeColor="text1"/>
          <w:szCs w:val="24"/>
        </w:rPr>
      </w:pPr>
      <w:r w:rsidRPr="007E0FA5">
        <w:rPr>
          <w:rFonts w:cs="Times New Roman"/>
          <w:b/>
          <w:color w:val="000000" w:themeColor="text1"/>
          <w:szCs w:val="24"/>
        </w:rPr>
        <w:t xml:space="preserve">Preparation of </w:t>
      </w:r>
      <w:proofErr w:type="spellStart"/>
      <w:r w:rsidRPr="007E0FA5">
        <w:rPr>
          <w:rFonts w:cs="Times New Roman"/>
          <w:b/>
          <w:i/>
          <w:color w:val="000000" w:themeColor="text1"/>
          <w:szCs w:val="24"/>
        </w:rPr>
        <w:t>cenpx</w:t>
      </w:r>
      <w:proofErr w:type="spellEnd"/>
      <w:r w:rsidRPr="007E0FA5">
        <w:rPr>
          <w:rFonts w:cs="Times New Roman"/>
          <w:b/>
          <w:color w:val="000000" w:themeColor="text1"/>
          <w:szCs w:val="24"/>
        </w:rPr>
        <w:t xml:space="preserve"> </w:t>
      </w:r>
      <w:proofErr w:type="spellStart"/>
      <w:r w:rsidRPr="007E0FA5">
        <w:rPr>
          <w:rFonts w:cs="Times New Roman"/>
          <w:b/>
          <w:color w:val="000000" w:themeColor="text1"/>
          <w:szCs w:val="24"/>
        </w:rPr>
        <w:t>sgRNA</w:t>
      </w:r>
      <w:proofErr w:type="spellEnd"/>
    </w:p>
    <w:p w14:paraId="06243D0B" w14:textId="41F996BA" w:rsidR="00011DA0" w:rsidRPr="007E0FA5" w:rsidRDefault="00C718D7" w:rsidP="00011DA0">
      <w:pPr>
        <w:spacing w:before="100" w:beforeAutospacing="1" w:after="100" w:afterAutospacing="1"/>
        <w:jc w:val="both"/>
        <w:rPr>
          <w:rFonts w:cs="Times New Roman"/>
          <w:color w:val="000000" w:themeColor="text1"/>
          <w:szCs w:val="24"/>
        </w:rPr>
      </w:pPr>
      <w:r w:rsidRPr="007E0FA5">
        <w:rPr>
          <w:rFonts w:cs="Times New Roman"/>
          <w:color w:val="000000" w:themeColor="text1"/>
          <w:szCs w:val="24"/>
        </w:rPr>
        <w:t>CHOP-CHOP web tool (http://chopchop.cbu.uib.no/) was used to design a single guide RNA (</w:t>
      </w:r>
      <w:proofErr w:type="spellStart"/>
      <w:r w:rsidRPr="007E0FA5">
        <w:rPr>
          <w:rFonts w:cs="Times New Roman"/>
          <w:color w:val="000000" w:themeColor="text1"/>
          <w:szCs w:val="24"/>
        </w:rPr>
        <w:t>sgRNA</w:t>
      </w:r>
      <w:proofErr w:type="spellEnd"/>
      <w:r w:rsidRPr="007E0FA5">
        <w:rPr>
          <w:rFonts w:cs="Times New Roman"/>
          <w:color w:val="000000" w:themeColor="text1"/>
          <w:szCs w:val="24"/>
        </w:rPr>
        <w:t xml:space="preserve">) target site in the exon 3 of </w:t>
      </w:r>
      <w:proofErr w:type="spellStart"/>
      <w:r w:rsidRPr="007E0FA5">
        <w:rPr>
          <w:rFonts w:cs="Times New Roman"/>
          <w:i/>
          <w:color w:val="000000" w:themeColor="text1"/>
          <w:szCs w:val="24"/>
        </w:rPr>
        <w:t>cenpx</w:t>
      </w:r>
      <w:proofErr w:type="spellEnd"/>
      <w:r w:rsidRPr="007E0FA5">
        <w:rPr>
          <w:rFonts w:cs="Times New Roman"/>
          <w:color w:val="000000" w:themeColor="text1"/>
          <w:szCs w:val="24"/>
        </w:rPr>
        <w:t xml:space="preserve"> (Supplementary Table S1). The </w:t>
      </w:r>
      <w:proofErr w:type="spellStart"/>
      <w:r w:rsidRPr="007E0FA5">
        <w:rPr>
          <w:rFonts w:cs="Times New Roman"/>
          <w:color w:val="000000" w:themeColor="text1"/>
          <w:szCs w:val="24"/>
        </w:rPr>
        <w:t>sgRNA</w:t>
      </w:r>
      <w:proofErr w:type="spellEnd"/>
      <w:r w:rsidRPr="007E0FA5">
        <w:rPr>
          <w:rFonts w:cs="Times New Roman"/>
          <w:color w:val="000000" w:themeColor="text1"/>
          <w:szCs w:val="24"/>
        </w:rPr>
        <w:t xml:space="preserve"> for </w:t>
      </w:r>
      <w:proofErr w:type="spellStart"/>
      <w:r w:rsidRPr="007E0FA5">
        <w:rPr>
          <w:rFonts w:cs="Times New Roman"/>
          <w:i/>
          <w:color w:val="000000" w:themeColor="text1"/>
          <w:szCs w:val="24"/>
        </w:rPr>
        <w:t>cenpx</w:t>
      </w:r>
      <w:proofErr w:type="spellEnd"/>
      <w:r w:rsidRPr="007E0FA5">
        <w:rPr>
          <w:rFonts w:cs="Times New Roman"/>
          <w:color w:val="000000" w:themeColor="text1"/>
          <w:szCs w:val="24"/>
        </w:rPr>
        <w:t xml:space="preserve"> was synthesized by annealing a T7 promoter-containing gene-specific primer with </w:t>
      </w:r>
      <w:proofErr w:type="spellStart"/>
      <w:r w:rsidRPr="007E0FA5">
        <w:rPr>
          <w:rFonts w:cs="Times New Roman"/>
          <w:color w:val="000000" w:themeColor="text1"/>
          <w:szCs w:val="24"/>
        </w:rPr>
        <w:t>sgRNA</w:t>
      </w:r>
      <w:proofErr w:type="spellEnd"/>
      <w:r w:rsidRPr="007E0FA5">
        <w:rPr>
          <w:rFonts w:cs="Times New Roman"/>
          <w:color w:val="000000" w:themeColor="text1"/>
          <w:szCs w:val="24"/>
        </w:rPr>
        <w:t xml:space="preserve"> scaffold primers </w:t>
      </w:r>
      <w:r w:rsidR="00F049A2" w:rsidRPr="007E0FA5">
        <w:rPr>
          <w:rFonts w:cs="Times New Roman"/>
          <w:color w:val="000000" w:themeColor="text1"/>
          <w:szCs w:val="24"/>
        </w:rPr>
        <w:fldChar w:fldCharType="begin">
          <w:fldData xml:space="preserve">PEVuZE5vdGU+PENpdGU+PEF1dGhvcj5ZaW48L0F1dGhvcj48WWVhcj4yMDE1PC9ZZWFyPjxSZWNO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</w:fldData>
        </w:fldChar>
      </w:r>
      <w:r w:rsidR="00F049A2" w:rsidRPr="007E0FA5">
        <w:rPr>
          <w:rFonts w:cs="Times New Roman"/>
          <w:color w:val="000000" w:themeColor="text1"/>
          <w:szCs w:val="24"/>
        </w:rPr>
        <w:instrText xml:space="preserve"> ADDIN EN.CITE </w:instrText>
      </w:r>
      <w:r w:rsidR="00F049A2" w:rsidRPr="007E0FA5">
        <w:rPr>
          <w:rFonts w:cs="Times New Roman"/>
          <w:color w:val="000000" w:themeColor="text1"/>
          <w:szCs w:val="24"/>
        </w:rPr>
        <w:fldChar w:fldCharType="begin">
          <w:fldData xml:space="preserve">PEVuZE5vdGU+PENpdGU+PEF1dGhvcj5ZaW48L0F1dGhvcj48WWVhcj4yMDE1PC9ZZWFyPjxSZWNO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</w:fldData>
        </w:fldChar>
      </w:r>
      <w:r w:rsidR="00F049A2" w:rsidRPr="007E0FA5">
        <w:rPr>
          <w:rFonts w:cs="Times New Roman"/>
          <w:color w:val="000000" w:themeColor="text1"/>
          <w:szCs w:val="24"/>
        </w:rPr>
        <w:instrText xml:space="preserve"> ADDIN EN.CITE.DATA </w:instrText>
      </w:r>
      <w:r w:rsidR="00F049A2" w:rsidRPr="007E0FA5">
        <w:rPr>
          <w:rFonts w:cs="Times New Roman"/>
          <w:color w:val="000000" w:themeColor="text1"/>
          <w:szCs w:val="24"/>
        </w:rPr>
      </w:r>
      <w:r w:rsidR="00F049A2" w:rsidRPr="007E0FA5">
        <w:rPr>
          <w:rFonts w:cs="Times New Roman"/>
          <w:color w:val="000000" w:themeColor="text1"/>
          <w:szCs w:val="24"/>
        </w:rPr>
        <w:fldChar w:fldCharType="end"/>
      </w:r>
      <w:r w:rsidR="00F049A2" w:rsidRPr="007E0FA5">
        <w:rPr>
          <w:rFonts w:cs="Times New Roman"/>
          <w:color w:val="000000" w:themeColor="text1"/>
          <w:szCs w:val="24"/>
        </w:rPr>
      </w:r>
      <w:r w:rsidR="00F049A2" w:rsidRPr="007E0FA5">
        <w:rPr>
          <w:rFonts w:cs="Times New Roman"/>
          <w:color w:val="000000" w:themeColor="text1"/>
          <w:szCs w:val="24"/>
        </w:rPr>
        <w:fldChar w:fldCharType="separate"/>
      </w:r>
      <w:r w:rsidR="00F049A2" w:rsidRPr="007E0FA5">
        <w:rPr>
          <w:rFonts w:cs="Times New Roman"/>
          <w:noProof/>
          <w:color w:val="000000" w:themeColor="text1"/>
          <w:szCs w:val="24"/>
        </w:rPr>
        <w:t>(</w:t>
      </w:r>
      <w:hyperlink w:anchor="_ENREF_2" w:tooltip="Yin, 2015 #76" w:history="1">
        <w:r w:rsidR="00F049A2" w:rsidRPr="007E0FA5">
          <w:rPr>
            <w:rFonts w:cs="Times New Roman"/>
            <w:noProof/>
            <w:color w:val="000000" w:themeColor="text1"/>
            <w:szCs w:val="24"/>
          </w:rPr>
          <w:t>Yin et al., 2015</w:t>
        </w:r>
      </w:hyperlink>
      <w:r w:rsidR="00F049A2" w:rsidRPr="007E0FA5">
        <w:rPr>
          <w:rFonts w:cs="Times New Roman"/>
          <w:noProof/>
          <w:color w:val="000000" w:themeColor="text1"/>
          <w:szCs w:val="24"/>
        </w:rPr>
        <w:t>)</w:t>
      </w:r>
      <w:r w:rsidR="00F049A2" w:rsidRPr="007E0FA5">
        <w:rPr>
          <w:rFonts w:cs="Times New Roman"/>
          <w:color w:val="000000" w:themeColor="text1"/>
          <w:szCs w:val="24"/>
        </w:rPr>
        <w:fldChar w:fldCharType="end"/>
      </w:r>
      <w:r w:rsidRPr="007E0FA5">
        <w:rPr>
          <w:rFonts w:cs="Times New Roman"/>
          <w:color w:val="000000" w:themeColor="text1"/>
          <w:szCs w:val="24"/>
        </w:rPr>
        <w:t xml:space="preserve">. The annealed oligos were filled in with </w:t>
      </w:r>
      <w:proofErr w:type="spellStart"/>
      <w:r w:rsidRPr="007E0FA5">
        <w:rPr>
          <w:rFonts w:cs="Times New Roman"/>
          <w:color w:val="000000" w:themeColor="text1"/>
          <w:szCs w:val="24"/>
        </w:rPr>
        <w:t>Taq</w:t>
      </w:r>
      <w:proofErr w:type="spellEnd"/>
      <w:r w:rsidRPr="007E0FA5">
        <w:rPr>
          <w:rFonts w:cs="Times New Roman"/>
          <w:color w:val="000000" w:themeColor="text1"/>
          <w:szCs w:val="24"/>
        </w:rPr>
        <w:t xml:space="preserve"> DNA polymerase in the presence of 50 </w:t>
      </w:r>
      <w:proofErr w:type="spellStart"/>
      <w:r w:rsidRPr="007E0FA5">
        <w:rPr>
          <w:rFonts w:cs="Times New Roman"/>
          <w:color w:val="000000" w:themeColor="text1"/>
          <w:szCs w:val="24"/>
        </w:rPr>
        <w:t>mM</w:t>
      </w:r>
      <w:proofErr w:type="spellEnd"/>
      <w:r w:rsidRPr="007E0FA5">
        <w:rPr>
          <w:rFonts w:cs="Times New Roman"/>
          <w:color w:val="000000" w:themeColor="text1"/>
          <w:szCs w:val="24"/>
        </w:rPr>
        <w:t xml:space="preserve"> dNTP (New England </w:t>
      </w:r>
      <w:proofErr w:type="spellStart"/>
      <w:r w:rsidRPr="007E0FA5">
        <w:rPr>
          <w:rFonts w:cs="Times New Roman"/>
          <w:color w:val="000000" w:themeColor="text1"/>
          <w:szCs w:val="24"/>
        </w:rPr>
        <w:t>Biolabs</w:t>
      </w:r>
      <w:proofErr w:type="spellEnd"/>
      <w:r w:rsidRPr="007E0FA5">
        <w:rPr>
          <w:rFonts w:cs="Times New Roman"/>
          <w:color w:val="000000" w:themeColor="text1"/>
          <w:szCs w:val="24"/>
        </w:rPr>
        <w:t xml:space="preserve">, Ipswich, MA, USA). The resultant double-stranded DNA (dsDNA) was used as a template for T7 RNA polymerase reaction using </w:t>
      </w:r>
      <w:proofErr w:type="spellStart"/>
      <w:r w:rsidRPr="007E0FA5">
        <w:rPr>
          <w:rFonts w:cs="Times New Roman"/>
          <w:color w:val="000000" w:themeColor="text1"/>
          <w:szCs w:val="24"/>
        </w:rPr>
        <w:t>MAXIScript</w:t>
      </w:r>
      <w:proofErr w:type="spellEnd"/>
      <w:r w:rsidRPr="007E0FA5">
        <w:rPr>
          <w:rFonts w:cs="Times New Roman"/>
          <w:color w:val="000000" w:themeColor="text1"/>
          <w:szCs w:val="24"/>
        </w:rPr>
        <w:t xml:space="preserve"> T7 kit (Invitrogen, Carlsbad, CA, USA). Purification of </w:t>
      </w:r>
      <w:proofErr w:type="spellStart"/>
      <w:r w:rsidRPr="007E0FA5">
        <w:rPr>
          <w:rFonts w:cs="Times New Roman"/>
          <w:color w:val="000000" w:themeColor="text1"/>
          <w:szCs w:val="24"/>
        </w:rPr>
        <w:t>sgRNA</w:t>
      </w:r>
      <w:proofErr w:type="spellEnd"/>
      <w:r w:rsidRPr="007E0FA5">
        <w:rPr>
          <w:rFonts w:cs="Times New Roman"/>
          <w:color w:val="000000" w:themeColor="text1"/>
          <w:szCs w:val="24"/>
        </w:rPr>
        <w:t xml:space="preserve"> was performed using RNA Clean &amp; Concentrator columns (</w:t>
      </w:r>
      <w:proofErr w:type="spellStart"/>
      <w:r w:rsidRPr="007E0FA5">
        <w:rPr>
          <w:rFonts w:cs="Times New Roman"/>
          <w:color w:val="000000" w:themeColor="text1"/>
          <w:szCs w:val="24"/>
        </w:rPr>
        <w:t>Zymo</w:t>
      </w:r>
      <w:proofErr w:type="spellEnd"/>
      <w:r w:rsidRPr="007E0FA5">
        <w:rPr>
          <w:rFonts w:cs="Times New Roman"/>
          <w:color w:val="000000" w:themeColor="text1"/>
          <w:szCs w:val="24"/>
        </w:rPr>
        <w:t xml:space="preserve"> Research, Irvine, CA, USA). The RNA concentration was determined, and the RNA quality was evaluated using agarose gel electrophoresis.</w:t>
      </w:r>
    </w:p>
    <w:p w14:paraId="3E45B986" w14:textId="77777777" w:rsidR="00C718D7" w:rsidRPr="007E0FA5" w:rsidRDefault="00C718D7" w:rsidP="00C718D7">
      <w:pPr>
        <w:spacing w:before="100" w:beforeAutospacing="1" w:after="100" w:afterAutospacing="1"/>
        <w:jc w:val="both"/>
        <w:rPr>
          <w:rFonts w:cs="Times New Roman"/>
          <w:b/>
          <w:color w:val="000000" w:themeColor="text1"/>
          <w:szCs w:val="24"/>
        </w:rPr>
      </w:pPr>
      <w:r w:rsidRPr="007E0FA5">
        <w:rPr>
          <w:rFonts w:cs="Times New Roman"/>
          <w:b/>
          <w:color w:val="000000" w:themeColor="text1"/>
          <w:szCs w:val="24"/>
        </w:rPr>
        <w:t xml:space="preserve">Preparation of Genomic DNA, </w:t>
      </w:r>
      <w:proofErr w:type="spellStart"/>
      <w:r w:rsidRPr="007E0FA5">
        <w:rPr>
          <w:rFonts w:cs="Times New Roman"/>
          <w:b/>
          <w:color w:val="000000" w:themeColor="text1"/>
          <w:szCs w:val="24"/>
        </w:rPr>
        <w:t>Heteroduplex</w:t>
      </w:r>
      <w:proofErr w:type="spellEnd"/>
      <w:r w:rsidRPr="007E0FA5">
        <w:rPr>
          <w:rFonts w:cs="Times New Roman"/>
          <w:b/>
          <w:color w:val="000000" w:themeColor="text1"/>
          <w:szCs w:val="24"/>
        </w:rPr>
        <w:t xml:space="preserve"> Mobility Assay (HMA) and Sequencing Analysis</w:t>
      </w:r>
    </w:p>
    <w:p w14:paraId="13EB1C7A" w14:textId="77777777" w:rsidR="00C718D7" w:rsidRPr="007E0FA5" w:rsidRDefault="00C718D7" w:rsidP="00C718D7">
      <w:pPr>
        <w:spacing w:before="100" w:beforeAutospacing="1" w:after="100" w:afterAutospacing="1"/>
        <w:jc w:val="both"/>
        <w:rPr>
          <w:rFonts w:cs="Times New Roman"/>
          <w:color w:val="000000" w:themeColor="text1"/>
          <w:szCs w:val="24"/>
        </w:rPr>
      </w:pPr>
      <w:r w:rsidRPr="007E0FA5">
        <w:rPr>
          <w:rFonts w:cs="Times New Roman"/>
          <w:color w:val="000000" w:themeColor="text1"/>
          <w:szCs w:val="24"/>
        </w:rPr>
        <w:t xml:space="preserve">To prepare genomic DNA, the un-injected and </w:t>
      </w:r>
      <w:proofErr w:type="spellStart"/>
      <w:r w:rsidRPr="007E0FA5">
        <w:rPr>
          <w:rFonts w:cs="Times New Roman"/>
          <w:i/>
          <w:color w:val="000000" w:themeColor="text1"/>
          <w:szCs w:val="24"/>
        </w:rPr>
        <w:t>cenpx</w:t>
      </w:r>
      <w:proofErr w:type="spellEnd"/>
      <w:r w:rsidRPr="007E0FA5">
        <w:rPr>
          <w:rFonts w:cs="Times New Roman"/>
          <w:color w:val="000000" w:themeColor="text1"/>
          <w:szCs w:val="24"/>
        </w:rPr>
        <w:t xml:space="preserve"> </w:t>
      </w:r>
      <w:proofErr w:type="spellStart"/>
      <w:r w:rsidRPr="007E0FA5">
        <w:rPr>
          <w:rFonts w:cs="Times New Roman"/>
          <w:color w:val="000000" w:themeColor="text1"/>
          <w:szCs w:val="24"/>
        </w:rPr>
        <w:t>sgRNA</w:t>
      </w:r>
      <w:proofErr w:type="spellEnd"/>
      <w:r w:rsidRPr="007E0FA5">
        <w:rPr>
          <w:rFonts w:cs="Times New Roman"/>
          <w:color w:val="000000" w:themeColor="text1"/>
          <w:szCs w:val="24"/>
        </w:rPr>
        <w:t xml:space="preserve">/Cas9-injected embryos were grown to 24 </w:t>
      </w:r>
      <w:proofErr w:type="spellStart"/>
      <w:proofErr w:type="gramStart"/>
      <w:r w:rsidRPr="007E0FA5">
        <w:rPr>
          <w:rFonts w:cs="Times New Roman"/>
          <w:color w:val="000000" w:themeColor="text1"/>
          <w:szCs w:val="24"/>
        </w:rPr>
        <w:t>hpf</w:t>
      </w:r>
      <w:proofErr w:type="spellEnd"/>
      <w:proofErr w:type="gramEnd"/>
      <w:r w:rsidRPr="007E0FA5">
        <w:rPr>
          <w:rFonts w:cs="Times New Roman"/>
          <w:color w:val="000000" w:themeColor="text1"/>
          <w:szCs w:val="24"/>
        </w:rPr>
        <w:t xml:space="preserve"> (hour post fertilization), and 8-10 embryos were picked up for DNA isolation. The genomic DNA was extracted using 20 </w:t>
      </w:r>
      <w:proofErr w:type="spellStart"/>
      <w:r w:rsidRPr="007E0FA5">
        <w:rPr>
          <w:rFonts w:cs="Times New Roman"/>
          <w:color w:val="000000" w:themeColor="text1"/>
          <w:szCs w:val="24"/>
        </w:rPr>
        <w:t>μL</w:t>
      </w:r>
      <w:proofErr w:type="spellEnd"/>
      <w:r w:rsidRPr="007E0FA5">
        <w:rPr>
          <w:rFonts w:cs="Times New Roman"/>
          <w:color w:val="000000" w:themeColor="text1"/>
          <w:szCs w:val="24"/>
        </w:rPr>
        <w:t xml:space="preserve">/embryo of 50 </w:t>
      </w:r>
      <w:proofErr w:type="spellStart"/>
      <w:r w:rsidRPr="007E0FA5">
        <w:rPr>
          <w:rFonts w:cs="Times New Roman"/>
          <w:color w:val="000000" w:themeColor="text1"/>
          <w:szCs w:val="24"/>
        </w:rPr>
        <w:t>mM</w:t>
      </w:r>
      <w:proofErr w:type="spellEnd"/>
      <w:r w:rsidRPr="007E0FA5">
        <w:rPr>
          <w:rFonts w:cs="Times New Roman"/>
          <w:color w:val="000000" w:themeColor="text1"/>
          <w:szCs w:val="24"/>
        </w:rPr>
        <w:t xml:space="preserve"> sodium hydroxide (</w:t>
      </w:r>
      <w:proofErr w:type="spellStart"/>
      <w:r w:rsidRPr="007E0FA5">
        <w:rPr>
          <w:rFonts w:cs="Times New Roman"/>
          <w:color w:val="000000" w:themeColor="text1"/>
          <w:szCs w:val="24"/>
        </w:rPr>
        <w:t>NaOH</w:t>
      </w:r>
      <w:proofErr w:type="spellEnd"/>
      <w:r w:rsidRPr="007E0FA5">
        <w:rPr>
          <w:rFonts w:cs="Times New Roman"/>
          <w:color w:val="000000" w:themeColor="text1"/>
          <w:szCs w:val="24"/>
        </w:rPr>
        <w:t xml:space="preserve">) for 20 min at 95°C. The sample was mixed with 4 </w:t>
      </w:r>
      <w:proofErr w:type="spellStart"/>
      <w:r w:rsidRPr="007E0FA5">
        <w:rPr>
          <w:rFonts w:cs="Times New Roman"/>
          <w:color w:val="000000" w:themeColor="text1"/>
          <w:szCs w:val="24"/>
        </w:rPr>
        <w:t>μL</w:t>
      </w:r>
      <w:proofErr w:type="spellEnd"/>
      <w:r w:rsidRPr="007E0FA5">
        <w:rPr>
          <w:rFonts w:cs="Times New Roman"/>
          <w:color w:val="000000" w:themeColor="text1"/>
          <w:szCs w:val="24"/>
        </w:rPr>
        <w:t xml:space="preserve"> of 1 M </w:t>
      </w:r>
      <w:proofErr w:type="spellStart"/>
      <w:r w:rsidRPr="007E0FA5">
        <w:rPr>
          <w:rFonts w:cs="Times New Roman"/>
          <w:color w:val="000000" w:themeColor="text1"/>
          <w:szCs w:val="24"/>
        </w:rPr>
        <w:t>Tris-HCl</w:t>
      </w:r>
      <w:proofErr w:type="spellEnd"/>
      <w:r w:rsidRPr="007E0FA5">
        <w:rPr>
          <w:rFonts w:cs="Times New Roman"/>
          <w:color w:val="000000" w:themeColor="text1"/>
          <w:szCs w:val="24"/>
        </w:rPr>
        <w:t xml:space="preserve"> to adjust the </w:t>
      </w:r>
      <w:proofErr w:type="spellStart"/>
      <w:r w:rsidRPr="007E0FA5">
        <w:rPr>
          <w:rFonts w:cs="Times New Roman"/>
          <w:color w:val="000000" w:themeColor="text1"/>
          <w:szCs w:val="24"/>
        </w:rPr>
        <w:t>pH.</w:t>
      </w:r>
      <w:proofErr w:type="spellEnd"/>
      <w:r w:rsidRPr="007E0FA5">
        <w:rPr>
          <w:rFonts w:cs="Times New Roman"/>
          <w:color w:val="000000" w:themeColor="text1"/>
          <w:szCs w:val="24"/>
        </w:rPr>
        <w:t xml:space="preserve"> Genomic fragments at the target sites were amplified by PCR with </w:t>
      </w:r>
      <w:proofErr w:type="spellStart"/>
      <w:r w:rsidRPr="007E0FA5">
        <w:rPr>
          <w:rFonts w:cs="Times New Roman"/>
          <w:color w:val="000000" w:themeColor="text1"/>
          <w:szCs w:val="24"/>
        </w:rPr>
        <w:t>GoTaq</w:t>
      </w:r>
      <w:proofErr w:type="spellEnd"/>
      <w:r w:rsidRPr="007E0FA5">
        <w:rPr>
          <w:rFonts w:cs="Times New Roman"/>
          <w:color w:val="000000" w:themeColor="text1"/>
          <w:szCs w:val="24"/>
        </w:rPr>
        <w:t>® Hot Start Polymerase (</w:t>
      </w:r>
      <w:proofErr w:type="spellStart"/>
      <w:r w:rsidRPr="007E0FA5">
        <w:rPr>
          <w:rFonts w:cs="Times New Roman"/>
          <w:color w:val="000000" w:themeColor="text1"/>
          <w:szCs w:val="24"/>
        </w:rPr>
        <w:t>Promega</w:t>
      </w:r>
      <w:proofErr w:type="spellEnd"/>
      <w:r w:rsidRPr="007E0FA5">
        <w:rPr>
          <w:rFonts w:cs="Times New Roman"/>
          <w:color w:val="000000" w:themeColor="text1"/>
          <w:szCs w:val="24"/>
        </w:rPr>
        <w:t xml:space="preserve">, Fitchburg, WI, USA) using the locus-specific primers (Supplementary Table S1). The PCR amplicons were electrophoresed on a 10% polyacrylamide gel (Wako Pure Chemicals, Osaka, Japan). To identify the genome </w:t>
      </w:r>
      <w:r w:rsidRPr="007E0FA5">
        <w:rPr>
          <w:rFonts w:cs="Times New Roman"/>
          <w:color w:val="000000" w:themeColor="text1"/>
          <w:szCs w:val="24"/>
        </w:rPr>
        <w:lastRenderedPageBreak/>
        <w:t xml:space="preserve">modification induced by </w:t>
      </w:r>
      <w:proofErr w:type="spellStart"/>
      <w:r w:rsidRPr="007E0FA5">
        <w:rPr>
          <w:rFonts w:cs="Times New Roman"/>
          <w:i/>
          <w:color w:val="000000" w:themeColor="text1"/>
          <w:szCs w:val="24"/>
        </w:rPr>
        <w:t>cenpx</w:t>
      </w:r>
      <w:proofErr w:type="spellEnd"/>
      <w:r w:rsidRPr="007E0FA5">
        <w:rPr>
          <w:rFonts w:cs="Times New Roman"/>
          <w:color w:val="000000" w:themeColor="text1"/>
          <w:szCs w:val="24"/>
        </w:rPr>
        <w:t xml:space="preserve"> </w:t>
      </w:r>
      <w:proofErr w:type="spellStart"/>
      <w:r w:rsidRPr="007E0FA5">
        <w:rPr>
          <w:rFonts w:cs="Times New Roman"/>
          <w:color w:val="000000" w:themeColor="text1"/>
          <w:szCs w:val="24"/>
        </w:rPr>
        <w:t>sgRNA</w:t>
      </w:r>
      <w:proofErr w:type="spellEnd"/>
      <w:r w:rsidRPr="007E0FA5">
        <w:rPr>
          <w:rFonts w:cs="Times New Roman"/>
          <w:color w:val="000000" w:themeColor="text1"/>
          <w:szCs w:val="24"/>
        </w:rPr>
        <w:t>/Cas9, F0 founders were outcrossed to wild type fish and the genomic DNA was extracted from tailfin clips of adult F1 fish using the protocol described above. DNA from individual fish was used as a template for subsequent PCR (primer sequences are described in Supplementary Table S1) and the sequences of PCR amplicons were analyzed by the Center of Genetics (Mie University, Japan).</w:t>
      </w:r>
    </w:p>
    <w:p w14:paraId="7B5199C8" w14:textId="77777777" w:rsidR="00C718D7" w:rsidRPr="007E0FA5" w:rsidRDefault="00C718D7" w:rsidP="00C718D7">
      <w:pPr>
        <w:spacing w:before="100" w:beforeAutospacing="1" w:after="100" w:afterAutospacing="1"/>
        <w:jc w:val="both"/>
        <w:rPr>
          <w:rFonts w:cs="Times New Roman"/>
          <w:b/>
          <w:color w:val="000000" w:themeColor="text1"/>
          <w:szCs w:val="24"/>
        </w:rPr>
      </w:pPr>
      <w:r w:rsidRPr="007E0FA5">
        <w:rPr>
          <w:rFonts w:cs="Times New Roman"/>
          <w:b/>
          <w:i/>
          <w:color w:val="000000" w:themeColor="text1"/>
          <w:szCs w:val="24"/>
        </w:rPr>
        <w:t>In vitro</w:t>
      </w:r>
      <w:r w:rsidRPr="007E0FA5">
        <w:rPr>
          <w:rFonts w:cs="Times New Roman"/>
          <w:b/>
          <w:color w:val="000000" w:themeColor="text1"/>
          <w:szCs w:val="24"/>
        </w:rPr>
        <w:t xml:space="preserve"> Silencing of </w:t>
      </w:r>
      <w:proofErr w:type="spellStart"/>
      <w:r w:rsidRPr="007E0FA5">
        <w:rPr>
          <w:rFonts w:cs="Times New Roman"/>
          <w:b/>
          <w:i/>
          <w:color w:val="000000" w:themeColor="text1"/>
          <w:szCs w:val="24"/>
        </w:rPr>
        <w:t>Cenpx</w:t>
      </w:r>
      <w:proofErr w:type="spellEnd"/>
      <w:r w:rsidRPr="007E0FA5">
        <w:rPr>
          <w:rFonts w:cs="Times New Roman"/>
          <w:b/>
          <w:color w:val="000000" w:themeColor="text1"/>
          <w:szCs w:val="24"/>
        </w:rPr>
        <w:t xml:space="preserve"> Gene</w:t>
      </w:r>
    </w:p>
    <w:p w14:paraId="04859368" w14:textId="77777777" w:rsidR="00C718D7" w:rsidRPr="007E0FA5" w:rsidRDefault="00C718D7" w:rsidP="00C718D7">
      <w:pPr>
        <w:spacing w:before="100" w:beforeAutospacing="1" w:after="100" w:afterAutospacing="1"/>
        <w:jc w:val="both"/>
        <w:rPr>
          <w:rFonts w:cs="Times New Roman"/>
          <w:color w:val="000000" w:themeColor="text1"/>
          <w:szCs w:val="24"/>
        </w:rPr>
      </w:pPr>
      <w:r w:rsidRPr="007E0FA5">
        <w:rPr>
          <w:rFonts w:cs="Times New Roman"/>
          <w:color w:val="000000" w:themeColor="text1"/>
          <w:szCs w:val="24"/>
        </w:rPr>
        <w:t xml:space="preserve">Mouse </w:t>
      </w:r>
      <w:proofErr w:type="spellStart"/>
      <w:r w:rsidRPr="007E0FA5">
        <w:rPr>
          <w:rFonts w:cs="Times New Roman"/>
          <w:color w:val="000000" w:themeColor="text1"/>
          <w:szCs w:val="24"/>
        </w:rPr>
        <w:t>Hepa</w:t>
      </w:r>
      <w:proofErr w:type="spellEnd"/>
      <w:r w:rsidRPr="007E0FA5">
        <w:rPr>
          <w:rFonts w:cs="Times New Roman"/>
          <w:color w:val="000000" w:themeColor="text1"/>
          <w:szCs w:val="24"/>
        </w:rPr>
        <w:t xml:space="preserve"> 1-6 hepatoma cells (RIKEN Cell Bank, Tsukuba, Ibaragi, Japan) were cultured in Dulbecco’s modified Eagle’s medium (Life Technologies, Carlsbad, CA, USA) supplemented with 100 </w:t>
      </w:r>
      <w:proofErr w:type="spellStart"/>
      <w:r w:rsidRPr="007E0FA5">
        <w:rPr>
          <w:rFonts w:cs="Times New Roman"/>
          <w:color w:val="000000" w:themeColor="text1"/>
          <w:szCs w:val="24"/>
        </w:rPr>
        <w:t>μg</w:t>
      </w:r>
      <w:proofErr w:type="spellEnd"/>
      <w:r w:rsidRPr="007E0FA5">
        <w:rPr>
          <w:rFonts w:cs="Times New Roman"/>
          <w:color w:val="000000" w:themeColor="text1"/>
          <w:szCs w:val="24"/>
        </w:rPr>
        <w:t xml:space="preserve">/mL of streptomycin sulfate (Sigma–Aldrich, St. Louis, MO, USA), 100 U/mL penicillin G (Sigma–Aldrich) and 10% fetal bovine serum (Life Technologies, Carlsbad, CA, USA) and maintained at 37°C with 5% CO2 and 95% air. The cells were transfected at 70% confluency with 75 </w:t>
      </w:r>
      <w:proofErr w:type="spellStart"/>
      <w:r w:rsidRPr="007E0FA5">
        <w:rPr>
          <w:rFonts w:cs="Times New Roman"/>
          <w:color w:val="000000" w:themeColor="text1"/>
          <w:szCs w:val="24"/>
        </w:rPr>
        <w:t>pmol</w:t>
      </w:r>
      <w:proofErr w:type="spellEnd"/>
      <w:r w:rsidRPr="007E0FA5">
        <w:rPr>
          <w:rFonts w:cs="Times New Roman"/>
          <w:color w:val="000000" w:themeColor="text1"/>
          <w:szCs w:val="24"/>
        </w:rPr>
        <w:t xml:space="preserve"> of each siRNA using </w:t>
      </w:r>
      <w:proofErr w:type="spellStart"/>
      <w:r w:rsidRPr="007E0FA5">
        <w:rPr>
          <w:rFonts w:cs="Times New Roman"/>
          <w:color w:val="000000" w:themeColor="text1"/>
          <w:szCs w:val="24"/>
        </w:rPr>
        <w:t>Lipofectamine</w:t>
      </w:r>
      <w:proofErr w:type="spellEnd"/>
      <w:r w:rsidRPr="007E0FA5">
        <w:rPr>
          <w:rFonts w:cs="Times New Roman"/>
          <w:color w:val="000000" w:themeColor="text1"/>
          <w:szCs w:val="24"/>
        </w:rPr>
        <w:t xml:space="preserve"> 3000 reagent (Life Technologies) in a six-well plate format. Two days after siRNA transfection, the total RNA was purified using RNeasy Mini Kit (Life Technologies). First-strand cDNA was prepared with 200 ng of total RNA using </w:t>
      </w:r>
      <w:proofErr w:type="spellStart"/>
      <w:r w:rsidRPr="007E0FA5">
        <w:rPr>
          <w:rFonts w:cs="Times New Roman"/>
          <w:color w:val="000000" w:themeColor="text1"/>
          <w:szCs w:val="24"/>
        </w:rPr>
        <w:t>ReverTra</w:t>
      </w:r>
      <w:proofErr w:type="spellEnd"/>
      <w:r w:rsidRPr="007E0FA5">
        <w:rPr>
          <w:rFonts w:cs="Times New Roman"/>
          <w:color w:val="000000" w:themeColor="text1"/>
          <w:szCs w:val="24"/>
        </w:rPr>
        <w:t xml:space="preserve"> Ace qPCR RT Master Mix (Toyobo, Osaka, Japan). </w:t>
      </w:r>
      <w:proofErr w:type="gramStart"/>
      <w:r w:rsidRPr="007E0FA5">
        <w:rPr>
          <w:rFonts w:cs="Times New Roman"/>
          <w:color w:val="000000" w:themeColor="text1"/>
          <w:szCs w:val="24"/>
        </w:rPr>
        <w:t>qPCR</w:t>
      </w:r>
      <w:proofErr w:type="gramEnd"/>
      <w:r w:rsidRPr="007E0FA5">
        <w:rPr>
          <w:rFonts w:cs="Times New Roman"/>
          <w:color w:val="000000" w:themeColor="text1"/>
          <w:szCs w:val="24"/>
        </w:rPr>
        <w:t xml:space="preserve"> was performed with Power SYBR Green Master Mix (Life Technologies) in triplicates, according to the manufacturer’s protocols. </w:t>
      </w:r>
    </w:p>
    <w:p w14:paraId="555B40AF" w14:textId="77777777" w:rsidR="00240C7F" w:rsidRPr="007E0FA5" w:rsidRDefault="00240C7F" w:rsidP="00011DA0">
      <w:pPr>
        <w:spacing w:before="100" w:beforeAutospacing="1" w:after="100" w:afterAutospacing="1"/>
        <w:jc w:val="both"/>
        <w:rPr>
          <w:rFonts w:cs="Times New Roman"/>
          <w:color w:val="000000" w:themeColor="text1"/>
          <w:szCs w:val="24"/>
        </w:rPr>
      </w:pPr>
    </w:p>
    <w:p w14:paraId="28CD55BD" w14:textId="77777777" w:rsidR="00240C7F" w:rsidRPr="007E0FA5" w:rsidRDefault="00240C7F" w:rsidP="00240C7F">
      <w:pPr>
        <w:spacing w:before="100" w:beforeAutospacing="1" w:after="100" w:afterAutospacing="1"/>
        <w:jc w:val="both"/>
        <w:rPr>
          <w:rFonts w:cs="Times New Roman"/>
          <w:b/>
          <w:color w:val="000000" w:themeColor="text1"/>
          <w:szCs w:val="24"/>
        </w:rPr>
      </w:pPr>
      <w:r w:rsidRPr="007E0FA5">
        <w:rPr>
          <w:rFonts w:cs="Times New Roman"/>
          <w:b/>
          <w:color w:val="000000" w:themeColor="text1"/>
          <w:szCs w:val="24"/>
        </w:rPr>
        <w:t>Reference:</w:t>
      </w:r>
    </w:p>
    <w:p w14:paraId="4C8F3BB9" w14:textId="77777777" w:rsidR="00F049A2" w:rsidRPr="007E0FA5" w:rsidRDefault="00F049A2" w:rsidP="00F049A2">
      <w:pPr>
        <w:spacing w:before="100" w:beforeAutospacing="1" w:after="100" w:afterAutospacing="1"/>
        <w:jc w:val="both"/>
        <w:rPr>
          <w:rFonts w:cs="Times New Roman"/>
          <w:color w:val="000000" w:themeColor="text1"/>
          <w:szCs w:val="24"/>
        </w:rPr>
      </w:pPr>
      <w:r w:rsidRPr="007E0FA5">
        <w:rPr>
          <w:rFonts w:cs="Times New Roman"/>
          <w:color w:val="000000" w:themeColor="text1"/>
          <w:szCs w:val="24"/>
        </w:rPr>
        <w:t>Kinkel, M.D., Eames, S.C., Philipson, L.H., and Prince, V.E. (2010). Intraperitoneal injection into adult zebrafish. J Vis Exp.</w:t>
      </w:r>
    </w:p>
    <w:p w14:paraId="1E3D1FB7" w14:textId="4A41A9EC" w:rsidR="008D3FE9" w:rsidRPr="007E0FA5" w:rsidRDefault="00F049A2" w:rsidP="00F049A2">
      <w:pPr>
        <w:spacing w:before="100" w:beforeAutospacing="1" w:after="100" w:afterAutospacing="1"/>
        <w:jc w:val="both"/>
        <w:rPr>
          <w:rFonts w:eastAsia="Times New Roman" w:cs="Times New Roman"/>
          <w:color w:val="000000" w:themeColor="text1"/>
          <w:szCs w:val="24"/>
          <w:lang w:eastAsia="en-GB"/>
        </w:rPr>
      </w:pPr>
      <w:r w:rsidRPr="007E0FA5">
        <w:rPr>
          <w:rFonts w:cs="Times New Roman"/>
          <w:color w:val="000000" w:themeColor="text1"/>
          <w:szCs w:val="24"/>
        </w:rPr>
        <w:t xml:space="preserve">Yin, L., Maddison, L.A., Li, M., Kara, N., </w:t>
      </w:r>
      <w:proofErr w:type="spellStart"/>
      <w:r w:rsidRPr="007E0FA5">
        <w:rPr>
          <w:rFonts w:cs="Times New Roman"/>
          <w:color w:val="000000" w:themeColor="text1"/>
          <w:szCs w:val="24"/>
        </w:rPr>
        <w:t>Lafave</w:t>
      </w:r>
      <w:proofErr w:type="spellEnd"/>
      <w:r w:rsidRPr="007E0FA5">
        <w:rPr>
          <w:rFonts w:cs="Times New Roman"/>
          <w:color w:val="000000" w:themeColor="text1"/>
          <w:szCs w:val="24"/>
        </w:rPr>
        <w:t xml:space="preserve">, M.C., </w:t>
      </w:r>
      <w:proofErr w:type="spellStart"/>
      <w:r w:rsidRPr="007E0FA5">
        <w:rPr>
          <w:rFonts w:cs="Times New Roman"/>
          <w:color w:val="000000" w:themeColor="text1"/>
          <w:szCs w:val="24"/>
        </w:rPr>
        <w:t>Varshney</w:t>
      </w:r>
      <w:proofErr w:type="spellEnd"/>
      <w:r w:rsidRPr="007E0FA5">
        <w:rPr>
          <w:rFonts w:cs="Times New Roman"/>
          <w:color w:val="000000" w:themeColor="text1"/>
          <w:szCs w:val="24"/>
        </w:rPr>
        <w:t xml:space="preserve">, G.K., </w:t>
      </w:r>
      <w:r w:rsidR="00721DCD" w:rsidRPr="007E0FA5">
        <w:rPr>
          <w:rFonts w:cs="Times New Roman"/>
          <w:color w:val="000000" w:themeColor="text1"/>
          <w:szCs w:val="24"/>
        </w:rPr>
        <w:t>et al</w:t>
      </w:r>
      <w:r w:rsidRPr="007E0FA5">
        <w:rPr>
          <w:rFonts w:cs="Times New Roman"/>
          <w:color w:val="000000" w:themeColor="text1"/>
          <w:szCs w:val="24"/>
        </w:rPr>
        <w:t xml:space="preserve">. (2015). Multiplex Conditional Mutagenesis Using Transgenic Expression of Cas9 and </w:t>
      </w:r>
      <w:proofErr w:type="spellStart"/>
      <w:r w:rsidRPr="007E0FA5">
        <w:rPr>
          <w:rFonts w:cs="Times New Roman"/>
          <w:color w:val="000000" w:themeColor="text1"/>
          <w:szCs w:val="24"/>
        </w:rPr>
        <w:t>sgRNAs</w:t>
      </w:r>
      <w:proofErr w:type="spellEnd"/>
      <w:r w:rsidRPr="007E0FA5">
        <w:rPr>
          <w:rFonts w:cs="Times New Roman"/>
          <w:color w:val="000000" w:themeColor="text1"/>
          <w:szCs w:val="24"/>
        </w:rPr>
        <w:t>. Genetics 200, 431-441.</w:t>
      </w:r>
    </w:p>
    <w:p w14:paraId="29F662F5" w14:textId="77777777" w:rsidR="008D3FE9" w:rsidRPr="007E0FA5" w:rsidRDefault="008D3FE9">
      <w:pPr>
        <w:spacing w:before="0" w:after="200" w:line="276" w:lineRule="auto"/>
        <w:rPr>
          <w:rFonts w:eastAsia="Times New Roman" w:cs="Times New Roman"/>
          <w:color w:val="000000" w:themeColor="text1"/>
          <w:szCs w:val="24"/>
          <w:lang w:eastAsia="en-GB"/>
        </w:rPr>
      </w:pPr>
      <w:r w:rsidRPr="007E0FA5">
        <w:rPr>
          <w:rFonts w:eastAsia="Times New Roman" w:cs="Times New Roman"/>
          <w:color w:val="000000" w:themeColor="text1"/>
          <w:szCs w:val="24"/>
          <w:lang w:eastAsia="en-GB"/>
        </w:rPr>
        <w:br w:type="page"/>
      </w:r>
    </w:p>
    <w:p w14:paraId="6C3F22AC" w14:textId="7018F0D8" w:rsidR="00994A3D" w:rsidRPr="007E0FA5" w:rsidRDefault="00654E8F" w:rsidP="00B31006">
      <w:pPr>
        <w:pStyle w:val="1"/>
        <w:numPr>
          <w:ilvl w:val="0"/>
          <w:numId w:val="0"/>
        </w:numPr>
        <w:rPr>
          <w:color w:val="000000" w:themeColor="text1"/>
        </w:rPr>
      </w:pPr>
      <w:r w:rsidRPr="007E0FA5">
        <w:rPr>
          <w:color w:val="000000" w:themeColor="text1"/>
        </w:rPr>
        <w:lastRenderedPageBreak/>
        <w:t xml:space="preserve">Supplementary Figures </w:t>
      </w:r>
    </w:p>
    <w:p w14:paraId="4D22203D" w14:textId="07DC7E44" w:rsidR="008D3FE9" w:rsidRPr="007E0FA5" w:rsidRDefault="00510C2C" w:rsidP="00011DA0">
      <w:pPr>
        <w:keepNext/>
        <w:rPr>
          <w:rFonts w:cs="Times New Roman"/>
          <w:b/>
          <w:color w:val="000000" w:themeColor="text1"/>
          <w:szCs w:val="24"/>
        </w:rPr>
      </w:pPr>
      <w:r w:rsidRPr="007E0FA5">
        <w:rPr>
          <w:noProof/>
          <w:color w:val="000000" w:themeColor="text1"/>
          <w:lang w:eastAsia="ja-JP"/>
        </w:rPr>
        <w:drawing>
          <wp:anchor distT="0" distB="0" distL="114300" distR="114300" simplePos="0" relativeHeight="251679744" behindDoc="0" locked="0" layoutInCell="1" allowOverlap="1" wp14:anchorId="5A0A39FE" wp14:editId="021425BB">
            <wp:simplePos x="0" y="0"/>
            <wp:positionH relativeFrom="margin">
              <wp:posOffset>350393</wp:posOffset>
            </wp:positionH>
            <wp:positionV relativeFrom="paragraph">
              <wp:posOffset>8890</wp:posOffset>
            </wp:positionV>
            <wp:extent cx="4995545" cy="323977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5545" cy="3239770"/>
                    </a:xfrm>
                    <a:prstGeom prst="rect">
                      <a:avLst/>
                    </a:prstGeom>
                    <a:noFill/>
                    <a:ln>
                      <a:noFill/>
                    </a:ln>
                  </pic:spPr>
                </pic:pic>
              </a:graphicData>
            </a:graphic>
          </wp:anchor>
        </w:drawing>
      </w:r>
    </w:p>
    <w:p w14:paraId="313B9276" w14:textId="77777777" w:rsidR="008D3FE9" w:rsidRPr="007E0FA5" w:rsidRDefault="008D3FE9" w:rsidP="00011DA0">
      <w:pPr>
        <w:keepNext/>
        <w:rPr>
          <w:rFonts w:cs="Times New Roman"/>
          <w:b/>
          <w:color w:val="000000" w:themeColor="text1"/>
          <w:szCs w:val="24"/>
        </w:rPr>
      </w:pPr>
    </w:p>
    <w:p w14:paraId="556E8B96" w14:textId="77777777" w:rsidR="008D3FE9" w:rsidRPr="007E0FA5" w:rsidRDefault="00994A3D" w:rsidP="008D3FE9">
      <w:pPr>
        <w:spacing w:before="0" w:after="200" w:line="276" w:lineRule="auto"/>
        <w:rPr>
          <w:rFonts w:cs="Times New Roman"/>
          <w:color w:val="000000" w:themeColor="text1"/>
          <w:szCs w:val="24"/>
        </w:rPr>
      </w:pPr>
      <w:r w:rsidRPr="007E0FA5">
        <w:rPr>
          <w:rFonts w:cs="Times New Roman"/>
          <w:b/>
          <w:color w:val="000000" w:themeColor="text1"/>
          <w:szCs w:val="24"/>
        </w:rPr>
        <w:t xml:space="preserve">Supplementary Figure </w:t>
      </w:r>
      <w:r w:rsidR="005C3F44" w:rsidRPr="007E0FA5">
        <w:rPr>
          <w:rFonts w:cs="Times New Roman"/>
          <w:b/>
          <w:color w:val="000000" w:themeColor="text1"/>
          <w:szCs w:val="24"/>
        </w:rPr>
        <w:t>S</w:t>
      </w:r>
      <w:r w:rsidRPr="007E0FA5">
        <w:rPr>
          <w:rFonts w:cs="Times New Roman"/>
          <w:b/>
          <w:color w:val="000000" w:themeColor="text1"/>
          <w:szCs w:val="24"/>
        </w:rPr>
        <w:fldChar w:fldCharType="begin"/>
      </w:r>
      <w:r w:rsidRPr="007E0FA5">
        <w:rPr>
          <w:rFonts w:cs="Times New Roman"/>
          <w:b/>
          <w:color w:val="000000" w:themeColor="text1"/>
          <w:szCs w:val="24"/>
        </w:rPr>
        <w:instrText xml:space="preserve"> SEQ Figure \* ARABIC </w:instrText>
      </w:r>
      <w:r w:rsidRPr="007E0FA5">
        <w:rPr>
          <w:rFonts w:cs="Times New Roman"/>
          <w:b/>
          <w:color w:val="000000" w:themeColor="text1"/>
          <w:szCs w:val="24"/>
        </w:rPr>
        <w:fldChar w:fldCharType="separate"/>
      </w:r>
      <w:r w:rsidR="00ED20B5" w:rsidRPr="007E0FA5">
        <w:rPr>
          <w:rFonts w:cs="Times New Roman"/>
          <w:b/>
          <w:noProof/>
          <w:color w:val="000000" w:themeColor="text1"/>
          <w:szCs w:val="24"/>
        </w:rPr>
        <w:t>1</w:t>
      </w:r>
      <w:r w:rsidRPr="007E0FA5">
        <w:rPr>
          <w:rFonts w:cs="Times New Roman"/>
          <w:b/>
          <w:color w:val="000000" w:themeColor="text1"/>
          <w:szCs w:val="24"/>
        </w:rPr>
        <w:fldChar w:fldCharType="end"/>
      </w:r>
      <w:r w:rsidRPr="007E0FA5">
        <w:rPr>
          <w:rFonts w:cs="Times New Roman"/>
          <w:b/>
          <w:color w:val="000000" w:themeColor="text1"/>
          <w:szCs w:val="24"/>
        </w:rPr>
        <w:t>.</w:t>
      </w:r>
      <w:r w:rsidRPr="007E0FA5">
        <w:rPr>
          <w:rFonts w:cs="Times New Roman"/>
          <w:color w:val="000000" w:themeColor="text1"/>
          <w:szCs w:val="24"/>
        </w:rPr>
        <w:t xml:space="preserve"> </w:t>
      </w:r>
      <w:r w:rsidR="00011DA0" w:rsidRPr="007E0FA5">
        <w:rPr>
          <w:rFonts w:cs="Times New Roman"/>
          <w:color w:val="000000" w:themeColor="text1"/>
          <w:szCs w:val="24"/>
        </w:rPr>
        <w:t xml:space="preserve">Effects of </w:t>
      </w:r>
      <w:proofErr w:type="spellStart"/>
      <w:r w:rsidR="00011DA0" w:rsidRPr="007E0FA5">
        <w:rPr>
          <w:rFonts w:cs="Times New Roman"/>
          <w:i/>
          <w:color w:val="000000" w:themeColor="text1"/>
          <w:szCs w:val="24"/>
        </w:rPr>
        <w:t>cenpx</w:t>
      </w:r>
      <w:proofErr w:type="spellEnd"/>
      <w:r w:rsidR="00011DA0" w:rsidRPr="007E0FA5">
        <w:rPr>
          <w:rFonts w:cs="Times New Roman"/>
          <w:color w:val="000000" w:themeColor="text1"/>
          <w:szCs w:val="24"/>
        </w:rPr>
        <w:t xml:space="preserve"> MO and </w:t>
      </w:r>
      <w:r w:rsidR="00011DA0" w:rsidRPr="007E0FA5">
        <w:rPr>
          <w:rFonts w:cs="Times New Roman"/>
          <w:i/>
          <w:color w:val="000000" w:themeColor="text1"/>
          <w:szCs w:val="24"/>
        </w:rPr>
        <w:t>hmox1</w:t>
      </w:r>
      <w:r w:rsidR="00011DA0" w:rsidRPr="007E0FA5">
        <w:rPr>
          <w:rFonts w:cs="Times New Roman"/>
          <w:color w:val="000000" w:themeColor="text1"/>
          <w:szCs w:val="24"/>
        </w:rPr>
        <w:t xml:space="preserve"> MO on body weight</w:t>
      </w:r>
      <w:r w:rsidR="00431997" w:rsidRPr="007E0FA5">
        <w:rPr>
          <w:rFonts w:cs="Times New Roman"/>
          <w:color w:val="000000" w:themeColor="text1"/>
          <w:szCs w:val="24"/>
        </w:rPr>
        <w:t xml:space="preserve"> and </w:t>
      </w:r>
      <w:r w:rsidR="00011DA0" w:rsidRPr="007E0FA5">
        <w:rPr>
          <w:rFonts w:cs="Times New Roman"/>
          <w:color w:val="000000" w:themeColor="text1"/>
          <w:szCs w:val="24"/>
        </w:rPr>
        <w:t xml:space="preserve">fasting blood glucose in DIO </w:t>
      </w:r>
      <w:r w:rsidR="002F272B" w:rsidRPr="007E0FA5">
        <w:rPr>
          <w:rFonts w:cs="Times New Roman"/>
          <w:color w:val="000000" w:themeColor="text1"/>
          <w:szCs w:val="24"/>
        </w:rPr>
        <w:t xml:space="preserve">AB strain </w:t>
      </w:r>
      <w:r w:rsidR="00011DA0" w:rsidRPr="007E0FA5">
        <w:rPr>
          <w:rFonts w:cs="Times New Roman"/>
          <w:color w:val="000000" w:themeColor="text1"/>
          <w:szCs w:val="24"/>
        </w:rPr>
        <w:t>zebrafish. (A) Changes in body weight in each group during the 8-week overfeeding experiment. (B) Fasting blood glucose level in each group. n = 10; mean ± SE. *</w:t>
      </w:r>
      <w:r w:rsidR="00011DA0" w:rsidRPr="007E0FA5">
        <w:rPr>
          <w:rFonts w:cs="Times New Roman"/>
          <w:i/>
          <w:color w:val="000000" w:themeColor="text1"/>
          <w:szCs w:val="24"/>
        </w:rPr>
        <w:t>P</w:t>
      </w:r>
      <w:r w:rsidR="00011DA0" w:rsidRPr="007E0FA5">
        <w:rPr>
          <w:rFonts w:cs="Times New Roman"/>
          <w:color w:val="000000" w:themeColor="text1"/>
          <w:szCs w:val="24"/>
        </w:rPr>
        <w:t xml:space="preserve"> &lt; 0.05, **</w:t>
      </w:r>
      <w:r w:rsidR="00011DA0" w:rsidRPr="007E0FA5">
        <w:rPr>
          <w:rFonts w:cs="Times New Roman"/>
          <w:i/>
          <w:color w:val="000000" w:themeColor="text1"/>
          <w:szCs w:val="24"/>
        </w:rPr>
        <w:t>P</w:t>
      </w:r>
      <w:r w:rsidR="00011DA0" w:rsidRPr="007E0FA5">
        <w:rPr>
          <w:rFonts w:cs="Times New Roman"/>
          <w:color w:val="000000" w:themeColor="text1"/>
          <w:szCs w:val="24"/>
        </w:rPr>
        <w:t xml:space="preserve"> &lt; 0.01 versus DIO group.</w:t>
      </w:r>
    </w:p>
    <w:p w14:paraId="0CEDE7B7" w14:textId="77777777" w:rsidR="008D3FE9" w:rsidRPr="007E0FA5" w:rsidRDefault="008D3FE9">
      <w:pPr>
        <w:spacing w:before="0" w:after="200" w:line="276" w:lineRule="auto"/>
        <w:rPr>
          <w:rFonts w:cs="Times New Roman"/>
          <w:color w:val="000000" w:themeColor="text1"/>
          <w:szCs w:val="24"/>
        </w:rPr>
      </w:pPr>
      <w:r w:rsidRPr="007E0FA5">
        <w:rPr>
          <w:rFonts w:cs="Times New Roman"/>
          <w:color w:val="000000" w:themeColor="text1"/>
          <w:szCs w:val="24"/>
        </w:rPr>
        <w:br w:type="page"/>
      </w:r>
    </w:p>
    <w:p w14:paraId="1DDF1260" w14:textId="77777777" w:rsidR="00994A3D" w:rsidRPr="007E0FA5" w:rsidRDefault="00994A3D" w:rsidP="008D3FE9">
      <w:pPr>
        <w:spacing w:before="0" w:after="200" w:line="276" w:lineRule="auto"/>
        <w:rPr>
          <w:rFonts w:cs="Times New Roman"/>
          <w:b/>
          <w:color w:val="000000" w:themeColor="text1"/>
          <w:szCs w:val="24"/>
        </w:rPr>
      </w:pPr>
    </w:p>
    <w:p w14:paraId="11D0BDE0" w14:textId="77777777" w:rsidR="00D012F6" w:rsidRPr="007E0FA5" w:rsidRDefault="00D012F6" w:rsidP="00654E8F">
      <w:pPr>
        <w:spacing w:before="240"/>
        <w:rPr>
          <w:color w:val="000000" w:themeColor="text1"/>
        </w:rPr>
      </w:pPr>
    </w:p>
    <w:p w14:paraId="1010FB6A" w14:textId="77777777" w:rsidR="00D012F6" w:rsidRPr="007E0FA5" w:rsidRDefault="001D56F0" w:rsidP="00654E8F">
      <w:pPr>
        <w:spacing w:before="240"/>
        <w:rPr>
          <w:color w:val="000000" w:themeColor="text1"/>
        </w:rPr>
      </w:pPr>
      <w:r w:rsidRPr="007E0FA5">
        <w:rPr>
          <w:noProof/>
          <w:color w:val="000000" w:themeColor="text1"/>
          <w:lang w:eastAsia="ja-JP"/>
        </w:rPr>
        <w:drawing>
          <wp:inline distT="0" distB="0" distL="0" distR="0" wp14:anchorId="7854E1DF" wp14:editId="6B6A218B">
            <wp:extent cx="6059808" cy="3060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9808" cy="3060000"/>
                    </a:xfrm>
                    <a:prstGeom prst="rect">
                      <a:avLst/>
                    </a:prstGeom>
                    <a:noFill/>
                    <a:ln>
                      <a:noFill/>
                    </a:ln>
                  </pic:spPr>
                </pic:pic>
              </a:graphicData>
            </a:graphic>
          </wp:inline>
        </w:drawing>
      </w:r>
    </w:p>
    <w:p w14:paraId="7689DE75" w14:textId="0A8C7E86" w:rsidR="00D012F6" w:rsidRPr="007E0FA5" w:rsidRDefault="00D012F6" w:rsidP="001D56F0">
      <w:pPr>
        <w:spacing w:before="240"/>
        <w:rPr>
          <w:color w:val="000000" w:themeColor="text1"/>
        </w:rPr>
      </w:pPr>
      <w:r w:rsidRPr="007E0FA5">
        <w:rPr>
          <w:b/>
          <w:color w:val="000000" w:themeColor="text1"/>
        </w:rPr>
        <w:t xml:space="preserve">Supplementary Figure </w:t>
      </w:r>
      <w:r w:rsidR="005C3F44" w:rsidRPr="007E0FA5">
        <w:rPr>
          <w:b/>
          <w:color w:val="000000" w:themeColor="text1"/>
        </w:rPr>
        <w:t>S</w:t>
      </w:r>
      <w:r w:rsidRPr="007E0FA5">
        <w:rPr>
          <w:b/>
          <w:color w:val="000000" w:themeColor="text1"/>
        </w:rPr>
        <w:t>2.</w:t>
      </w:r>
      <w:r w:rsidRPr="007E0FA5">
        <w:rPr>
          <w:color w:val="000000" w:themeColor="text1"/>
        </w:rPr>
        <w:t xml:space="preserve"> </w:t>
      </w:r>
      <w:r w:rsidR="005975DC" w:rsidRPr="007E0FA5">
        <w:rPr>
          <w:color w:val="000000" w:themeColor="text1"/>
        </w:rPr>
        <w:t xml:space="preserve">Identification of the </w:t>
      </w:r>
      <w:r w:rsidR="001D56F0" w:rsidRPr="007E0FA5">
        <w:rPr>
          <w:color w:val="000000" w:themeColor="text1"/>
        </w:rPr>
        <w:t xml:space="preserve">mutations induced by </w:t>
      </w:r>
      <w:proofErr w:type="spellStart"/>
      <w:r w:rsidR="001D56F0" w:rsidRPr="007E0FA5">
        <w:rPr>
          <w:i/>
          <w:color w:val="000000" w:themeColor="text1"/>
        </w:rPr>
        <w:t>cenpx</w:t>
      </w:r>
      <w:proofErr w:type="spellEnd"/>
      <w:r w:rsidR="001D56F0" w:rsidRPr="007E0FA5">
        <w:rPr>
          <w:color w:val="000000" w:themeColor="text1"/>
        </w:rPr>
        <w:t xml:space="preserve"> </w:t>
      </w:r>
      <w:proofErr w:type="spellStart"/>
      <w:r w:rsidR="001D56F0" w:rsidRPr="007E0FA5">
        <w:rPr>
          <w:color w:val="000000" w:themeColor="text1"/>
        </w:rPr>
        <w:t>sgRNA</w:t>
      </w:r>
      <w:proofErr w:type="spellEnd"/>
      <w:r w:rsidR="001D56F0" w:rsidRPr="007E0FA5">
        <w:rPr>
          <w:color w:val="000000" w:themeColor="text1"/>
        </w:rPr>
        <w:t xml:space="preserve">/Cas9. (A) </w:t>
      </w:r>
      <w:proofErr w:type="spellStart"/>
      <w:r w:rsidRPr="007E0FA5">
        <w:rPr>
          <w:color w:val="000000" w:themeColor="text1"/>
        </w:rPr>
        <w:t>Heteroduplex</w:t>
      </w:r>
      <w:proofErr w:type="spellEnd"/>
      <w:r w:rsidRPr="007E0FA5">
        <w:rPr>
          <w:color w:val="000000" w:themeColor="text1"/>
        </w:rPr>
        <w:t xml:space="preserve"> mobility assay (HMA) showing efficient </w:t>
      </w:r>
      <w:proofErr w:type="spellStart"/>
      <w:r w:rsidRPr="007E0FA5">
        <w:rPr>
          <w:i/>
          <w:color w:val="000000" w:themeColor="text1"/>
        </w:rPr>
        <w:t>cenpx</w:t>
      </w:r>
      <w:proofErr w:type="spellEnd"/>
      <w:r w:rsidRPr="007E0FA5">
        <w:rPr>
          <w:color w:val="000000" w:themeColor="text1"/>
        </w:rPr>
        <w:t xml:space="preserve"> mutagenesis in cas9/</w:t>
      </w:r>
      <w:proofErr w:type="spellStart"/>
      <w:r w:rsidRPr="007E0FA5">
        <w:rPr>
          <w:color w:val="000000" w:themeColor="text1"/>
        </w:rPr>
        <w:t>sgRNA</w:t>
      </w:r>
      <w:proofErr w:type="spellEnd"/>
      <w:r w:rsidRPr="007E0FA5">
        <w:rPr>
          <w:color w:val="000000" w:themeColor="text1"/>
        </w:rPr>
        <w:t xml:space="preserve"> transgenic larvae at 1 </w:t>
      </w:r>
      <w:proofErr w:type="spellStart"/>
      <w:r w:rsidRPr="007E0FA5">
        <w:rPr>
          <w:color w:val="000000" w:themeColor="text1"/>
        </w:rPr>
        <w:t>dpf</w:t>
      </w:r>
      <w:proofErr w:type="spellEnd"/>
      <w:r w:rsidRPr="007E0FA5">
        <w:rPr>
          <w:color w:val="000000" w:themeColor="text1"/>
        </w:rPr>
        <w:t xml:space="preserve"> (day post fertilization).</w:t>
      </w:r>
      <w:r w:rsidR="001D56F0" w:rsidRPr="007E0FA5">
        <w:rPr>
          <w:color w:val="000000" w:themeColor="text1"/>
        </w:rPr>
        <w:t xml:space="preserve"> (B) </w:t>
      </w:r>
      <w:r w:rsidR="009060A6" w:rsidRPr="007E0FA5">
        <w:rPr>
          <w:color w:val="000000" w:themeColor="text1"/>
        </w:rPr>
        <w:t xml:space="preserve">Chromatograms showing sequence analysis to confirm heterozygous mutation in the targeted region of </w:t>
      </w:r>
      <w:proofErr w:type="spellStart"/>
      <w:r w:rsidR="009060A6" w:rsidRPr="007E0FA5">
        <w:rPr>
          <w:i/>
          <w:color w:val="000000" w:themeColor="text1"/>
        </w:rPr>
        <w:t>cenpx</w:t>
      </w:r>
      <w:proofErr w:type="spellEnd"/>
      <w:r w:rsidR="009060A6" w:rsidRPr="007E0FA5">
        <w:rPr>
          <w:color w:val="000000" w:themeColor="text1"/>
        </w:rPr>
        <w:t>.</w:t>
      </w:r>
      <w:r w:rsidR="001D56F0" w:rsidRPr="007E0FA5">
        <w:rPr>
          <w:color w:val="000000" w:themeColor="text1"/>
        </w:rPr>
        <w:t xml:space="preserve"> (C) Sequences of </w:t>
      </w:r>
      <w:proofErr w:type="spellStart"/>
      <w:r w:rsidR="001D56F0" w:rsidRPr="007E0FA5">
        <w:rPr>
          <w:i/>
          <w:color w:val="000000" w:themeColor="text1"/>
        </w:rPr>
        <w:t>cenpx</w:t>
      </w:r>
      <w:proofErr w:type="spellEnd"/>
      <w:r w:rsidR="001D56F0" w:rsidRPr="007E0FA5">
        <w:rPr>
          <w:color w:val="000000" w:themeColor="text1"/>
        </w:rPr>
        <w:t xml:space="preserve"> mutations in 24 F1 individuals. The wild-type sequence is shown at the top</w:t>
      </w:r>
      <w:r w:rsidR="00F16484" w:rsidRPr="007E0FA5">
        <w:rPr>
          <w:color w:val="000000" w:themeColor="text1"/>
        </w:rPr>
        <w:t>,</w:t>
      </w:r>
      <w:r w:rsidR="001D56F0" w:rsidRPr="007E0FA5">
        <w:rPr>
          <w:color w:val="000000" w:themeColor="text1"/>
        </w:rPr>
        <w:t xml:space="preserve"> with the targeted genomic sequences and PAM sequences </w:t>
      </w:r>
      <w:r w:rsidR="009060A6" w:rsidRPr="007E0FA5">
        <w:rPr>
          <w:color w:val="000000" w:themeColor="text1"/>
        </w:rPr>
        <w:t>shown</w:t>
      </w:r>
      <w:r w:rsidR="001D56F0" w:rsidRPr="007E0FA5">
        <w:rPr>
          <w:color w:val="000000" w:themeColor="text1"/>
        </w:rPr>
        <w:t xml:space="preserve"> by the green and blue letters, respectively. The deleted and inserted nucleotides compared with the wild-type sequence</w:t>
      </w:r>
      <w:r w:rsidR="009060A6" w:rsidRPr="007E0FA5">
        <w:rPr>
          <w:color w:val="000000" w:themeColor="text1"/>
        </w:rPr>
        <w:t xml:space="preserve"> </w:t>
      </w:r>
      <w:r w:rsidR="001D56F0" w:rsidRPr="007E0FA5">
        <w:rPr>
          <w:color w:val="000000" w:themeColor="text1"/>
        </w:rPr>
        <w:t>are indicated by the red dashes and red letters, respectively. The numbers of nucleotides deleted (-) and inserted (+) are indicated to the right with the detection number.</w:t>
      </w:r>
    </w:p>
    <w:p w14:paraId="22281D40" w14:textId="77777777" w:rsidR="00D012F6" w:rsidRPr="007E0FA5" w:rsidRDefault="00D012F6">
      <w:pPr>
        <w:spacing w:before="0" w:after="200" w:line="276" w:lineRule="auto"/>
        <w:rPr>
          <w:color w:val="000000" w:themeColor="text1"/>
        </w:rPr>
      </w:pPr>
      <w:r w:rsidRPr="007E0FA5">
        <w:rPr>
          <w:color w:val="000000" w:themeColor="text1"/>
        </w:rPr>
        <w:br w:type="page"/>
      </w:r>
    </w:p>
    <w:p w14:paraId="77F6E5B5" w14:textId="77777777" w:rsidR="00D012F6" w:rsidRPr="007E0FA5" w:rsidRDefault="00D012F6" w:rsidP="00654E8F">
      <w:pPr>
        <w:spacing w:before="240"/>
        <w:rPr>
          <w:color w:val="000000" w:themeColor="text1"/>
        </w:rPr>
      </w:pPr>
    </w:p>
    <w:p w14:paraId="55D73934" w14:textId="77777777" w:rsidR="00D012F6" w:rsidRPr="007E0FA5" w:rsidRDefault="00514C7B" w:rsidP="00654E8F">
      <w:pPr>
        <w:spacing w:before="240"/>
        <w:rPr>
          <w:color w:val="000000" w:themeColor="text1"/>
        </w:rPr>
      </w:pPr>
      <w:r w:rsidRPr="007E0FA5">
        <w:rPr>
          <w:noProof/>
          <w:color w:val="000000" w:themeColor="text1"/>
          <w:lang w:eastAsia="ja-JP"/>
        </w:rPr>
        <w:drawing>
          <wp:anchor distT="0" distB="0" distL="114300" distR="114300" simplePos="0" relativeHeight="251670528" behindDoc="0" locked="0" layoutInCell="1" allowOverlap="1" wp14:anchorId="6195C34F" wp14:editId="4972AA9B">
            <wp:simplePos x="0" y="0"/>
            <wp:positionH relativeFrom="column">
              <wp:posOffset>1345344</wp:posOffset>
            </wp:positionH>
            <wp:positionV relativeFrom="paragraph">
              <wp:posOffset>188898</wp:posOffset>
            </wp:positionV>
            <wp:extent cx="3175000" cy="270000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5000" cy="27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BA61D3" w14:textId="77777777" w:rsidR="00D012F6" w:rsidRPr="007E0FA5" w:rsidRDefault="00D012F6" w:rsidP="00654E8F">
      <w:pPr>
        <w:spacing w:before="240"/>
        <w:rPr>
          <w:color w:val="000000" w:themeColor="text1"/>
        </w:rPr>
      </w:pPr>
    </w:p>
    <w:p w14:paraId="55479EA3" w14:textId="77777777" w:rsidR="00D012F6" w:rsidRPr="007E0FA5" w:rsidRDefault="00D012F6" w:rsidP="00654E8F">
      <w:pPr>
        <w:spacing w:before="240"/>
        <w:rPr>
          <w:color w:val="000000" w:themeColor="text1"/>
        </w:rPr>
      </w:pPr>
    </w:p>
    <w:p w14:paraId="379DBBE4" w14:textId="77777777" w:rsidR="00D012F6" w:rsidRPr="007E0FA5" w:rsidRDefault="00D012F6" w:rsidP="00654E8F">
      <w:pPr>
        <w:spacing w:before="240"/>
        <w:rPr>
          <w:color w:val="000000" w:themeColor="text1"/>
        </w:rPr>
      </w:pPr>
    </w:p>
    <w:p w14:paraId="393DEA27" w14:textId="77777777" w:rsidR="00D012F6" w:rsidRPr="007E0FA5" w:rsidRDefault="00D012F6" w:rsidP="00654E8F">
      <w:pPr>
        <w:spacing w:before="240"/>
        <w:rPr>
          <w:color w:val="000000" w:themeColor="text1"/>
        </w:rPr>
      </w:pPr>
    </w:p>
    <w:p w14:paraId="174CA938" w14:textId="77777777" w:rsidR="00D012F6" w:rsidRPr="007E0FA5" w:rsidRDefault="00D012F6" w:rsidP="00654E8F">
      <w:pPr>
        <w:spacing w:before="240"/>
        <w:rPr>
          <w:color w:val="000000" w:themeColor="text1"/>
        </w:rPr>
      </w:pPr>
    </w:p>
    <w:p w14:paraId="73049505" w14:textId="77777777" w:rsidR="00DE23E8" w:rsidRPr="007E0FA5" w:rsidRDefault="00DE23E8" w:rsidP="00654E8F">
      <w:pPr>
        <w:spacing w:before="240"/>
        <w:rPr>
          <w:color w:val="000000" w:themeColor="text1"/>
        </w:rPr>
      </w:pPr>
    </w:p>
    <w:p w14:paraId="11D5CC31" w14:textId="77777777" w:rsidR="00D012F6" w:rsidRPr="007E0FA5" w:rsidRDefault="00D012F6" w:rsidP="00654E8F">
      <w:pPr>
        <w:spacing w:before="240"/>
        <w:rPr>
          <w:color w:val="000000" w:themeColor="text1"/>
        </w:rPr>
      </w:pPr>
    </w:p>
    <w:p w14:paraId="52073284" w14:textId="77777777" w:rsidR="00D012F6" w:rsidRPr="007E0FA5" w:rsidRDefault="00D012F6" w:rsidP="00654E8F">
      <w:pPr>
        <w:spacing w:before="240"/>
        <w:rPr>
          <w:color w:val="000000" w:themeColor="text1"/>
        </w:rPr>
      </w:pPr>
    </w:p>
    <w:p w14:paraId="7929CD10" w14:textId="77777777" w:rsidR="00D012F6" w:rsidRPr="007E0FA5" w:rsidRDefault="00D012F6" w:rsidP="00654E8F">
      <w:pPr>
        <w:spacing w:before="240"/>
        <w:rPr>
          <w:color w:val="000000" w:themeColor="text1"/>
        </w:rPr>
      </w:pPr>
    </w:p>
    <w:p w14:paraId="53ACDA38" w14:textId="77777777" w:rsidR="00D9256F" w:rsidRPr="007E0FA5" w:rsidRDefault="00D012F6" w:rsidP="00654E8F">
      <w:pPr>
        <w:spacing w:before="240"/>
        <w:rPr>
          <w:color w:val="000000" w:themeColor="text1"/>
        </w:rPr>
      </w:pPr>
      <w:bookmarkStart w:id="0" w:name="OLE_LINK1"/>
      <w:r w:rsidRPr="007E0FA5">
        <w:rPr>
          <w:b/>
          <w:color w:val="000000" w:themeColor="text1"/>
        </w:rPr>
        <w:t xml:space="preserve">Supplementary Figure </w:t>
      </w:r>
      <w:r w:rsidR="005C3F44" w:rsidRPr="007E0FA5">
        <w:rPr>
          <w:b/>
          <w:color w:val="000000" w:themeColor="text1"/>
        </w:rPr>
        <w:t>S</w:t>
      </w:r>
      <w:r w:rsidRPr="007E0FA5">
        <w:rPr>
          <w:b/>
          <w:color w:val="000000" w:themeColor="text1"/>
        </w:rPr>
        <w:t>3.</w:t>
      </w:r>
      <w:bookmarkEnd w:id="0"/>
      <w:r w:rsidRPr="007E0FA5">
        <w:rPr>
          <w:color w:val="000000" w:themeColor="text1"/>
        </w:rPr>
        <w:t xml:space="preserve"> Knockdown efficacy of </w:t>
      </w:r>
      <w:proofErr w:type="spellStart"/>
      <w:r w:rsidRPr="007E0FA5">
        <w:rPr>
          <w:i/>
          <w:color w:val="000000" w:themeColor="text1"/>
        </w:rPr>
        <w:t>Cenpx</w:t>
      </w:r>
      <w:proofErr w:type="spellEnd"/>
      <w:r w:rsidRPr="007E0FA5">
        <w:rPr>
          <w:color w:val="000000" w:themeColor="text1"/>
        </w:rPr>
        <w:t xml:space="preserve"> siRNAs was measured by qPCR using </w:t>
      </w:r>
      <w:proofErr w:type="spellStart"/>
      <w:r w:rsidRPr="007E0FA5">
        <w:rPr>
          <w:color w:val="000000" w:themeColor="text1"/>
        </w:rPr>
        <w:t>Hepa</w:t>
      </w:r>
      <w:proofErr w:type="spellEnd"/>
      <w:r w:rsidRPr="007E0FA5">
        <w:rPr>
          <w:color w:val="000000" w:themeColor="text1"/>
        </w:rPr>
        <w:t xml:space="preserve"> 1-6 cells. n = 3; mean ± SE. *</w:t>
      </w:r>
      <w:r w:rsidRPr="007E0FA5">
        <w:rPr>
          <w:i/>
          <w:color w:val="000000" w:themeColor="text1"/>
        </w:rPr>
        <w:t>P</w:t>
      </w:r>
      <w:r w:rsidRPr="007E0FA5">
        <w:rPr>
          <w:color w:val="000000" w:themeColor="text1"/>
        </w:rPr>
        <w:t xml:space="preserve"> &lt; 0.05, **</w:t>
      </w:r>
      <w:r w:rsidRPr="007E0FA5">
        <w:rPr>
          <w:i/>
          <w:color w:val="000000" w:themeColor="text1"/>
        </w:rPr>
        <w:t>P</w:t>
      </w:r>
      <w:r w:rsidRPr="007E0FA5">
        <w:rPr>
          <w:color w:val="000000" w:themeColor="text1"/>
        </w:rPr>
        <w:t xml:space="preserve"> &lt; 0.01 versus the control group.</w:t>
      </w:r>
    </w:p>
    <w:p w14:paraId="293C767A" w14:textId="77777777" w:rsidR="00D9256F" w:rsidRPr="007E0FA5" w:rsidRDefault="00D9256F" w:rsidP="00D9256F">
      <w:pPr>
        <w:pStyle w:val="aff3"/>
        <w:rPr>
          <w:color w:val="000000" w:themeColor="text1"/>
        </w:rPr>
      </w:pPr>
      <w:r w:rsidRPr="007E0FA5">
        <w:rPr>
          <w:color w:val="000000" w:themeColor="text1"/>
        </w:rPr>
        <w:br w:type="page"/>
      </w:r>
    </w:p>
    <w:p w14:paraId="49E84466" w14:textId="7DD29914" w:rsidR="006B6E8C" w:rsidRPr="007E0FA5" w:rsidRDefault="00E747C1" w:rsidP="00510C2C">
      <w:pPr>
        <w:spacing w:before="240"/>
        <w:rPr>
          <w:color w:val="000000" w:themeColor="text1"/>
          <w:szCs w:val="24"/>
        </w:rPr>
      </w:pPr>
      <w:r w:rsidRPr="007E0FA5">
        <w:rPr>
          <w:noProof/>
          <w:color w:val="000000" w:themeColor="text1"/>
          <w:lang w:eastAsia="ja-JP"/>
        </w:rPr>
        <w:lastRenderedPageBreak/>
        <w:drawing>
          <wp:anchor distT="0" distB="0" distL="114300" distR="114300" simplePos="0" relativeHeight="251681792" behindDoc="0" locked="0" layoutInCell="1" allowOverlap="1" wp14:anchorId="4B3A6C99" wp14:editId="1B425900">
            <wp:simplePos x="0" y="0"/>
            <wp:positionH relativeFrom="column">
              <wp:posOffset>-75123</wp:posOffset>
            </wp:positionH>
            <wp:positionV relativeFrom="paragraph">
              <wp:posOffset>27</wp:posOffset>
            </wp:positionV>
            <wp:extent cx="2766695" cy="2879725"/>
            <wp:effectExtent l="0" t="0" r="0" b="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66695" cy="2879725"/>
                    </a:xfrm>
                    <a:prstGeom prst="rect">
                      <a:avLst/>
                    </a:prstGeom>
                  </pic:spPr>
                </pic:pic>
              </a:graphicData>
            </a:graphic>
          </wp:anchor>
        </w:drawing>
      </w:r>
      <w:r w:rsidR="002B5773" w:rsidRPr="007E0FA5">
        <w:rPr>
          <w:noProof/>
          <w:color w:val="000000" w:themeColor="text1"/>
          <w:lang w:eastAsia="ja-JP"/>
        </w:rPr>
        <w:t xml:space="preserve">  </w:t>
      </w:r>
      <w:r w:rsidRPr="007E0FA5">
        <w:rPr>
          <w:noProof/>
          <w:color w:val="000000" w:themeColor="text1"/>
          <w:lang w:eastAsia="ja-JP"/>
        </w:rPr>
        <w:drawing>
          <wp:anchor distT="0" distB="0" distL="114300" distR="114300" simplePos="0" relativeHeight="251680768" behindDoc="0" locked="0" layoutInCell="1" allowOverlap="1" wp14:anchorId="7E2DA1EC" wp14:editId="494084FB">
            <wp:simplePos x="0" y="0"/>
            <wp:positionH relativeFrom="column">
              <wp:posOffset>2843530</wp:posOffset>
            </wp:positionH>
            <wp:positionV relativeFrom="paragraph">
              <wp:posOffset>0</wp:posOffset>
            </wp:positionV>
            <wp:extent cx="2959735" cy="2879725"/>
            <wp:effectExtent l="0" t="0" r="0" b="0"/>
            <wp:wrapTopAndBottom/>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59735" cy="2879725"/>
                    </a:xfrm>
                    <a:prstGeom prst="rect">
                      <a:avLst/>
                    </a:prstGeom>
                  </pic:spPr>
                </pic:pic>
              </a:graphicData>
            </a:graphic>
          </wp:anchor>
        </w:drawing>
      </w:r>
    </w:p>
    <w:p w14:paraId="7FF39BDA" w14:textId="51C2F13F" w:rsidR="002B5773" w:rsidRPr="007E0FA5" w:rsidRDefault="00D9256F" w:rsidP="00510C2C">
      <w:pPr>
        <w:spacing w:before="240"/>
        <w:rPr>
          <w:color w:val="000000" w:themeColor="text1"/>
          <w:szCs w:val="24"/>
        </w:rPr>
      </w:pPr>
      <w:r w:rsidRPr="007E0FA5">
        <w:rPr>
          <w:color w:val="000000" w:themeColor="text1"/>
          <w:szCs w:val="24"/>
        </w:rPr>
        <w:t>Supplementary Figure S</w:t>
      </w:r>
      <w:r w:rsidRPr="007E0FA5">
        <w:rPr>
          <w:color w:val="000000" w:themeColor="text1"/>
          <w:szCs w:val="24"/>
          <w:lang w:eastAsia="ja-JP"/>
        </w:rPr>
        <w:t>4</w:t>
      </w:r>
      <w:r w:rsidRPr="007E0FA5">
        <w:rPr>
          <w:color w:val="000000" w:themeColor="text1"/>
          <w:szCs w:val="24"/>
        </w:rPr>
        <w:t xml:space="preserve">.  </w:t>
      </w:r>
      <w:r w:rsidR="002B5773" w:rsidRPr="007E0FA5">
        <w:rPr>
          <w:rFonts w:cs="Times New Roman"/>
          <w:color w:val="000000" w:themeColor="text1"/>
          <w:szCs w:val="24"/>
        </w:rPr>
        <w:t xml:space="preserve">Effects of scrambled siRNA on fasting blood glucose and </w:t>
      </w:r>
      <w:proofErr w:type="spellStart"/>
      <w:r w:rsidR="002B5773" w:rsidRPr="007E0FA5">
        <w:rPr>
          <w:rFonts w:cs="Times New Roman"/>
          <w:i/>
          <w:color w:val="000000" w:themeColor="text1"/>
          <w:szCs w:val="24"/>
        </w:rPr>
        <w:t>Cenpx</w:t>
      </w:r>
      <w:proofErr w:type="spellEnd"/>
      <w:r w:rsidR="002B5773" w:rsidRPr="007E0FA5">
        <w:rPr>
          <w:rFonts w:cs="Times New Roman"/>
          <w:color w:val="000000" w:themeColor="text1"/>
          <w:szCs w:val="24"/>
        </w:rPr>
        <w:t xml:space="preserve"> mRNA levels in mouse. (A) Changes in </w:t>
      </w:r>
      <w:r w:rsidR="002B5773" w:rsidRPr="007E0FA5">
        <w:rPr>
          <w:color w:val="000000" w:themeColor="text1"/>
          <w:szCs w:val="24"/>
        </w:rPr>
        <w:t>in fasting blood glucose levels.</w:t>
      </w:r>
      <w:r w:rsidR="002B5773" w:rsidRPr="007E0FA5">
        <w:rPr>
          <w:rFonts w:cs="Times New Roman"/>
          <w:color w:val="000000" w:themeColor="text1"/>
          <w:szCs w:val="24"/>
        </w:rPr>
        <w:t xml:space="preserve"> (B) </w:t>
      </w:r>
      <w:r w:rsidR="002B5773" w:rsidRPr="007E0FA5">
        <w:rPr>
          <w:color w:val="000000" w:themeColor="text1"/>
        </w:rPr>
        <w:t xml:space="preserve">Relative mRNA levels in the pancreas tissues of mice injected with </w:t>
      </w:r>
      <w:r w:rsidR="00E747C1" w:rsidRPr="007E0FA5">
        <w:rPr>
          <w:rFonts w:cs="Times New Roman"/>
          <w:color w:val="000000" w:themeColor="text1"/>
          <w:szCs w:val="24"/>
        </w:rPr>
        <w:t>scrambled siRNA</w:t>
      </w:r>
      <w:r w:rsidR="002B5773" w:rsidRPr="007E0FA5">
        <w:rPr>
          <w:rFonts w:cs="Times New Roman"/>
          <w:color w:val="000000" w:themeColor="text1"/>
          <w:szCs w:val="24"/>
        </w:rPr>
        <w:t xml:space="preserve">. n = 5; mean ± SE. ns, </w:t>
      </w:r>
      <w:r w:rsidR="002B5773" w:rsidRPr="007E0FA5">
        <w:rPr>
          <w:color w:val="000000" w:themeColor="text1"/>
        </w:rPr>
        <w:t>not significant.</w:t>
      </w:r>
    </w:p>
    <w:p w14:paraId="1BC7758E" w14:textId="77777777" w:rsidR="00660A0F" w:rsidRPr="007E0FA5" w:rsidRDefault="00660A0F" w:rsidP="00D9256F">
      <w:pPr>
        <w:pStyle w:val="aff3"/>
        <w:jc w:val="left"/>
        <w:rPr>
          <w:color w:val="000000" w:themeColor="text1"/>
        </w:rPr>
      </w:pPr>
      <w:r w:rsidRPr="007E0FA5">
        <w:rPr>
          <w:color w:val="000000" w:themeColor="text1"/>
        </w:rPr>
        <w:br w:type="page"/>
      </w:r>
    </w:p>
    <w:p w14:paraId="4DF57910" w14:textId="77777777" w:rsidR="00D012F6" w:rsidRPr="007E0FA5" w:rsidRDefault="00660A0F" w:rsidP="00654E8F">
      <w:pPr>
        <w:spacing w:before="240"/>
        <w:rPr>
          <w:color w:val="000000" w:themeColor="text1"/>
        </w:rPr>
      </w:pPr>
      <w:r w:rsidRPr="007E0FA5">
        <w:rPr>
          <w:noProof/>
          <w:color w:val="000000" w:themeColor="text1"/>
          <w:lang w:eastAsia="ja-JP"/>
        </w:rPr>
        <w:lastRenderedPageBreak/>
        <w:drawing>
          <wp:anchor distT="0" distB="0" distL="114300" distR="114300" simplePos="0" relativeHeight="251675648" behindDoc="0" locked="0" layoutInCell="1" allowOverlap="1" wp14:anchorId="7CAB180C" wp14:editId="4AC68CF4">
            <wp:simplePos x="811033" y="858741"/>
            <wp:positionH relativeFrom="margin">
              <wp:align>center</wp:align>
            </wp:positionH>
            <wp:positionV relativeFrom="margin">
              <wp:align>top</wp:align>
            </wp:positionV>
            <wp:extent cx="2971765" cy="2520000"/>
            <wp:effectExtent l="0" t="0" r="635"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71765" cy="2520000"/>
                    </a:xfrm>
                    <a:prstGeom prst="rect">
                      <a:avLst/>
                    </a:prstGeom>
                  </pic:spPr>
                </pic:pic>
              </a:graphicData>
            </a:graphic>
            <wp14:sizeRelH relativeFrom="margin">
              <wp14:pctWidth>0</wp14:pctWidth>
            </wp14:sizeRelH>
            <wp14:sizeRelV relativeFrom="margin">
              <wp14:pctHeight>0</wp14:pctHeight>
            </wp14:sizeRelV>
          </wp:anchor>
        </w:drawing>
      </w:r>
    </w:p>
    <w:p w14:paraId="5D3248A8" w14:textId="77777777" w:rsidR="00660A0F" w:rsidRPr="007E0FA5" w:rsidRDefault="00660A0F">
      <w:pPr>
        <w:spacing w:before="0" w:after="200" w:line="276" w:lineRule="auto"/>
        <w:rPr>
          <w:color w:val="000000" w:themeColor="text1"/>
        </w:rPr>
      </w:pPr>
    </w:p>
    <w:p w14:paraId="6D1A39CF" w14:textId="77777777" w:rsidR="00660A0F" w:rsidRPr="007E0FA5" w:rsidRDefault="00660A0F">
      <w:pPr>
        <w:spacing w:before="0" w:after="200" w:line="276" w:lineRule="auto"/>
        <w:rPr>
          <w:color w:val="000000" w:themeColor="text1"/>
        </w:rPr>
      </w:pPr>
    </w:p>
    <w:p w14:paraId="22289FCE" w14:textId="77777777" w:rsidR="00660A0F" w:rsidRPr="007E0FA5" w:rsidRDefault="00660A0F">
      <w:pPr>
        <w:spacing w:before="0" w:after="200" w:line="276" w:lineRule="auto"/>
        <w:rPr>
          <w:color w:val="000000" w:themeColor="text1"/>
        </w:rPr>
      </w:pPr>
    </w:p>
    <w:p w14:paraId="0B876101" w14:textId="77777777" w:rsidR="00660A0F" w:rsidRPr="007E0FA5" w:rsidRDefault="00660A0F">
      <w:pPr>
        <w:spacing w:before="0" w:after="200" w:line="276" w:lineRule="auto"/>
        <w:rPr>
          <w:color w:val="000000" w:themeColor="text1"/>
        </w:rPr>
      </w:pPr>
    </w:p>
    <w:p w14:paraId="63A11B8F" w14:textId="77777777" w:rsidR="00660A0F" w:rsidRPr="007E0FA5" w:rsidRDefault="00660A0F">
      <w:pPr>
        <w:spacing w:before="0" w:after="200" w:line="276" w:lineRule="auto"/>
        <w:rPr>
          <w:color w:val="000000" w:themeColor="text1"/>
        </w:rPr>
      </w:pPr>
    </w:p>
    <w:p w14:paraId="36AB1FA1" w14:textId="77777777" w:rsidR="00660A0F" w:rsidRPr="007E0FA5" w:rsidRDefault="00660A0F">
      <w:pPr>
        <w:spacing w:before="0" w:after="200" w:line="276" w:lineRule="auto"/>
        <w:rPr>
          <w:color w:val="000000" w:themeColor="text1"/>
        </w:rPr>
      </w:pPr>
    </w:p>
    <w:p w14:paraId="5DE945CB" w14:textId="77777777" w:rsidR="00660A0F" w:rsidRPr="007E0FA5" w:rsidRDefault="00660A0F">
      <w:pPr>
        <w:spacing w:before="0" w:after="200" w:line="276" w:lineRule="auto"/>
        <w:rPr>
          <w:color w:val="000000" w:themeColor="text1"/>
        </w:rPr>
      </w:pPr>
    </w:p>
    <w:p w14:paraId="59276293" w14:textId="77777777" w:rsidR="00660A0F" w:rsidRPr="007E0FA5" w:rsidRDefault="00660A0F">
      <w:pPr>
        <w:spacing w:before="0" w:after="200" w:line="276" w:lineRule="auto"/>
        <w:rPr>
          <w:color w:val="000000" w:themeColor="text1"/>
        </w:rPr>
      </w:pPr>
    </w:p>
    <w:p w14:paraId="56FD7579" w14:textId="57EDC189" w:rsidR="00D012F6" w:rsidRPr="007E0FA5" w:rsidRDefault="00660A0F">
      <w:pPr>
        <w:spacing w:before="0" w:after="200" w:line="276" w:lineRule="auto"/>
        <w:rPr>
          <w:color w:val="000000" w:themeColor="text1"/>
        </w:rPr>
      </w:pPr>
      <w:r w:rsidRPr="007E0FA5">
        <w:rPr>
          <w:b/>
          <w:color w:val="000000" w:themeColor="text1"/>
        </w:rPr>
        <w:t>Supplementary Figure S</w:t>
      </w:r>
      <w:r w:rsidR="00D9256F" w:rsidRPr="007E0FA5">
        <w:rPr>
          <w:b/>
          <w:color w:val="000000" w:themeColor="text1"/>
          <w:lang w:eastAsia="ja-JP"/>
        </w:rPr>
        <w:t>5</w:t>
      </w:r>
      <w:r w:rsidRPr="007E0FA5">
        <w:rPr>
          <w:b/>
          <w:color w:val="000000" w:themeColor="text1"/>
        </w:rPr>
        <w:t>.</w:t>
      </w:r>
      <w:r w:rsidRPr="007E0FA5">
        <w:rPr>
          <w:color w:val="000000" w:themeColor="text1"/>
        </w:rPr>
        <w:t xml:space="preserve"> </w:t>
      </w:r>
      <w:r w:rsidR="0035398E" w:rsidRPr="007E0FA5">
        <w:rPr>
          <w:color w:val="000000" w:themeColor="text1"/>
        </w:rPr>
        <w:t xml:space="preserve">Relative mRNA levels in the liver tissues of mice injected with </w:t>
      </w:r>
      <w:proofErr w:type="spellStart"/>
      <w:r w:rsidR="0035398E" w:rsidRPr="007E0FA5">
        <w:rPr>
          <w:i/>
          <w:color w:val="000000" w:themeColor="text1"/>
        </w:rPr>
        <w:t>Cenpx</w:t>
      </w:r>
      <w:proofErr w:type="spellEnd"/>
      <w:r w:rsidR="0035398E" w:rsidRPr="007E0FA5">
        <w:rPr>
          <w:color w:val="000000" w:themeColor="text1"/>
        </w:rPr>
        <w:t xml:space="preserve">-siRNA/Hmox1-siRNA. ND, normal diet; HFD, high-fat diet. n = 5. </w:t>
      </w:r>
      <w:proofErr w:type="gramStart"/>
      <w:r w:rsidR="0035398E" w:rsidRPr="007E0FA5">
        <w:rPr>
          <w:color w:val="000000" w:themeColor="text1"/>
        </w:rPr>
        <w:t>ns</w:t>
      </w:r>
      <w:proofErr w:type="gramEnd"/>
      <w:r w:rsidR="0035398E" w:rsidRPr="007E0FA5">
        <w:rPr>
          <w:color w:val="000000" w:themeColor="text1"/>
        </w:rPr>
        <w:t xml:space="preserve">, not significant versus the </w:t>
      </w:r>
      <w:r w:rsidR="006B6E8C" w:rsidRPr="007E0FA5">
        <w:rPr>
          <w:color w:val="000000" w:themeColor="text1"/>
        </w:rPr>
        <w:t>ND</w:t>
      </w:r>
      <w:r w:rsidR="0035398E" w:rsidRPr="007E0FA5">
        <w:rPr>
          <w:color w:val="000000" w:themeColor="text1"/>
        </w:rPr>
        <w:t xml:space="preserve"> group.</w:t>
      </w:r>
      <w:r w:rsidR="00D012F6" w:rsidRPr="007E0FA5">
        <w:rPr>
          <w:color w:val="000000" w:themeColor="text1"/>
        </w:rPr>
        <w:br w:type="page"/>
      </w:r>
      <w:bookmarkStart w:id="1" w:name="_GoBack"/>
      <w:bookmarkEnd w:id="1"/>
    </w:p>
    <w:p w14:paraId="54907527" w14:textId="77777777" w:rsidR="00D012F6" w:rsidRPr="007E0FA5" w:rsidRDefault="00240C7F" w:rsidP="00654E8F">
      <w:pPr>
        <w:spacing w:before="240"/>
        <w:rPr>
          <w:color w:val="000000" w:themeColor="text1"/>
        </w:rPr>
      </w:pPr>
      <w:r w:rsidRPr="007E0FA5">
        <w:rPr>
          <w:noProof/>
          <w:color w:val="000000" w:themeColor="text1"/>
          <w:lang w:eastAsia="ja-JP"/>
        </w:rPr>
        <w:lastRenderedPageBreak/>
        <mc:AlternateContent>
          <mc:Choice Requires="wps">
            <w:drawing>
              <wp:anchor distT="0" distB="0" distL="114300" distR="114300" simplePos="0" relativeHeight="251672576" behindDoc="0" locked="0" layoutInCell="1" allowOverlap="1" wp14:anchorId="3E1A4B93" wp14:editId="11D22590">
                <wp:simplePos x="0" y="0"/>
                <wp:positionH relativeFrom="column">
                  <wp:posOffset>139700</wp:posOffset>
                </wp:positionH>
                <wp:positionV relativeFrom="paragraph">
                  <wp:posOffset>-83516</wp:posOffset>
                </wp:positionV>
                <wp:extent cx="309880" cy="36576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0988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5577E" w14:textId="77777777" w:rsidR="00D012F6" w:rsidRPr="00F36D16" w:rsidRDefault="00D012F6">
                            <w:pPr>
                              <w:rPr>
                                <w:rFonts w:ascii="Arial" w:hAnsi="Arial" w:cs="Arial"/>
                                <w:b/>
                                <w:sz w:val="20"/>
                                <w:szCs w:val="20"/>
                                <w:lang w:eastAsia="ja-JP"/>
                              </w:rPr>
                            </w:pPr>
                            <w:r w:rsidRPr="00F36D16">
                              <w:rPr>
                                <w:rFonts w:ascii="Arial" w:hAnsi="Arial" w:cs="Arial"/>
                                <w:b/>
                                <w:sz w:val="20"/>
                                <w:szCs w:val="20"/>
                                <w:lang w:eastAsia="ja-JP"/>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1A4B93" id="_x0000_t202" coordsize="21600,21600" o:spt="202" path="m,l,21600r21600,l21600,xe">
                <v:stroke joinstyle="miter"/>
                <v:path gradientshapeok="t" o:connecttype="rect"/>
              </v:shapetype>
              <v:shape id="テキスト ボックス 17" o:spid="_x0000_s1026" type="#_x0000_t202" style="position:absolute;margin-left:11pt;margin-top:-6.6pt;width:24.4pt;height:2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" filled="f" stroked="f" strokeweight=".5pt">
                <v:textbox>
                  <w:txbxContent>
                    <w:p w14:paraId="0365577E" w14:textId="77777777" w:rsidR="00D012F6" w:rsidRPr="00F36D16" w:rsidRDefault="00D012F6">
                      <w:pPr>
                        <w:rPr>
                          <w:rFonts w:ascii="Arial" w:hAnsi="Arial" w:cs="Arial"/>
                          <w:b/>
                          <w:sz w:val="20"/>
                          <w:szCs w:val="20"/>
                          <w:lang w:eastAsia="ja-JP"/>
                        </w:rPr>
                      </w:pPr>
                      <w:r w:rsidRPr="00F36D16">
                        <w:rPr>
                          <w:rFonts w:ascii="Arial" w:hAnsi="Arial" w:cs="Arial"/>
                          <w:b/>
                          <w:sz w:val="20"/>
                          <w:szCs w:val="20"/>
                          <w:lang w:eastAsia="ja-JP"/>
                        </w:rPr>
                        <w:t>A</w:t>
                      </w:r>
                    </w:p>
                  </w:txbxContent>
                </v:textbox>
              </v:shape>
            </w:pict>
          </mc:Fallback>
        </mc:AlternateContent>
      </w:r>
      <w:r w:rsidRPr="007E0FA5">
        <w:rPr>
          <w:noProof/>
          <w:color w:val="000000" w:themeColor="text1"/>
          <w:lang w:eastAsia="ja-JP"/>
        </w:rPr>
        <mc:AlternateContent>
          <mc:Choice Requires="wps">
            <w:drawing>
              <wp:anchor distT="0" distB="0" distL="114300" distR="114300" simplePos="0" relativeHeight="251674624" behindDoc="0" locked="0" layoutInCell="1" allowOverlap="1" wp14:anchorId="45F7D303" wp14:editId="4F6701CA">
                <wp:simplePos x="0" y="0"/>
                <wp:positionH relativeFrom="column">
                  <wp:posOffset>139700</wp:posOffset>
                </wp:positionH>
                <wp:positionV relativeFrom="paragraph">
                  <wp:posOffset>2916555</wp:posOffset>
                </wp:positionV>
                <wp:extent cx="310100" cy="36576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101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290587" w14:textId="77777777" w:rsidR="00240C7F" w:rsidRPr="00F36D16" w:rsidRDefault="00240C7F" w:rsidP="00240C7F">
                            <w:pPr>
                              <w:rPr>
                                <w:rFonts w:ascii="Arial" w:hAnsi="Arial" w:cs="Arial"/>
                                <w:b/>
                                <w:sz w:val="20"/>
                                <w:szCs w:val="20"/>
                                <w:lang w:eastAsia="ja-JP"/>
                              </w:rPr>
                            </w:pPr>
                            <w:r w:rsidRPr="00F36D16">
                              <w:rPr>
                                <w:rFonts w:ascii="Arial" w:hAnsi="Arial" w:cs="Arial"/>
                                <w:b/>
                                <w:sz w:val="20"/>
                                <w:szCs w:val="20"/>
                                <w:lang w:eastAsia="ja-JP"/>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7D303" id="テキスト ボックス 18" o:spid="_x0000_s1027" type="#_x0000_t202" style="position:absolute;margin-left:11pt;margin-top:229.65pt;width:24.4pt;height:2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" filled="f" stroked="f" strokeweight=".5pt">
                <v:textbox>
                  <w:txbxContent>
                    <w:p w14:paraId="0C290587" w14:textId="77777777" w:rsidR="00240C7F" w:rsidRPr="00F36D16" w:rsidRDefault="00240C7F" w:rsidP="00240C7F">
                      <w:pPr>
                        <w:rPr>
                          <w:rFonts w:ascii="Arial" w:hAnsi="Arial" w:cs="Arial"/>
                          <w:b/>
                          <w:sz w:val="20"/>
                          <w:szCs w:val="20"/>
                          <w:lang w:eastAsia="ja-JP"/>
                        </w:rPr>
                      </w:pPr>
                      <w:r w:rsidRPr="00F36D16">
                        <w:rPr>
                          <w:rFonts w:ascii="Arial" w:hAnsi="Arial" w:cs="Arial"/>
                          <w:b/>
                          <w:sz w:val="20"/>
                          <w:szCs w:val="20"/>
                          <w:lang w:eastAsia="ja-JP"/>
                        </w:rPr>
                        <w:t>B</w:t>
                      </w:r>
                    </w:p>
                  </w:txbxContent>
                </v:textbox>
              </v:shape>
            </w:pict>
          </mc:Fallback>
        </mc:AlternateContent>
      </w:r>
      <w:r w:rsidR="008D0793" w:rsidRPr="007E0FA5">
        <w:rPr>
          <w:noProof/>
          <w:color w:val="000000" w:themeColor="text1"/>
          <w:lang w:eastAsia="ja-JP"/>
        </w:rPr>
        <w:drawing>
          <wp:inline distT="0" distB="0" distL="0" distR="0" wp14:anchorId="3DBC8B35" wp14:editId="05354E85">
            <wp:extent cx="6208395" cy="244284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520 INSULIN Signaling_0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8395" cy="2442845"/>
                    </a:xfrm>
                    <a:prstGeom prst="rect">
                      <a:avLst/>
                    </a:prstGeom>
                  </pic:spPr>
                </pic:pic>
              </a:graphicData>
            </a:graphic>
          </wp:inline>
        </w:drawing>
      </w:r>
    </w:p>
    <w:p w14:paraId="44EB3CF9" w14:textId="77777777" w:rsidR="00240C7F" w:rsidRPr="007E0FA5" w:rsidRDefault="00240C7F" w:rsidP="00654E8F">
      <w:pPr>
        <w:spacing w:before="240"/>
        <w:rPr>
          <w:color w:val="000000" w:themeColor="text1"/>
        </w:rPr>
      </w:pPr>
    </w:p>
    <w:p w14:paraId="0F8EF434" w14:textId="77777777" w:rsidR="008D0793" w:rsidRPr="007E0FA5" w:rsidRDefault="008D0793" w:rsidP="00654E8F">
      <w:pPr>
        <w:spacing w:before="240"/>
        <w:rPr>
          <w:color w:val="000000" w:themeColor="text1"/>
        </w:rPr>
      </w:pPr>
      <w:r w:rsidRPr="007E0FA5">
        <w:rPr>
          <w:noProof/>
          <w:color w:val="000000" w:themeColor="text1"/>
          <w:lang w:eastAsia="ja-JP"/>
        </w:rPr>
        <w:drawing>
          <wp:anchor distT="0" distB="0" distL="114300" distR="114300" simplePos="0" relativeHeight="251676672" behindDoc="0" locked="0" layoutInCell="1" allowOverlap="1" wp14:anchorId="6911E4C2" wp14:editId="6E81D944">
            <wp:simplePos x="0" y="0"/>
            <wp:positionH relativeFrom="margin">
              <wp:posOffset>751840</wp:posOffset>
            </wp:positionH>
            <wp:positionV relativeFrom="paragraph">
              <wp:posOffset>178435</wp:posOffset>
            </wp:positionV>
            <wp:extent cx="4280535" cy="2159635"/>
            <wp:effectExtent l="0" t="0" r="0" b="0"/>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0520_Expression Targets of EIF4EBP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80535" cy="2159635"/>
                    </a:xfrm>
                    <a:prstGeom prst="rect">
                      <a:avLst/>
                    </a:prstGeom>
                  </pic:spPr>
                </pic:pic>
              </a:graphicData>
            </a:graphic>
          </wp:anchor>
        </w:drawing>
      </w:r>
    </w:p>
    <w:p w14:paraId="7A3B16E6" w14:textId="77777777" w:rsidR="00240C7F" w:rsidRPr="007E0FA5" w:rsidRDefault="00240C7F" w:rsidP="00654E8F">
      <w:pPr>
        <w:spacing w:before="240"/>
        <w:rPr>
          <w:color w:val="000000" w:themeColor="text1"/>
        </w:rPr>
      </w:pPr>
    </w:p>
    <w:p w14:paraId="1584750C" w14:textId="77777777" w:rsidR="00F049A2" w:rsidRPr="007E0FA5" w:rsidRDefault="00240C7F" w:rsidP="00654E8F">
      <w:pPr>
        <w:spacing w:before="240"/>
        <w:rPr>
          <w:color w:val="000000" w:themeColor="text1"/>
        </w:rPr>
      </w:pPr>
      <w:r w:rsidRPr="007E0FA5">
        <w:rPr>
          <w:b/>
          <w:color w:val="000000" w:themeColor="text1"/>
        </w:rPr>
        <w:t xml:space="preserve">Supplementary Figure </w:t>
      </w:r>
      <w:r w:rsidR="005C3F44" w:rsidRPr="007E0FA5">
        <w:rPr>
          <w:b/>
          <w:color w:val="000000" w:themeColor="text1"/>
        </w:rPr>
        <w:t>S</w:t>
      </w:r>
      <w:r w:rsidR="00D9256F" w:rsidRPr="007E0FA5">
        <w:rPr>
          <w:b/>
          <w:color w:val="000000" w:themeColor="text1"/>
        </w:rPr>
        <w:t>6</w:t>
      </w:r>
      <w:r w:rsidRPr="007E0FA5">
        <w:rPr>
          <w:b/>
          <w:color w:val="000000" w:themeColor="text1"/>
        </w:rPr>
        <w:t>.</w:t>
      </w:r>
      <w:r w:rsidRPr="007E0FA5">
        <w:rPr>
          <w:color w:val="000000" w:themeColor="text1"/>
        </w:rPr>
        <w:t xml:space="preserve"> (A) Upregulated INS</w:t>
      </w:r>
      <w:r w:rsidR="004D2E05" w:rsidRPr="007E0FA5">
        <w:rPr>
          <w:color w:val="000000" w:themeColor="text1"/>
        </w:rPr>
        <w:t>ULIN</w:t>
      </w:r>
      <w:r w:rsidRPr="007E0FA5">
        <w:rPr>
          <w:color w:val="000000" w:themeColor="text1"/>
        </w:rPr>
        <w:t xml:space="preserve"> signaling pathway by </w:t>
      </w:r>
      <w:proofErr w:type="spellStart"/>
      <w:r w:rsidRPr="007E0FA5">
        <w:rPr>
          <w:i/>
          <w:color w:val="000000" w:themeColor="text1"/>
        </w:rPr>
        <w:t>Cenpx</w:t>
      </w:r>
      <w:proofErr w:type="spellEnd"/>
      <w:r w:rsidRPr="007E0FA5">
        <w:rPr>
          <w:color w:val="000000" w:themeColor="text1"/>
        </w:rPr>
        <w:t xml:space="preserve"> knockdown in T2DM mice as compared with control T2DM mice. (B) Upregulated EIF4EBP2 pathway acting downstream of mTORC1 after </w:t>
      </w:r>
      <w:proofErr w:type="spellStart"/>
      <w:r w:rsidRPr="007E0FA5">
        <w:rPr>
          <w:i/>
          <w:color w:val="000000" w:themeColor="text1"/>
        </w:rPr>
        <w:t>Cenpx</w:t>
      </w:r>
      <w:proofErr w:type="spellEnd"/>
      <w:r w:rsidRPr="007E0FA5">
        <w:rPr>
          <w:color w:val="000000" w:themeColor="text1"/>
        </w:rPr>
        <w:t xml:space="preserve"> knockdown in T2DM mice as compared with control T2DM mice. Red and blue denote genes with increased and decreased expression, respectively, in </w:t>
      </w:r>
      <w:proofErr w:type="spellStart"/>
      <w:r w:rsidRPr="007E0FA5">
        <w:rPr>
          <w:i/>
          <w:color w:val="000000" w:themeColor="text1"/>
        </w:rPr>
        <w:t>Cenpx</w:t>
      </w:r>
      <w:proofErr w:type="spellEnd"/>
      <w:r w:rsidRPr="007E0FA5">
        <w:rPr>
          <w:color w:val="000000" w:themeColor="text1"/>
        </w:rPr>
        <w:t xml:space="preserve"> knockdown HFD mice as compared with control HFD mice. Grey indicates the genes that were undetected in the gene expression analysis.</w:t>
      </w:r>
    </w:p>
    <w:p w14:paraId="12AE6C45" w14:textId="77777777" w:rsidR="00F049A2" w:rsidRPr="007E0FA5" w:rsidRDefault="00F049A2" w:rsidP="00654E8F">
      <w:pPr>
        <w:spacing w:before="240"/>
        <w:rPr>
          <w:color w:val="000000" w:themeColor="text1"/>
        </w:rPr>
      </w:pPr>
    </w:p>
    <w:p w14:paraId="606C0906" w14:textId="7026F247" w:rsidR="00F049A2" w:rsidRPr="007E0FA5" w:rsidRDefault="00F049A2" w:rsidP="00F049A2">
      <w:pPr>
        <w:spacing w:after="0"/>
        <w:ind w:left="720" w:hanging="720"/>
        <w:rPr>
          <w:rFonts w:cs="Times New Roman"/>
          <w:noProof/>
          <w:color w:val="000000" w:themeColor="text1"/>
        </w:rPr>
      </w:pPr>
      <w:r w:rsidRPr="007E0FA5">
        <w:rPr>
          <w:color w:val="000000" w:themeColor="text1"/>
        </w:rPr>
        <w:fldChar w:fldCharType="begin"/>
      </w:r>
      <w:r w:rsidRPr="007E0FA5">
        <w:rPr>
          <w:color w:val="000000" w:themeColor="text1"/>
        </w:rPr>
        <w:instrText xml:space="preserve"> ADDIN EN.REFLIST </w:instrText>
      </w:r>
      <w:r w:rsidRPr="007E0FA5">
        <w:rPr>
          <w:color w:val="000000" w:themeColor="text1"/>
        </w:rPr>
        <w:fldChar w:fldCharType="separate"/>
      </w:r>
    </w:p>
    <w:p w14:paraId="73B52A21" w14:textId="22DF0268" w:rsidR="00F049A2" w:rsidRPr="007E0FA5" w:rsidRDefault="00F049A2" w:rsidP="00F049A2">
      <w:pPr>
        <w:rPr>
          <w:rFonts w:cs="Times New Roman"/>
          <w:noProof/>
          <w:color w:val="000000" w:themeColor="text1"/>
        </w:rPr>
      </w:pPr>
    </w:p>
    <w:p w14:paraId="47EA759B" w14:textId="61992D36" w:rsidR="00240C7F" w:rsidRPr="007E0FA5" w:rsidRDefault="00F049A2" w:rsidP="00654E8F">
      <w:pPr>
        <w:spacing w:before="240"/>
        <w:rPr>
          <w:color w:val="000000" w:themeColor="text1"/>
        </w:rPr>
      </w:pPr>
      <w:r w:rsidRPr="007E0FA5">
        <w:rPr>
          <w:color w:val="000000" w:themeColor="text1"/>
        </w:rPr>
        <w:fldChar w:fldCharType="end"/>
      </w:r>
    </w:p>
    <w:sectPr w:rsidR="00240C7F" w:rsidRPr="007E0FA5"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286B2F" w16cid:durableId="20A35193"/>
  <w16cid:commentId w16cid:paraId="2EFD55C9" w16cid:durableId="20A34DC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B4C8B7" w14:textId="77777777" w:rsidR="00DE7F13" w:rsidRDefault="00DE7F13" w:rsidP="00117666">
      <w:pPr>
        <w:spacing w:after="0"/>
      </w:pPr>
      <w:r>
        <w:separator/>
      </w:r>
    </w:p>
  </w:endnote>
  <w:endnote w:type="continuationSeparator" w:id="0">
    <w:p w14:paraId="731C016C" w14:textId="77777777" w:rsidR="00DE7F13" w:rsidRDefault="00DE7F1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7DF6E" w14:textId="77777777" w:rsidR="00995F6A" w:rsidRPr="00577C4C" w:rsidRDefault="00C52A7B">
    <w:pPr>
      <w:rPr>
        <w:color w:val="C00000"/>
        <w:szCs w:val="24"/>
      </w:rPr>
    </w:pPr>
    <w:r>
      <w:rPr>
        <w:noProof/>
        <w:lang w:eastAsia="ja-JP"/>
      </w:rPr>
      <mc:AlternateContent>
        <mc:Choice Requires="wps">
          <w:drawing>
            <wp:anchor distT="0" distB="0" distL="114300" distR="114300" simplePos="0" relativeHeight="251659264" behindDoc="0" locked="0" layoutInCell="1" allowOverlap="1" wp14:anchorId="0F68FDC6" wp14:editId="49DC4422">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1DA44C"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E0FA5">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F68FDC6" id="_x0000_t202" coordsize="21600,21600" o:spt="202" path="m,l,21600r21600,l21600,xe">
              <v:stroke joinstyle="miter"/>
              <v:path gradientshapeok="t" o:connecttype="rect"/>
            </v:shapetype>
            <v:shape id="Text Box 1" o:spid="_x0000_s1028"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71DA44C"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E0FA5">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DC591" w14:textId="77777777" w:rsidR="00995F6A" w:rsidRPr="00577C4C" w:rsidRDefault="00C52A7B">
    <w:pPr>
      <w:rPr>
        <w:b/>
        <w:sz w:val="20"/>
        <w:szCs w:val="24"/>
      </w:rPr>
    </w:pPr>
    <w:r>
      <w:rPr>
        <w:noProof/>
        <w:lang w:eastAsia="ja-JP"/>
      </w:rPr>
      <mc:AlternateContent>
        <mc:Choice Requires="wps">
          <w:drawing>
            <wp:anchor distT="0" distB="0" distL="114300" distR="114300" simplePos="0" relativeHeight="251646976" behindDoc="0" locked="0" layoutInCell="1" allowOverlap="1" wp14:anchorId="222EB6D4" wp14:editId="75289AC2">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30BE55AA"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E0FA5">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22EB6D4" id="_x0000_t202" coordsize="21600,21600" o:spt="202" path="m,l,21600r21600,l21600,xe">
              <v:stroke joinstyle="miter"/>
              <v:path gradientshapeok="t" o:connecttype="rect"/>
            </v:shapetype>
            <v:shape id="Text Box 56" o:spid="_x0000_s1029"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30BE55AA"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E0FA5">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3B1F44" w14:textId="77777777" w:rsidR="00DE7F13" w:rsidRDefault="00DE7F13" w:rsidP="00117666">
      <w:pPr>
        <w:spacing w:after="0"/>
      </w:pPr>
      <w:r>
        <w:separator/>
      </w:r>
    </w:p>
  </w:footnote>
  <w:footnote w:type="continuationSeparator" w:id="0">
    <w:p w14:paraId="357BA87B" w14:textId="77777777" w:rsidR="00DE7F13" w:rsidRDefault="00DE7F13"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0B2C7"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93C49" w14:textId="77777777" w:rsidR="00995F6A" w:rsidRDefault="0093429D" w:rsidP="0093429D">
    <w:r w:rsidRPr="005A1D84">
      <w:rPr>
        <w:b/>
        <w:noProof/>
        <w:color w:val="A6A6A6" w:themeColor="background1" w:themeShade="A6"/>
        <w:lang w:eastAsia="ja-JP"/>
      </w:rPr>
      <w:drawing>
        <wp:inline distT="0" distB="0" distL="0" distR="0" wp14:anchorId="31C60A13" wp14:editId="157D4FA6">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bordersDoNotSurroundHeader/>
  <w:bordersDoNotSurroundFooter/>
  <w:proofState w:spelling="clean" w:grammar="clean"/>
  <w:attachedTemplate r:id="rId1"/>
  <w:defaultTabStop w:val="720"/>
  <w:evenAndOddHeader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c0MDQxNDWzMDI0MjRV0lEKTi0uzszPAykwNKoFAHFxKEAtAAAA"/>
    <w:docVar w:name="EN.InstantFormat" w:val="&lt;ENInstantFormat&gt;&lt;Enabled&gt;1&lt;/Enabled&gt;&lt;ScanUnformatted&gt;1&lt;/ScanUnformatted&gt;&lt;ScanChanges&gt;1&lt;/ScanChanges&gt;&lt;Suspended&gt;0&lt;/Suspended&gt;&lt;/ENInstantFormat&gt;"/>
    <w:docVar w:name="EN.Layout" w:val="&lt;ENLayout&gt;&lt;Style&gt;Frontiers 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atfxrzfgez2z2et9a9pdxsase5fwaa22ve0&quot;&gt;Catechin&lt;record-ids&gt;&lt;item&gt;73&lt;/item&gt;&lt;item&gt;76&lt;/item&gt;&lt;/record-ids&gt;&lt;/item&gt;&lt;/Libraries&gt;"/>
  </w:docVars>
  <w:rsids>
    <w:rsidRoot w:val="00ED20B5"/>
    <w:rsid w:val="00011DA0"/>
    <w:rsid w:val="0001436A"/>
    <w:rsid w:val="00034304"/>
    <w:rsid w:val="00035434"/>
    <w:rsid w:val="00037C7B"/>
    <w:rsid w:val="00043B77"/>
    <w:rsid w:val="00052A14"/>
    <w:rsid w:val="00077D53"/>
    <w:rsid w:val="000D2E1D"/>
    <w:rsid w:val="00105FD9"/>
    <w:rsid w:val="00117666"/>
    <w:rsid w:val="001410F0"/>
    <w:rsid w:val="00141576"/>
    <w:rsid w:val="001549D3"/>
    <w:rsid w:val="00160065"/>
    <w:rsid w:val="00177D84"/>
    <w:rsid w:val="001D56F0"/>
    <w:rsid w:val="001F46C4"/>
    <w:rsid w:val="00240C7F"/>
    <w:rsid w:val="00267D18"/>
    <w:rsid w:val="00274347"/>
    <w:rsid w:val="002868E2"/>
    <w:rsid w:val="002869C3"/>
    <w:rsid w:val="002936E4"/>
    <w:rsid w:val="002B4A57"/>
    <w:rsid w:val="002B5773"/>
    <w:rsid w:val="002C74CA"/>
    <w:rsid w:val="002F272B"/>
    <w:rsid w:val="003047CA"/>
    <w:rsid w:val="003123F4"/>
    <w:rsid w:val="0035398E"/>
    <w:rsid w:val="003544FB"/>
    <w:rsid w:val="00375AEC"/>
    <w:rsid w:val="003A1F5D"/>
    <w:rsid w:val="003A4174"/>
    <w:rsid w:val="003A66AB"/>
    <w:rsid w:val="003D1904"/>
    <w:rsid w:val="003D2F2D"/>
    <w:rsid w:val="00401590"/>
    <w:rsid w:val="004032AC"/>
    <w:rsid w:val="00431997"/>
    <w:rsid w:val="00447801"/>
    <w:rsid w:val="00452E9C"/>
    <w:rsid w:val="004735C8"/>
    <w:rsid w:val="004947A6"/>
    <w:rsid w:val="004961FF"/>
    <w:rsid w:val="004C3656"/>
    <w:rsid w:val="004D2E05"/>
    <w:rsid w:val="00510C2C"/>
    <w:rsid w:val="00514C7B"/>
    <w:rsid w:val="00517A89"/>
    <w:rsid w:val="005250F2"/>
    <w:rsid w:val="00580FC3"/>
    <w:rsid w:val="00593EEA"/>
    <w:rsid w:val="005975DC"/>
    <w:rsid w:val="005A5EEE"/>
    <w:rsid w:val="005C3F44"/>
    <w:rsid w:val="00606F7D"/>
    <w:rsid w:val="006375C7"/>
    <w:rsid w:val="0065362F"/>
    <w:rsid w:val="00654E8F"/>
    <w:rsid w:val="00660A0F"/>
    <w:rsid w:val="00660D05"/>
    <w:rsid w:val="006820B1"/>
    <w:rsid w:val="006B6E8C"/>
    <w:rsid w:val="006B7D14"/>
    <w:rsid w:val="006D6F50"/>
    <w:rsid w:val="006F5406"/>
    <w:rsid w:val="00701727"/>
    <w:rsid w:val="0070566C"/>
    <w:rsid w:val="00714C50"/>
    <w:rsid w:val="00721DCD"/>
    <w:rsid w:val="00725A7D"/>
    <w:rsid w:val="007501BE"/>
    <w:rsid w:val="00790BB3"/>
    <w:rsid w:val="007C11B1"/>
    <w:rsid w:val="007C206C"/>
    <w:rsid w:val="007E0FA5"/>
    <w:rsid w:val="007E22F7"/>
    <w:rsid w:val="0081510F"/>
    <w:rsid w:val="00817DD6"/>
    <w:rsid w:val="0083759F"/>
    <w:rsid w:val="00885156"/>
    <w:rsid w:val="008D0793"/>
    <w:rsid w:val="008D3FE9"/>
    <w:rsid w:val="008F4C75"/>
    <w:rsid w:val="009060A6"/>
    <w:rsid w:val="009151AA"/>
    <w:rsid w:val="00926CC9"/>
    <w:rsid w:val="0093429D"/>
    <w:rsid w:val="00943573"/>
    <w:rsid w:val="00964134"/>
    <w:rsid w:val="009706DC"/>
    <w:rsid w:val="00970F7D"/>
    <w:rsid w:val="00994A3D"/>
    <w:rsid w:val="009C2B12"/>
    <w:rsid w:val="00A174D9"/>
    <w:rsid w:val="00A40C8E"/>
    <w:rsid w:val="00AA4D24"/>
    <w:rsid w:val="00AB6715"/>
    <w:rsid w:val="00AE11CE"/>
    <w:rsid w:val="00B1671E"/>
    <w:rsid w:val="00B25EB8"/>
    <w:rsid w:val="00B31006"/>
    <w:rsid w:val="00B3566D"/>
    <w:rsid w:val="00B37F4D"/>
    <w:rsid w:val="00B51B87"/>
    <w:rsid w:val="00B94D26"/>
    <w:rsid w:val="00C52A7B"/>
    <w:rsid w:val="00C52BC7"/>
    <w:rsid w:val="00C56BAF"/>
    <w:rsid w:val="00C679AA"/>
    <w:rsid w:val="00C718D7"/>
    <w:rsid w:val="00C75972"/>
    <w:rsid w:val="00C9601F"/>
    <w:rsid w:val="00CC612E"/>
    <w:rsid w:val="00CD066B"/>
    <w:rsid w:val="00CE4FEE"/>
    <w:rsid w:val="00D012F6"/>
    <w:rsid w:val="00D060CF"/>
    <w:rsid w:val="00D27C89"/>
    <w:rsid w:val="00D91A3F"/>
    <w:rsid w:val="00D9256F"/>
    <w:rsid w:val="00DB59C3"/>
    <w:rsid w:val="00DC259A"/>
    <w:rsid w:val="00DC2B20"/>
    <w:rsid w:val="00DE23E8"/>
    <w:rsid w:val="00DE7F13"/>
    <w:rsid w:val="00DF6B9B"/>
    <w:rsid w:val="00E52377"/>
    <w:rsid w:val="00E537AD"/>
    <w:rsid w:val="00E64E17"/>
    <w:rsid w:val="00E747C1"/>
    <w:rsid w:val="00E866C9"/>
    <w:rsid w:val="00EA3D3C"/>
    <w:rsid w:val="00EC090A"/>
    <w:rsid w:val="00ED20B5"/>
    <w:rsid w:val="00F049A2"/>
    <w:rsid w:val="00F16484"/>
    <w:rsid w:val="00F36D16"/>
    <w:rsid w:val="00F46841"/>
    <w:rsid w:val="00F46900"/>
    <w:rsid w:val="00F61D89"/>
    <w:rsid w:val="00FE0B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03FC01"/>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2"/>
    <w:rsid w:val="00AB6715"/>
    <w:rPr>
      <w:rFonts w:ascii="Times New Roman" w:eastAsia="Cambria" w:hAnsi="Times New Roman" w:cs="Times New Roman"/>
      <w:b/>
      <w:sz w:val="24"/>
      <w:szCs w:val="24"/>
    </w:rPr>
  </w:style>
  <w:style w:type="character" w:customStyle="1" w:styleId="20">
    <w:name w:val="見出し 2 (文字)"/>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題 (文字)"/>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吹き出し (文字)"/>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コメント文字列 (文字)"/>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コメント内容 (文字)"/>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文末脚注文字列 (文字)"/>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フッター (文字)"/>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字列 (文字)"/>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ヘッダー (文字)"/>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21">
    <w:name w:val="Intense Emphasis"/>
    <w:basedOn w:val="a1"/>
    <w:uiPriority w:val="21"/>
    <w:unhideWhenUsed/>
    <w:rsid w:val="00AB6715"/>
    <w:rPr>
      <w:rFonts w:ascii="Times New Roman" w:hAnsi="Times New Roman"/>
      <w:i/>
      <w:iCs/>
      <w:color w:val="auto"/>
    </w:rPr>
  </w:style>
  <w:style w:type="character" w:styleId="22">
    <w:name w:val="Intense Reference"/>
    <w:basedOn w:val="a1"/>
    <w:uiPriority w:val="32"/>
    <w:qFormat/>
    <w:rsid w:val="00AB6715"/>
    <w:rPr>
      <w:b/>
      <w:bCs/>
      <w:smallCaps/>
      <w:color w:val="auto"/>
      <w:spacing w:val="5"/>
    </w:rPr>
  </w:style>
  <w:style w:type="character" w:styleId="afd">
    <w:name w:val="line number"/>
    <w:basedOn w:val="a1"/>
    <w:uiPriority w:val="99"/>
    <w:semiHidden/>
    <w:unhideWhenUsed/>
    <w:rsid w:val="00AB6715"/>
  </w:style>
  <w:style w:type="character" w:customStyle="1" w:styleId="30">
    <w:name w:val="見出し 3 (文字)"/>
    <w:basedOn w:val="a1"/>
    <w:link w:val="3"/>
    <w:uiPriority w:val="2"/>
    <w:rsid w:val="00AB6715"/>
    <w:rPr>
      <w:rFonts w:ascii="Times New Roman" w:eastAsiaTheme="majorEastAsia" w:hAnsi="Times New Roman" w:cstheme="majorBidi"/>
      <w:b/>
      <w:sz w:val="24"/>
      <w:szCs w:val="24"/>
    </w:rPr>
  </w:style>
  <w:style w:type="character" w:customStyle="1" w:styleId="40">
    <w:name w:val="見出し 4 (文字)"/>
    <w:basedOn w:val="a1"/>
    <w:link w:val="4"/>
    <w:uiPriority w:val="2"/>
    <w:rsid w:val="00AB6715"/>
    <w:rPr>
      <w:rFonts w:ascii="Times New Roman" w:eastAsiaTheme="majorEastAsia" w:hAnsi="Times New Roman" w:cstheme="majorBidi"/>
      <w:b/>
      <w:iCs/>
      <w:sz w:val="24"/>
      <w:szCs w:val="24"/>
    </w:rPr>
  </w:style>
  <w:style w:type="character" w:customStyle="1" w:styleId="50">
    <w:name w:val="見出し 5 (文字)"/>
    <w:basedOn w:val="a1"/>
    <w:link w:val="5"/>
    <w:uiPriority w:val="2"/>
    <w:rsid w:val="00AB6715"/>
    <w:rPr>
      <w:rFonts w:ascii="Times New Roman" w:eastAsiaTheme="majorEastAsia" w:hAnsi="Times New Roman" w:cstheme="majorBidi"/>
      <w:b/>
      <w:iCs/>
      <w:sz w:val="24"/>
      <w:szCs w:val="24"/>
    </w:rPr>
  </w:style>
  <w:style w:type="paragraph" w:styleId="Web">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e">
    <w:name w:val="Quote"/>
    <w:basedOn w:val="a0"/>
    <w:next w:val="a0"/>
    <w:link w:val="aff"/>
    <w:uiPriority w:val="29"/>
    <w:qFormat/>
    <w:rsid w:val="00AB6715"/>
    <w:pPr>
      <w:spacing w:before="200" w:after="160"/>
      <w:ind w:left="864" w:right="864"/>
      <w:jc w:val="center"/>
    </w:pPr>
    <w:rPr>
      <w:i/>
      <w:iCs/>
      <w:color w:val="404040" w:themeColor="text1" w:themeTint="BF"/>
    </w:rPr>
  </w:style>
  <w:style w:type="character" w:customStyle="1" w:styleId="aff">
    <w:name w:val="引用文 (文字)"/>
    <w:basedOn w:val="a1"/>
    <w:link w:val="afe"/>
    <w:uiPriority w:val="29"/>
    <w:rsid w:val="00AB6715"/>
    <w:rPr>
      <w:rFonts w:ascii="Times New Roman" w:hAnsi="Times New Roman"/>
      <w:i/>
      <w:iCs/>
      <w:color w:val="404040" w:themeColor="text1" w:themeTint="BF"/>
      <w:sz w:val="24"/>
    </w:rPr>
  </w:style>
  <w:style w:type="character" w:styleId="aff0">
    <w:name w:val="Strong"/>
    <w:basedOn w:val="a1"/>
    <w:uiPriority w:val="22"/>
    <w:qFormat/>
    <w:rsid w:val="00AB6715"/>
    <w:rPr>
      <w:rFonts w:ascii="Times New Roman" w:hAnsi="Times New Roman"/>
      <w:b/>
      <w:bCs/>
    </w:rPr>
  </w:style>
  <w:style w:type="character" w:styleId="aff1">
    <w:name w:val="Subtle Emphasis"/>
    <w:basedOn w:val="a1"/>
    <w:uiPriority w:val="19"/>
    <w:qFormat/>
    <w:rsid w:val="00AB6715"/>
    <w:rPr>
      <w:rFonts w:ascii="Times New Roman" w:hAnsi="Times New Roman"/>
      <w:i/>
      <w:iCs/>
      <w:color w:val="404040" w:themeColor="text1" w:themeTint="BF"/>
    </w:rPr>
  </w:style>
  <w:style w:type="table" w:styleId="aff2">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Title"/>
    <w:basedOn w:val="a0"/>
    <w:next w:val="a0"/>
    <w:link w:val="aff4"/>
    <w:qFormat/>
    <w:rsid w:val="00AB6715"/>
    <w:pPr>
      <w:suppressLineNumbers/>
      <w:spacing w:before="240" w:after="360"/>
      <w:jc w:val="center"/>
    </w:pPr>
    <w:rPr>
      <w:rFonts w:cs="Times New Roman"/>
      <w:b/>
      <w:sz w:val="32"/>
      <w:szCs w:val="32"/>
    </w:rPr>
  </w:style>
  <w:style w:type="character" w:customStyle="1" w:styleId="aff4">
    <w:name w:val="表題 (文字)"/>
    <w:basedOn w:val="a1"/>
    <w:link w:val="aff3"/>
    <w:rsid w:val="00AB6715"/>
    <w:rPr>
      <w:rFonts w:ascii="Times New Roman" w:hAnsi="Times New Roman" w:cs="Times New Roman"/>
      <w:b/>
      <w:sz w:val="32"/>
      <w:szCs w:val="32"/>
    </w:rPr>
  </w:style>
  <w:style w:type="paragraph" w:customStyle="1" w:styleId="SupplementaryMaterial">
    <w:name w:val="Supplementary Material"/>
    <w:basedOn w:val="aff3"/>
    <w:next w:val="aff3"/>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6/09/relationships/commentsIds" Target="commentsIds.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01FD988-CA75-4329-B3F1-071B13A33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169</TotalTime>
  <Pages>8</Pages>
  <Words>1298</Words>
  <Characters>7404</Characters>
  <Application>Microsoft Office Word</Application>
  <DocSecurity>0</DocSecurity>
  <Lines>61</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Zang Liqing</dc:creator>
  <cp:lastModifiedBy>Zang Liqing</cp:lastModifiedBy>
  <cp:revision>9</cp:revision>
  <cp:lastPrinted>2013-10-03T12:51:00Z</cp:lastPrinted>
  <dcterms:created xsi:type="dcterms:W3CDTF">2019-06-10T02:04:00Z</dcterms:created>
  <dcterms:modified xsi:type="dcterms:W3CDTF">2019-06-18T02:30:00Z</dcterms:modified>
</cp:coreProperties>
</file>