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7EEE6" w14:textId="77777777" w:rsidR="00654E8F" w:rsidRPr="001549D3" w:rsidRDefault="00654E8F" w:rsidP="0001436A">
      <w:pPr>
        <w:pStyle w:val="SupplementaryMaterial"/>
        <w:rPr>
          <w:b w:val="0"/>
        </w:rPr>
      </w:pPr>
      <w:r w:rsidRPr="001549D3">
        <w:t>Supplementary Material</w:t>
      </w:r>
    </w:p>
    <w:p w14:paraId="4D059444" w14:textId="4CB6446E" w:rsidR="00994A3D" w:rsidRPr="00994A3D" w:rsidRDefault="00490225" w:rsidP="0001436A">
      <w:pPr>
        <w:pStyle w:val="Heading1"/>
      </w:pPr>
      <w:r>
        <w:t>Population dynamic model and estimation of demographic parameters</w:t>
      </w:r>
    </w:p>
    <w:p w14:paraId="6754D378" w14:textId="77777777" w:rsidR="00994A3D" w:rsidRPr="001549D3" w:rsidRDefault="00994A3D" w:rsidP="00994A3D">
      <w:pPr>
        <w:keepNext/>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7"/>
      </w:tblGrid>
      <w:tr w:rsidR="00490225" w14:paraId="11F75D97" w14:textId="77777777" w:rsidTr="00490225">
        <w:trPr>
          <w:trHeight w:val="3906"/>
        </w:trPr>
        <w:tc>
          <w:tcPr>
            <w:tcW w:w="9707" w:type="dxa"/>
          </w:tcPr>
          <w:p w14:paraId="2F2722AF" w14:textId="77777777" w:rsidR="00490225" w:rsidRDefault="00490225" w:rsidP="00490225">
            <w:pPr>
              <w:keepNext/>
              <w:jc w:val="center"/>
            </w:pPr>
            <w:r>
              <w:rPr>
                <w:rFonts w:cs="Times New Roman"/>
                <w:noProof/>
                <w:szCs w:val="24"/>
              </w:rPr>
              <w:drawing>
                <wp:inline distT="0" distB="0" distL="0" distR="0" wp14:anchorId="3E79BD1C" wp14:editId="0755B997">
                  <wp:extent cx="3139692" cy="256623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S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1243" cy="2583845"/>
                          </a:xfrm>
                          <a:prstGeom prst="rect">
                            <a:avLst/>
                          </a:prstGeom>
                        </pic:spPr>
                      </pic:pic>
                    </a:graphicData>
                  </a:graphic>
                </wp:inline>
              </w:drawing>
            </w:r>
          </w:p>
          <w:p w14:paraId="459C22FF" w14:textId="577ABF10" w:rsidR="00490225" w:rsidRDefault="00490225" w:rsidP="00490225">
            <w:pPr>
              <w:keepNext/>
              <w:rPr>
                <w:rFonts w:cs="Times New Roman"/>
                <w:szCs w:val="24"/>
              </w:rPr>
            </w:pPr>
          </w:p>
        </w:tc>
      </w:tr>
    </w:tbl>
    <w:p w14:paraId="3C419443" w14:textId="5193E3C7" w:rsidR="00994A3D" w:rsidRPr="00490225" w:rsidRDefault="00490225" w:rsidP="00490225">
      <w:pPr>
        <w:pStyle w:val="Caption"/>
        <w:rPr>
          <w:b w:val="0"/>
        </w:rPr>
      </w:pPr>
      <w:bookmarkStart w:id="0" w:name="_Ref5718298"/>
      <w:r>
        <w:t xml:space="preserve">Supplementary Figure  </w:t>
      </w:r>
      <w:r w:rsidR="004B2B54">
        <w:fldChar w:fldCharType="begin"/>
      </w:r>
      <w:r w:rsidR="004B2B54">
        <w:instrText xml:space="preserve"> SEQ Supplementary_Figure_ \* ARABIC </w:instrText>
      </w:r>
      <w:r w:rsidR="004B2B54">
        <w:fldChar w:fldCharType="separate"/>
      </w:r>
      <w:r>
        <w:rPr>
          <w:noProof/>
        </w:rPr>
        <w:t>1</w:t>
      </w:r>
      <w:r w:rsidR="004B2B54">
        <w:rPr>
          <w:noProof/>
        </w:rPr>
        <w:fldChar w:fldCharType="end"/>
      </w:r>
      <w:bookmarkEnd w:id="0"/>
      <w:r>
        <w:t>.</w:t>
      </w:r>
      <w:r w:rsidRPr="00490225">
        <w:rPr>
          <w:lang w:val="en-GB"/>
        </w:rPr>
        <w:t xml:space="preserve"> </w:t>
      </w:r>
      <w:r w:rsidRPr="00490225">
        <w:rPr>
          <w:b w:val="0"/>
          <w:lang w:val="en-GB"/>
        </w:rPr>
        <w:t>The weans' fraction, the number of deaths, births, entry and exit rate over the total population in the last year. Square corresponds to data and boxplot to simulations’ results.</w:t>
      </w:r>
    </w:p>
    <w:p w14:paraId="481B1E74" w14:textId="0C65BD38" w:rsidR="00490225" w:rsidRPr="00994A3D" w:rsidRDefault="00490225" w:rsidP="00490225">
      <w:pPr>
        <w:pStyle w:val="Heading1"/>
      </w:pPr>
      <w:r>
        <w:t>Catalytic model and estimation of the force of infection</w:t>
      </w:r>
    </w:p>
    <w:p w14:paraId="61344D9E" w14:textId="01BF6105" w:rsidR="00490225" w:rsidRPr="00433251" w:rsidRDefault="00490225" w:rsidP="00490225">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7"/>
      </w:tblGrid>
      <w:tr w:rsidR="00490225" w14:paraId="0C6FD542" w14:textId="77777777" w:rsidTr="00490225">
        <w:tc>
          <w:tcPr>
            <w:tcW w:w="9767" w:type="dxa"/>
          </w:tcPr>
          <w:p w14:paraId="20FFB281" w14:textId="0E478F3C" w:rsidR="00490225" w:rsidRDefault="00490225" w:rsidP="00490225">
            <w:pPr>
              <w:keepNext/>
              <w:rPr>
                <w:lang w:val="en-GB"/>
              </w:rPr>
            </w:pPr>
            <w:r>
              <w:rPr>
                <w:noProof/>
              </w:rPr>
              <w:lastRenderedPageBreak/>
              <w:drawing>
                <wp:inline distT="0" distB="0" distL="0" distR="0" wp14:anchorId="6A4EADC9" wp14:editId="142B6DB7">
                  <wp:extent cx="5486400" cy="364698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S2.png"/>
                          <pic:cNvPicPr/>
                        </pic:nvPicPr>
                        <pic:blipFill rotWithShape="1">
                          <a:blip r:embed="rId10">
                            <a:extLst>
                              <a:ext uri="{28A0092B-C50C-407E-A947-70E740481C1C}">
                                <a14:useLocalDpi xmlns:a14="http://schemas.microsoft.com/office/drawing/2010/main" val="0"/>
                              </a:ext>
                            </a:extLst>
                          </a:blip>
                          <a:srcRect t="7067"/>
                          <a:stretch/>
                        </pic:blipFill>
                        <pic:spPr bwMode="auto">
                          <a:xfrm>
                            <a:off x="0" y="0"/>
                            <a:ext cx="5486400" cy="3646982"/>
                          </a:xfrm>
                          <a:prstGeom prst="rect">
                            <a:avLst/>
                          </a:prstGeom>
                          <a:ln>
                            <a:noFill/>
                          </a:ln>
                          <a:extLst>
                            <a:ext uri="{53640926-AAD7-44D8-BBD7-CCE9431645EC}">
                              <a14:shadowObscured xmlns:a14="http://schemas.microsoft.com/office/drawing/2010/main"/>
                            </a:ext>
                          </a:extLst>
                        </pic:spPr>
                      </pic:pic>
                    </a:graphicData>
                  </a:graphic>
                </wp:inline>
              </w:drawing>
            </w:r>
          </w:p>
        </w:tc>
      </w:tr>
    </w:tbl>
    <w:p w14:paraId="7929477C" w14:textId="7C5EC6FC" w:rsidR="00490225" w:rsidRPr="00433251" w:rsidRDefault="00490225" w:rsidP="00490225">
      <w:pPr>
        <w:pStyle w:val="Caption"/>
        <w:rPr>
          <w:lang w:val="en-GB"/>
        </w:rPr>
      </w:pPr>
      <w:bookmarkStart w:id="1" w:name="_Ref5718366"/>
      <w:r>
        <w:t xml:space="preserve">Supplementary Figure  </w:t>
      </w:r>
      <w:r w:rsidR="004B2B54">
        <w:fldChar w:fldCharType="begin"/>
      </w:r>
      <w:r w:rsidR="004B2B54">
        <w:instrText xml:space="preserve"> SEQ Supplementary_Figure_ \* ARABIC </w:instrText>
      </w:r>
      <w:r w:rsidR="004B2B54">
        <w:fldChar w:fldCharType="separate"/>
      </w:r>
      <w:r>
        <w:rPr>
          <w:noProof/>
        </w:rPr>
        <w:t>2</w:t>
      </w:r>
      <w:r w:rsidR="004B2B54">
        <w:rPr>
          <w:noProof/>
        </w:rPr>
        <w:fldChar w:fldCharType="end"/>
      </w:r>
      <w:bookmarkEnd w:id="1"/>
      <w:r>
        <w:t xml:space="preserve">. </w:t>
      </w:r>
      <w:r w:rsidRPr="00490225">
        <w:rPr>
          <w:b w:val="0"/>
          <w:lang w:val="en-GB"/>
        </w:rPr>
        <w:t>Results from the calibration procedure. Black line corre</w:t>
      </w:r>
      <w:r>
        <w:rPr>
          <w:b w:val="0"/>
          <w:lang w:val="en-GB"/>
        </w:rPr>
        <w:t>s</w:t>
      </w:r>
      <w:r w:rsidRPr="00490225">
        <w:rPr>
          <w:b w:val="0"/>
          <w:lang w:val="en-GB"/>
        </w:rPr>
        <w:t xml:space="preserve">ponds to the </w:t>
      </w:r>
      <w:r>
        <w:rPr>
          <w:b w:val="0"/>
          <w:lang w:val="en-GB"/>
        </w:rPr>
        <w:t>seroprevalence</w:t>
      </w:r>
      <w:r w:rsidRPr="00490225">
        <w:rPr>
          <w:b w:val="0"/>
          <w:lang w:val="en-GB"/>
        </w:rPr>
        <w:t xml:space="preserve"> by age group, Red lines the mean and median of estimation by model. Shaded area 50 and 95% C.I.</w:t>
      </w:r>
    </w:p>
    <w:p w14:paraId="569750DD" w14:textId="4212A1F8" w:rsidR="00A824C1" w:rsidRDefault="00A824C1" w:rsidP="00A824C1">
      <w:pPr>
        <w:pStyle w:val="Caption"/>
      </w:pPr>
      <w:bookmarkStart w:id="2" w:name="_Ref5718388"/>
      <w:r>
        <w:t xml:space="preserve">Supplementary Table </w:t>
      </w:r>
      <w:r w:rsidR="004B2B54">
        <w:fldChar w:fldCharType="begin"/>
      </w:r>
      <w:r w:rsidR="004B2B54">
        <w:instrText xml:space="preserve"> SEQ Supplementary_Table \* ARABIC </w:instrText>
      </w:r>
      <w:r w:rsidR="004B2B54">
        <w:fldChar w:fldCharType="separate"/>
      </w:r>
      <w:r w:rsidR="001E44E7">
        <w:rPr>
          <w:noProof/>
        </w:rPr>
        <w:t>1</w:t>
      </w:r>
      <w:r w:rsidR="004B2B54">
        <w:rPr>
          <w:noProof/>
        </w:rPr>
        <w:fldChar w:fldCharType="end"/>
      </w:r>
      <w:bookmarkEnd w:id="2"/>
      <w:r>
        <w:t xml:space="preserve">. </w:t>
      </w:r>
      <w:r w:rsidRPr="00A824C1">
        <w:rPr>
          <w:b w:val="0"/>
        </w:rPr>
        <w:t xml:space="preserve">Parameters’ </w:t>
      </w:r>
      <w:r w:rsidRPr="00A824C1">
        <w:rPr>
          <w:b w:val="0"/>
          <w:lang w:val="en-GB"/>
        </w:rPr>
        <w:t>estimation from MCMC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A824C1" w:rsidRPr="00433251" w14:paraId="7B058A7D" w14:textId="77777777" w:rsidTr="00A824C1">
        <w:tc>
          <w:tcPr>
            <w:tcW w:w="3209" w:type="dxa"/>
          </w:tcPr>
          <w:p w14:paraId="1F3305D2" w14:textId="77777777" w:rsidR="00A824C1" w:rsidRPr="00433251" w:rsidRDefault="00A824C1" w:rsidP="00600EFB">
            <w:pPr>
              <w:rPr>
                <w:lang w:val="en-GB"/>
              </w:rPr>
            </w:pPr>
            <w:r w:rsidRPr="00433251">
              <w:rPr>
                <w:lang w:val="en-GB"/>
              </w:rPr>
              <w:t>Species</w:t>
            </w:r>
          </w:p>
        </w:tc>
        <w:tc>
          <w:tcPr>
            <w:tcW w:w="3209" w:type="dxa"/>
          </w:tcPr>
          <w:p w14:paraId="03730D67" w14:textId="77777777" w:rsidR="00A824C1" w:rsidRPr="00433251" w:rsidRDefault="00A824C1" w:rsidP="00600EFB">
            <w:pPr>
              <w:rPr>
                <w:lang w:val="en-GB"/>
              </w:rPr>
            </w:pPr>
            <w:r w:rsidRPr="00433251">
              <w:rPr>
                <w:lang w:val="en-GB"/>
              </w:rPr>
              <w:t>Variable</w:t>
            </w:r>
          </w:p>
        </w:tc>
        <w:tc>
          <w:tcPr>
            <w:tcW w:w="3210" w:type="dxa"/>
          </w:tcPr>
          <w:p w14:paraId="6FD5E029" w14:textId="77777777" w:rsidR="00A824C1" w:rsidRPr="00433251" w:rsidRDefault="00A824C1" w:rsidP="00600EFB">
            <w:pPr>
              <w:rPr>
                <w:lang w:val="en-GB"/>
              </w:rPr>
            </w:pPr>
            <w:r w:rsidRPr="00433251">
              <w:rPr>
                <w:lang w:val="en-GB"/>
              </w:rPr>
              <w:t>Value ( 95% CI)</w:t>
            </w:r>
          </w:p>
        </w:tc>
      </w:tr>
      <w:tr w:rsidR="00A824C1" w:rsidRPr="00433251" w14:paraId="1ED253C5" w14:textId="77777777" w:rsidTr="00A824C1">
        <w:tc>
          <w:tcPr>
            <w:tcW w:w="3209" w:type="dxa"/>
            <w:vMerge w:val="restart"/>
          </w:tcPr>
          <w:p w14:paraId="1E9ED885" w14:textId="472CF62C" w:rsidR="00A824C1" w:rsidRPr="00433251" w:rsidRDefault="00A824C1" w:rsidP="00600EFB">
            <w:pPr>
              <w:rPr>
                <w:lang w:val="en-GB"/>
              </w:rPr>
            </w:pPr>
            <w:r>
              <w:rPr>
                <w:lang w:val="en-GB"/>
              </w:rPr>
              <w:t>Small Ruminants</w:t>
            </w:r>
          </w:p>
        </w:tc>
        <w:tc>
          <w:tcPr>
            <w:tcW w:w="3209" w:type="dxa"/>
          </w:tcPr>
          <w:p w14:paraId="4EE52A93" w14:textId="77777777" w:rsidR="00A824C1" w:rsidRPr="00433251" w:rsidRDefault="004B2B54" w:rsidP="00600EFB">
            <w:pPr>
              <w:rPr>
                <w:lang w:val="en-GB"/>
              </w:rPr>
            </w:pPr>
            <m:oMathPara>
              <m:oMath>
                <m:sSub>
                  <m:sSubPr>
                    <m:ctrlPr>
                      <w:rPr>
                        <w:rFonts w:ascii="Cambria Math" w:hAnsi="Cambria Math"/>
                        <w:i/>
                        <w:lang w:val="en-GB"/>
                      </w:rPr>
                    </m:ctrlPr>
                  </m:sSubPr>
                  <m:e>
                    <m:r>
                      <w:rPr>
                        <w:rFonts w:ascii="Cambria Math" w:hAnsi="Cambria Math"/>
                        <w:lang w:val="en-GB"/>
                      </w:rPr>
                      <m:t>λ</m:t>
                    </m:r>
                  </m:e>
                  <m:sub>
                    <m:r>
                      <w:rPr>
                        <w:rFonts w:ascii="Cambria Math" w:hAnsi="Cambria Math"/>
                        <w:lang w:val="en-GB"/>
                      </w:rPr>
                      <m:t>0</m:t>
                    </m:r>
                  </m:sub>
                </m:sSub>
              </m:oMath>
            </m:oMathPara>
          </w:p>
        </w:tc>
        <w:tc>
          <w:tcPr>
            <w:tcW w:w="3210" w:type="dxa"/>
          </w:tcPr>
          <w:p w14:paraId="489F3573" w14:textId="77777777" w:rsidR="00A824C1" w:rsidRPr="00433251" w:rsidRDefault="00A824C1" w:rsidP="00600EFB">
            <w:pPr>
              <w:rPr>
                <w:lang w:val="en-GB"/>
              </w:rPr>
            </w:pPr>
            <w:r w:rsidRPr="00433251">
              <w:rPr>
                <w:lang w:val="en-GB"/>
              </w:rPr>
              <w:t>0.0019[0.0016,0.0020]</w:t>
            </w:r>
          </w:p>
        </w:tc>
      </w:tr>
      <w:tr w:rsidR="00A824C1" w:rsidRPr="00433251" w14:paraId="61C69FAB" w14:textId="77777777" w:rsidTr="00A824C1">
        <w:tc>
          <w:tcPr>
            <w:tcW w:w="3209" w:type="dxa"/>
            <w:vMerge/>
          </w:tcPr>
          <w:p w14:paraId="05E481FD" w14:textId="77777777" w:rsidR="00A824C1" w:rsidRPr="00433251" w:rsidRDefault="00A824C1" w:rsidP="00600EFB">
            <w:pPr>
              <w:rPr>
                <w:lang w:val="en-GB"/>
              </w:rPr>
            </w:pPr>
          </w:p>
        </w:tc>
        <w:tc>
          <w:tcPr>
            <w:tcW w:w="3209" w:type="dxa"/>
          </w:tcPr>
          <w:p w14:paraId="2A5B7D16" w14:textId="77777777" w:rsidR="00A824C1" w:rsidRPr="00433251" w:rsidRDefault="004B2B54" w:rsidP="00600EFB">
            <w:pPr>
              <w:rPr>
                <w:lang w:val="en-GB"/>
              </w:rPr>
            </w:pPr>
            <m:oMathPara>
              <m:oMath>
                <m:sSub>
                  <m:sSubPr>
                    <m:ctrlPr>
                      <w:rPr>
                        <w:rFonts w:ascii="Cambria Math" w:hAnsi="Cambria Math"/>
                        <w:i/>
                        <w:lang w:val="en-GB"/>
                      </w:rPr>
                    </m:ctrlPr>
                  </m:sSubPr>
                  <m:e>
                    <m:r>
                      <w:rPr>
                        <w:rFonts w:ascii="Cambria Math" w:hAnsi="Cambria Math"/>
                        <w:lang w:val="en-GB"/>
                      </w:rPr>
                      <m:t>λ</m:t>
                    </m:r>
                  </m:e>
                  <m:sub>
                    <m:r>
                      <w:rPr>
                        <w:rFonts w:ascii="Cambria Math" w:hAnsi="Cambria Math"/>
                        <w:lang w:val="en-GB"/>
                      </w:rPr>
                      <m:t>1</m:t>
                    </m:r>
                  </m:sub>
                </m:sSub>
              </m:oMath>
            </m:oMathPara>
          </w:p>
        </w:tc>
        <w:tc>
          <w:tcPr>
            <w:tcW w:w="3210" w:type="dxa"/>
          </w:tcPr>
          <w:p w14:paraId="12DA74FC" w14:textId="77777777" w:rsidR="00A824C1" w:rsidRPr="00433251" w:rsidRDefault="00A824C1" w:rsidP="00600EFB">
            <w:pPr>
              <w:rPr>
                <w:lang w:val="en-GB"/>
              </w:rPr>
            </w:pPr>
            <w:r w:rsidRPr="00433251">
              <w:rPr>
                <w:lang w:val="en-GB"/>
              </w:rPr>
              <w:t>5.1 e-05 [1.7e-05, 9.6e-05]</w:t>
            </w:r>
          </w:p>
        </w:tc>
      </w:tr>
      <w:tr w:rsidR="00A824C1" w:rsidRPr="00433251" w14:paraId="6A8C7179" w14:textId="77777777" w:rsidTr="00A824C1">
        <w:tc>
          <w:tcPr>
            <w:tcW w:w="3209" w:type="dxa"/>
            <w:vMerge/>
          </w:tcPr>
          <w:p w14:paraId="1BE83ED6" w14:textId="77777777" w:rsidR="00A824C1" w:rsidRPr="00433251" w:rsidRDefault="00A824C1" w:rsidP="00600EFB">
            <w:pPr>
              <w:rPr>
                <w:lang w:val="en-GB"/>
              </w:rPr>
            </w:pPr>
          </w:p>
        </w:tc>
        <w:tc>
          <w:tcPr>
            <w:tcW w:w="3209" w:type="dxa"/>
          </w:tcPr>
          <w:p w14:paraId="37BF57CF" w14:textId="77777777" w:rsidR="00A824C1" w:rsidRPr="00433251" w:rsidRDefault="004B2B54" w:rsidP="00600EFB">
            <w:pPr>
              <w:rPr>
                <w:lang w:val="en-GB"/>
              </w:rPr>
            </w:pPr>
            <m:oMathPara>
              <m:oMath>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0</m:t>
                    </m:r>
                  </m:sub>
                </m:sSub>
              </m:oMath>
            </m:oMathPara>
          </w:p>
        </w:tc>
        <w:tc>
          <w:tcPr>
            <w:tcW w:w="3210" w:type="dxa"/>
          </w:tcPr>
          <w:p w14:paraId="42985F4A" w14:textId="77777777" w:rsidR="00A824C1" w:rsidRPr="00433251" w:rsidRDefault="00A824C1" w:rsidP="00600EFB">
            <w:pPr>
              <w:rPr>
                <w:lang w:val="en-GB"/>
              </w:rPr>
            </w:pPr>
            <w:r w:rsidRPr="00433251">
              <w:rPr>
                <w:lang w:val="en-GB"/>
              </w:rPr>
              <w:t>11.1 [10.4,12.4]</w:t>
            </w:r>
          </w:p>
        </w:tc>
      </w:tr>
    </w:tbl>
    <w:p w14:paraId="327F4C43" w14:textId="0A805AD5" w:rsidR="00490225" w:rsidRPr="00490225" w:rsidRDefault="00490225" w:rsidP="00490225">
      <w:pPr>
        <w:pStyle w:val="Caption"/>
        <w:rPr>
          <w:b w:val="0"/>
          <w:lang w:val="en-GB"/>
        </w:rPr>
      </w:pPr>
    </w:p>
    <w:p w14:paraId="731A7535" w14:textId="228D6B22" w:rsidR="00A824C1" w:rsidRDefault="00A824C1" w:rsidP="00A824C1">
      <w:pPr>
        <w:pStyle w:val="Heading1"/>
      </w:pPr>
      <w:r>
        <w:t>Parameters’ list and values</w:t>
      </w:r>
    </w:p>
    <w:p w14:paraId="2653C2BB" w14:textId="6ACA1403" w:rsidR="001E44E7" w:rsidRDefault="00FE1B64" w:rsidP="001E44E7">
      <w:pPr>
        <w:rPr>
          <w:lang w:val="en-GB"/>
        </w:rPr>
      </w:pPr>
      <w:r>
        <w:rPr>
          <w:lang w:val="en-GB"/>
        </w:rPr>
        <w:fldChar w:fldCharType="begin"/>
      </w:r>
      <w:r>
        <w:rPr>
          <w:lang w:val="en-GB"/>
        </w:rPr>
        <w:instrText xml:space="preserve"> REF _Ref5718427 </w:instrText>
      </w:r>
      <w:r>
        <w:rPr>
          <w:lang w:val="en-GB"/>
        </w:rPr>
        <w:fldChar w:fldCharType="separate"/>
      </w:r>
      <w:r>
        <w:t xml:space="preserve">Supplementary Table </w:t>
      </w:r>
      <w:r>
        <w:rPr>
          <w:noProof/>
        </w:rPr>
        <w:t>2</w:t>
      </w:r>
      <w:r>
        <w:rPr>
          <w:lang w:val="en-GB"/>
        </w:rPr>
        <w:fldChar w:fldCharType="end"/>
      </w:r>
      <w:r w:rsidR="001E44E7" w:rsidRPr="00433251">
        <w:rPr>
          <w:lang w:val="en-GB"/>
        </w:rPr>
        <w:t xml:space="preserve"> summarizes the list of parameters used in the model. All demographic parameters were estimated through calibration of disease-free/demographic model, while few of the epidemiological parameters were taken from literature or by expert opinion. The rest of the parameters were estimated through the calibration of the transmission model</w:t>
      </w:r>
      <w:r w:rsidR="001E44E7">
        <w:rPr>
          <w:lang w:val="en-GB"/>
        </w:rPr>
        <w:t xml:space="preserve">. In the table Source indicates the method used to evaluate parameter’s value or its source: </w:t>
      </w:r>
      <w:r w:rsidR="001E44E7" w:rsidRPr="00433251">
        <w:rPr>
          <w:i/>
          <w:lang w:val="en-GB"/>
        </w:rPr>
        <w:t>Calibration</w:t>
      </w:r>
      <w:r w:rsidR="001E44E7" w:rsidRPr="00433251">
        <w:rPr>
          <w:lang w:val="en-GB"/>
        </w:rPr>
        <w:t xml:space="preserve"> indicates that </w:t>
      </w:r>
      <w:r w:rsidR="001E44E7" w:rsidRPr="00433251">
        <w:rPr>
          <w:lang w:val="en-GB"/>
        </w:rPr>
        <w:lastRenderedPageBreak/>
        <w:t xml:space="preserve">parameters’ value has been estimated through fitting procedure; </w:t>
      </w:r>
      <w:r w:rsidR="001E44E7" w:rsidRPr="00433251">
        <w:rPr>
          <w:i/>
          <w:lang w:val="en-GB"/>
        </w:rPr>
        <w:t>Literature</w:t>
      </w:r>
      <w:r w:rsidR="001E44E7" w:rsidRPr="00433251">
        <w:rPr>
          <w:lang w:val="en-GB"/>
        </w:rPr>
        <w:t xml:space="preserve"> indicates values extracted from literature; </w:t>
      </w:r>
      <w:r w:rsidR="001E44E7" w:rsidRPr="00433251">
        <w:rPr>
          <w:i/>
          <w:lang w:val="en-GB"/>
        </w:rPr>
        <w:t>Fixed</w:t>
      </w:r>
      <w:r w:rsidR="001E44E7" w:rsidRPr="00433251">
        <w:rPr>
          <w:lang w:val="en-GB"/>
        </w:rPr>
        <w:t xml:space="preserve"> indicates values relative to the model structure; </w:t>
      </w:r>
      <w:r w:rsidR="001E44E7" w:rsidRPr="00433251">
        <w:rPr>
          <w:i/>
          <w:lang w:val="en-GB"/>
        </w:rPr>
        <w:t>Ministry</w:t>
      </w:r>
      <w:r w:rsidR="001E44E7" w:rsidRPr="00433251">
        <w:rPr>
          <w:lang w:val="en-GB"/>
        </w:rPr>
        <w:t xml:space="preserve"> indicates that estimates come from the Mauritania’s Ministry of Agriculture and Animal Production</w:t>
      </w:r>
    </w:p>
    <w:p w14:paraId="55560962" w14:textId="0CC8CFA9" w:rsidR="001E44E7" w:rsidRPr="001E44E7" w:rsidRDefault="001E44E7" w:rsidP="001E44E7">
      <w:pPr>
        <w:pStyle w:val="Caption"/>
        <w:rPr>
          <w:b w:val="0"/>
        </w:rPr>
      </w:pPr>
      <w:bookmarkStart w:id="3" w:name="_Ref5718427"/>
      <w:r>
        <w:t xml:space="preserve">Supplementary Table </w:t>
      </w:r>
      <w:r w:rsidR="004B2B54">
        <w:fldChar w:fldCharType="begin"/>
      </w:r>
      <w:r w:rsidR="004B2B54">
        <w:instrText xml:space="preserve"> SEQ Supplementary_Table \* ARABIC </w:instrText>
      </w:r>
      <w:r w:rsidR="004B2B54">
        <w:fldChar w:fldCharType="separate"/>
      </w:r>
      <w:r>
        <w:rPr>
          <w:noProof/>
        </w:rPr>
        <w:t>2</w:t>
      </w:r>
      <w:r w:rsidR="004B2B54">
        <w:rPr>
          <w:noProof/>
        </w:rPr>
        <w:fldChar w:fldCharType="end"/>
      </w:r>
      <w:bookmarkEnd w:id="3"/>
      <w:r>
        <w:t xml:space="preserve">. </w:t>
      </w:r>
      <w:r w:rsidRPr="001E44E7">
        <w:rPr>
          <w:b w:val="0"/>
          <w:color w:val="000000" w:themeColor="text1"/>
          <w:lang w:val="en-GB"/>
        </w:rPr>
        <w:t xml:space="preserve">Model parameters. Parameters </w:t>
      </w:r>
      <w:r>
        <w:rPr>
          <w:b w:val="0"/>
          <w:color w:val="000000" w:themeColor="text1"/>
          <w:lang w:val="en-GB"/>
        </w:rPr>
        <w:t>have been</w:t>
      </w:r>
      <w:r w:rsidRPr="001E44E7">
        <w:rPr>
          <w:b w:val="0"/>
          <w:color w:val="000000" w:themeColor="text1"/>
          <w:lang w:val="en-GB"/>
        </w:rPr>
        <w:t xml:space="preserve"> extracted from literature, </w:t>
      </w:r>
      <w:r>
        <w:rPr>
          <w:b w:val="0"/>
          <w:color w:val="000000" w:themeColor="text1"/>
          <w:lang w:val="en-GB"/>
        </w:rPr>
        <w:t xml:space="preserve">provided by the Ministry, </w:t>
      </w:r>
      <w:r w:rsidRPr="001E44E7">
        <w:rPr>
          <w:b w:val="0"/>
          <w:color w:val="000000" w:themeColor="text1"/>
          <w:lang w:val="en-GB"/>
        </w:rPr>
        <w:t>estimated through calibration procedure, or fixed by the model structure. All the parameters are daily rate.</w:t>
      </w:r>
    </w:p>
    <w:tbl>
      <w:tblPr>
        <w:tblStyle w:val="TableGrid"/>
        <w:tblW w:w="0" w:type="auto"/>
        <w:tblLook w:val="04A0" w:firstRow="1" w:lastRow="0" w:firstColumn="1" w:lastColumn="0" w:noHBand="0" w:noVBand="1"/>
      </w:tblPr>
      <w:tblGrid>
        <w:gridCol w:w="1609"/>
        <w:gridCol w:w="1363"/>
        <w:gridCol w:w="2552"/>
        <w:gridCol w:w="2167"/>
        <w:gridCol w:w="1937"/>
      </w:tblGrid>
      <w:tr w:rsidR="001E44E7" w:rsidRPr="00433251" w14:paraId="06C1CBCC" w14:textId="77777777" w:rsidTr="001E44E7">
        <w:trPr>
          <w:trHeight w:val="90"/>
        </w:trPr>
        <w:tc>
          <w:tcPr>
            <w:tcW w:w="1609" w:type="dxa"/>
          </w:tcPr>
          <w:p w14:paraId="6448B3F6" w14:textId="77777777" w:rsidR="001E44E7" w:rsidRPr="00433251" w:rsidRDefault="001E44E7" w:rsidP="00600EFB">
            <w:pPr>
              <w:rPr>
                <w:rFonts w:cstheme="minorHAnsi"/>
                <w:lang w:val="en-GB"/>
              </w:rPr>
            </w:pPr>
          </w:p>
        </w:tc>
        <w:tc>
          <w:tcPr>
            <w:tcW w:w="1363" w:type="dxa"/>
          </w:tcPr>
          <w:p w14:paraId="542CD7C1" w14:textId="77777777" w:rsidR="001E44E7" w:rsidRPr="00433251" w:rsidRDefault="001E44E7" w:rsidP="00600EFB">
            <w:pPr>
              <w:rPr>
                <w:rFonts w:cstheme="minorHAnsi"/>
                <w:lang w:val="en-GB"/>
              </w:rPr>
            </w:pPr>
            <w:r w:rsidRPr="00433251">
              <w:rPr>
                <w:rFonts w:cstheme="minorHAnsi"/>
                <w:lang w:val="en-GB"/>
              </w:rPr>
              <w:t>Notation</w:t>
            </w:r>
          </w:p>
        </w:tc>
        <w:tc>
          <w:tcPr>
            <w:tcW w:w="2552" w:type="dxa"/>
          </w:tcPr>
          <w:p w14:paraId="575DFCD3" w14:textId="77777777" w:rsidR="001E44E7" w:rsidRPr="00433251" w:rsidRDefault="001E44E7" w:rsidP="00600EFB">
            <w:pPr>
              <w:rPr>
                <w:rFonts w:cstheme="minorHAnsi"/>
                <w:lang w:val="en-GB"/>
              </w:rPr>
            </w:pPr>
            <w:r w:rsidRPr="00433251">
              <w:rPr>
                <w:rFonts w:cstheme="minorHAnsi"/>
                <w:lang w:val="en-GB"/>
              </w:rPr>
              <w:t>Variable</w:t>
            </w:r>
          </w:p>
        </w:tc>
        <w:tc>
          <w:tcPr>
            <w:tcW w:w="2167" w:type="dxa"/>
          </w:tcPr>
          <w:p w14:paraId="4BB91234" w14:textId="77777777" w:rsidR="001E44E7" w:rsidRPr="00433251" w:rsidRDefault="001E44E7" w:rsidP="00600EFB">
            <w:pPr>
              <w:rPr>
                <w:rFonts w:cstheme="minorHAnsi"/>
                <w:lang w:val="en-GB"/>
              </w:rPr>
            </w:pPr>
            <w:r w:rsidRPr="00433251">
              <w:rPr>
                <w:rFonts w:cstheme="minorHAnsi"/>
                <w:lang w:val="en-GB"/>
              </w:rPr>
              <w:t>Values</w:t>
            </w:r>
          </w:p>
        </w:tc>
        <w:tc>
          <w:tcPr>
            <w:tcW w:w="1937" w:type="dxa"/>
          </w:tcPr>
          <w:p w14:paraId="15FC2FC8" w14:textId="1224EAC9" w:rsidR="001E44E7" w:rsidRPr="00433251" w:rsidRDefault="001E44E7" w:rsidP="00600EFB">
            <w:pPr>
              <w:rPr>
                <w:rFonts w:cstheme="minorHAnsi"/>
                <w:lang w:val="en-GB"/>
              </w:rPr>
            </w:pPr>
            <w:r w:rsidRPr="00433251">
              <w:rPr>
                <w:rFonts w:cstheme="minorHAnsi"/>
                <w:lang w:val="en-GB"/>
              </w:rPr>
              <w:t>Source</w:t>
            </w:r>
          </w:p>
        </w:tc>
      </w:tr>
      <w:tr w:rsidR="001E44E7" w:rsidRPr="00433251" w14:paraId="16168607" w14:textId="77777777" w:rsidTr="001E44E7">
        <w:trPr>
          <w:trHeight w:val="90"/>
        </w:trPr>
        <w:tc>
          <w:tcPr>
            <w:tcW w:w="1609" w:type="dxa"/>
            <w:vMerge w:val="restart"/>
            <w:textDirection w:val="btLr"/>
          </w:tcPr>
          <w:p w14:paraId="1D524BA1" w14:textId="77777777" w:rsidR="001E44E7" w:rsidRPr="00433251" w:rsidRDefault="001E44E7" w:rsidP="00600EFB">
            <w:pPr>
              <w:ind w:left="113" w:right="113"/>
              <w:rPr>
                <w:rFonts w:cstheme="minorHAnsi"/>
                <w:lang w:val="en-GB"/>
              </w:rPr>
            </w:pPr>
            <w:r w:rsidRPr="00433251">
              <w:rPr>
                <w:rFonts w:cstheme="minorHAnsi"/>
                <w:lang w:val="en-GB"/>
              </w:rPr>
              <w:t>Demographic parameters</w:t>
            </w:r>
          </w:p>
        </w:tc>
        <w:tc>
          <w:tcPr>
            <w:tcW w:w="1363" w:type="dxa"/>
          </w:tcPr>
          <w:p w14:paraId="792C26D1" w14:textId="77777777" w:rsidR="001E44E7" w:rsidRPr="00433251" w:rsidRDefault="001E44E7" w:rsidP="00600EFB">
            <w:pPr>
              <w:rPr>
                <w:rFonts w:cstheme="minorHAnsi"/>
                <w:lang w:val="en-GB"/>
              </w:rPr>
            </w:pPr>
            <w:r w:rsidRPr="00433251">
              <w:rPr>
                <w:rFonts w:cstheme="minorHAnsi"/>
                <w:lang w:val="en-GB"/>
              </w:rPr>
              <w:t>µ</w:t>
            </w:r>
          </w:p>
        </w:tc>
        <w:tc>
          <w:tcPr>
            <w:tcW w:w="2552" w:type="dxa"/>
          </w:tcPr>
          <w:p w14:paraId="2DDA1D22" w14:textId="77777777" w:rsidR="001E44E7" w:rsidRPr="00433251" w:rsidRDefault="001E44E7" w:rsidP="00600EFB">
            <w:pPr>
              <w:rPr>
                <w:rFonts w:cstheme="minorHAnsi"/>
                <w:lang w:val="en-GB"/>
              </w:rPr>
            </w:pPr>
            <w:r w:rsidRPr="00433251">
              <w:rPr>
                <w:rFonts w:cstheme="minorHAnsi"/>
                <w:lang w:val="en-GB"/>
              </w:rPr>
              <w:t>Natural mortality younger groups (0-48 months)</w:t>
            </w:r>
          </w:p>
        </w:tc>
        <w:tc>
          <w:tcPr>
            <w:tcW w:w="2167" w:type="dxa"/>
          </w:tcPr>
          <w:p w14:paraId="239C68E9" w14:textId="77777777" w:rsidR="001E44E7" w:rsidRPr="00433251" w:rsidRDefault="001E44E7" w:rsidP="00600EFB">
            <w:pPr>
              <w:rPr>
                <w:rFonts w:cstheme="minorHAnsi"/>
                <w:lang w:val="en-GB"/>
              </w:rPr>
            </w:pPr>
            <w:r w:rsidRPr="00433251">
              <w:rPr>
                <w:rFonts w:cstheme="minorHAnsi"/>
                <w:lang w:val="en-GB"/>
              </w:rPr>
              <w:t>0.00012 [2.0e-5,0.0015]</w:t>
            </w:r>
          </w:p>
        </w:tc>
        <w:tc>
          <w:tcPr>
            <w:tcW w:w="1937" w:type="dxa"/>
          </w:tcPr>
          <w:p w14:paraId="42717807" w14:textId="77777777" w:rsidR="001E44E7" w:rsidRPr="00433251" w:rsidRDefault="001E44E7" w:rsidP="00600EFB">
            <w:pPr>
              <w:rPr>
                <w:rFonts w:cstheme="minorHAnsi"/>
                <w:lang w:val="en-GB"/>
              </w:rPr>
            </w:pPr>
            <w:r w:rsidRPr="00433251">
              <w:rPr>
                <w:rFonts w:cstheme="minorHAnsi"/>
                <w:lang w:val="en-GB"/>
              </w:rPr>
              <w:t>Calibration</w:t>
            </w:r>
          </w:p>
        </w:tc>
      </w:tr>
      <w:tr w:rsidR="001E44E7" w:rsidRPr="00433251" w14:paraId="577649AA" w14:textId="77777777" w:rsidTr="001E44E7">
        <w:trPr>
          <w:trHeight w:val="90"/>
        </w:trPr>
        <w:tc>
          <w:tcPr>
            <w:tcW w:w="1609" w:type="dxa"/>
            <w:vMerge/>
          </w:tcPr>
          <w:p w14:paraId="79207A14" w14:textId="77777777" w:rsidR="001E44E7" w:rsidRPr="00433251" w:rsidRDefault="001E44E7" w:rsidP="00600EFB">
            <w:pPr>
              <w:rPr>
                <w:rFonts w:cstheme="minorHAnsi"/>
                <w:lang w:val="en-GB"/>
              </w:rPr>
            </w:pPr>
          </w:p>
        </w:tc>
        <w:tc>
          <w:tcPr>
            <w:tcW w:w="1363" w:type="dxa"/>
          </w:tcPr>
          <w:p w14:paraId="6DF852AA" w14:textId="77777777" w:rsidR="001E44E7" w:rsidRPr="00433251" w:rsidRDefault="001E44E7" w:rsidP="00600EFB">
            <w:pPr>
              <w:rPr>
                <w:rFonts w:cstheme="minorHAnsi"/>
                <w:lang w:val="en-GB"/>
              </w:rPr>
            </w:pPr>
            <w:r w:rsidRPr="00433251">
              <w:rPr>
                <w:rFonts w:cstheme="minorHAnsi"/>
                <w:lang w:val="en-GB"/>
              </w:rPr>
              <w:t>μ</w:t>
            </w:r>
            <w:r w:rsidRPr="00433251">
              <w:rPr>
                <w:rFonts w:cstheme="minorHAnsi"/>
                <w:vertAlign w:val="subscript"/>
                <w:lang w:val="en-GB"/>
              </w:rPr>
              <w:t>5</w:t>
            </w:r>
          </w:p>
        </w:tc>
        <w:tc>
          <w:tcPr>
            <w:tcW w:w="2552" w:type="dxa"/>
          </w:tcPr>
          <w:p w14:paraId="6A883845" w14:textId="77777777" w:rsidR="001E44E7" w:rsidRPr="00433251" w:rsidRDefault="001E44E7" w:rsidP="00600EFB">
            <w:pPr>
              <w:rPr>
                <w:rFonts w:cstheme="minorHAnsi"/>
                <w:lang w:val="en-GB"/>
              </w:rPr>
            </w:pPr>
            <w:r w:rsidRPr="00433251">
              <w:rPr>
                <w:rFonts w:cstheme="minorHAnsi"/>
                <w:lang w:val="en-GB"/>
              </w:rPr>
              <w:t>Natural mortality oldest group (&gt;48 months)</w:t>
            </w:r>
          </w:p>
        </w:tc>
        <w:tc>
          <w:tcPr>
            <w:tcW w:w="2167" w:type="dxa"/>
          </w:tcPr>
          <w:p w14:paraId="06E39A4B" w14:textId="77777777" w:rsidR="001E44E7" w:rsidRPr="00433251" w:rsidRDefault="001E44E7" w:rsidP="00600EFB">
            <w:pPr>
              <w:rPr>
                <w:rFonts w:cstheme="minorHAnsi"/>
                <w:lang w:val="en-GB"/>
              </w:rPr>
            </w:pPr>
            <w:r w:rsidRPr="00433251">
              <w:rPr>
                <w:rFonts w:cstheme="minorHAnsi"/>
                <w:lang w:val="en-GB"/>
              </w:rPr>
              <w:t>0.00094 [7.6e-5,0.0030]</w:t>
            </w:r>
          </w:p>
        </w:tc>
        <w:tc>
          <w:tcPr>
            <w:tcW w:w="1937" w:type="dxa"/>
          </w:tcPr>
          <w:p w14:paraId="64A2DFF3" w14:textId="77777777" w:rsidR="001E44E7" w:rsidRPr="00433251" w:rsidRDefault="001E44E7" w:rsidP="00600EFB">
            <w:pPr>
              <w:rPr>
                <w:rFonts w:cstheme="minorHAnsi"/>
                <w:lang w:val="en-GB"/>
              </w:rPr>
            </w:pPr>
            <w:r w:rsidRPr="00433251">
              <w:rPr>
                <w:rFonts w:cstheme="minorHAnsi"/>
                <w:lang w:val="en-GB"/>
              </w:rPr>
              <w:t>Calibration</w:t>
            </w:r>
          </w:p>
        </w:tc>
      </w:tr>
      <w:tr w:rsidR="001E44E7" w:rsidRPr="00433251" w14:paraId="06CC2FA2" w14:textId="77777777" w:rsidTr="001E44E7">
        <w:trPr>
          <w:trHeight w:val="90"/>
        </w:trPr>
        <w:tc>
          <w:tcPr>
            <w:tcW w:w="1609" w:type="dxa"/>
            <w:vMerge/>
          </w:tcPr>
          <w:p w14:paraId="6FF4D72C" w14:textId="77777777" w:rsidR="001E44E7" w:rsidRPr="00433251" w:rsidRDefault="001E44E7" w:rsidP="00600EFB">
            <w:pPr>
              <w:rPr>
                <w:rFonts w:cstheme="minorHAnsi"/>
                <w:lang w:val="en-GB"/>
              </w:rPr>
            </w:pPr>
          </w:p>
        </w:tc>
        <w:tc>
          <w:tcPr>
            <w:tcW w:w="1363" w:type="dxa"/>
          </w:tcPr>
          <w:p w14:paraId="1EEF99B7" w14:textId="25EA7F9C" w:rsidR="001E44E7" w:rsidRPr="00433251" w:rsidRDefault="00D97F2C" w:rsidP="00600EFB">
            <w:pPr>
              <w:rPr>
                <w:rFonts w:cstheme="minorHAnsi"/>
                <w:lang w:val="en-GB"/>
              </w:rPr>
            </w:pPr>
            <w:r>
              <w:t>α</w:t>
            </w:r>
          </w:p>
        </w:tc>
        <w:tc>
          <w:tcPr>
            <w:tcW w:w="2552" w:type="dxa"/>
          </w:tcPr>
          <w:p w14:paraId="68E8B627" w14:textId="77777777" w:rsidR="001E44E7" w:rsidRPr="00433251" w:rsidRDefault="001E44E7" w:rsidP="00600EFB">
            <w:pPr>
              <w:rPr>
                <w:rFonts w:cstheme="minorHAnsi"/>
                <w:lang w:val="en-GB"/>
              </w:rPr>
            </w:pPr>
            <w:r w:rsidRPr="00433251">
              <w:rPr>
                <w:rFonts w:cstheme="minorHAnsi"/>
                <w:lang w:val="en-GB"/>
              </w:rPr>
              <w:t xml:space="preserve">Birth rate </w:t>
            </w:r>
          </w:p>
        </w:tc>
        <w:tc>
          <w:tcPr>
            <w:tcW w:w="2167" w:type="dxa"/>
          </w:tcPr>
          <w:p w14:paraId="42A0EA9B" w14:textId="77777777" w:rsidR="001E44E7" w:rsidRPr="00433251" w:rsidRDefault="001E44E7" w:rsidP="00600EFB">
            <w:pPr>
              <w:rPr>
                <w:rFonts w:cstheme="minorHAnsi"/>
                <w:lang w:val="en-GB"/>
              </w:rPr>
            </w:pPr>
            <w:r w:rsidRPr="00433251">
              <w:rPr>
                <w:rFonts w:cstheme="minorHAnsi"/>
                <w:lang w:val="en-GB"/>
              </w:rPr>
              <w:t>0.00076 [0.0006,0.0010]</w:t>
            </w:r>
          </w:p>
        </w:tc>
        <w:tc>
          <w:tcPr>
            <w:tcW w:w="1937" w:type="dxa"/>
          </w:tcPr>
          <w:p w14:paraId="3255207D" w14:textId="77777777" w:rsidR="001E44E7" w:rsidRPr="00433251" w:rsidRDefault="001E44E7" w:rsidP="00600EFB">
            <w:pPr>
              <w:rPr>
                <w:rFonts w:cstheme="minorHAnsi"/>
                <w:lang w:val="en-GB"/>
              </w:rPr>
            </w:pPr>
            <w:r w:rsidRPr="00433251">
              <w:rPr>
                <w:rFonts w:cstheme="minorHAnsi"/>
                <w:lang w:val="en-GB"/>
              </w:rPr>
              <w:t>Calibration</w:t>
            </w:r>
          </w:p>
        </w:tc>
      </w:tr>
      <w:tr w:rsidR="001E44E7" w:rsidRPr="00433251" w14:paraId="5C33EFE9" w14:textId="77777777" w:rsidTr="001E44E7">
        <w:trPr>
          <w:trHeight w:val="90"/>
        </w:trPr>
        <w:tc>
          <w:tcPr>
            <w:tcW w:w="1609" w:type="dxa"/>
            <w:vMerge/>
          </w:tcPr>
          <w:p w14:paraId="624C139F" w14:textId="77777777" w:rsidR="001E44E7" w:rsidRPr="00433251" w:rsidRDefault="001E44E7" w:rsidP="00600EFB">
            <w:pPr>
              <w:rPr>
                <w:rFonts w:cstheme="minorHAnsi"/>
                <w:lang w:val="en-GB"/>
              </w:rPr>
            </w:pPr>
          </w:p>
        </w:tc>
        <w:tc>
          <w:tcPr>
            <w:tcW w:w="1363" w:type="dxa"/>
          </w:tcPr>
          <w:p w14:paraId="1B999654" w14:textId="77777777" w:rsidR="001E44E7" w:rsidRPr="00433251" w:rsidRDefault="001E44E7" w:rsidP="00600EFB">
            <w:pPr>
              <w:rPr>
                <w:rFonts w:cstheme="minorHAnsi"/>
                <w:lang w:val="en-GB"/>
              </w:rPr>
            </w:pPr>
            <w:r w:rsidRPr="00433251">
              <w:rPr>
                <w:rFonts w:cstheme="minorHAnsi"/>
                <w:lang w:val="en-GB"/>
              </w:rPr>
              <w:t>Incoming</w:t>
            </w:r>
          </w:p>
        </w:tc>
        <w:tc>
          <w:tcPr>
            <w:tcW w:w="2552" w:type="dxa"/>
          </w:tcPr>
          <w:p w14:paraId="6E28C6A4" w14:textId="77777777" w:rsidR="001E44E7" w:rsidRPr="00433251" w:rsidRDefault="001E44E7" w:rsidP="00600EFB">
            <w:pPr>
              <w:rPr>
                <w:rFonts w:cstheme="minorHAnsi"/>
                <w:lang w:val="en-GB"/>
              </w:rPr>
            </w:pPr>
            <w:r w:rsidRPr="00433251">
              <w:rPr>
                <w:rFonts w:cstheme="minorHAnsi"/>
                <w:lang w:val="en-GB"/>
              </w:rPr>
              <w:t>Entry rate</w:t>
            </w:r>
          </w:p>
        </w:tc>
        <w:tc>
          <w:tcPr>
            <w:tcW w:w="2167" w:type="dxa"/>
          </w:tcPr>
          <w:p w14:paraId="2D596F46" w14:textId="77777777" w:rsidR="001E44E7" w:rsidRPr="00433251" w:rsidRDefault="001E44E7" w:rsidP="00600EFB">
            <w:pPr>
              <w:rPr>
                <w:rFonts w:cstheme="minorHAnsi"/>
                <w:lang w:val="en-GB"/>
              </w:rPr>
            </w:pPr>
            <w:r w:rsidRPr="00433251">
              <w:rPr>
                <w:rFonts w:cstheme="minorHAnsi"/>
                <w:lang w:val="en-GB"/>
              </w:rPr>
              <w:t>4.3e-5 [2.3e-5,6.5e-5]</w:t>
            </w:r>
          </w:p>
        </w:tc>
        <w:tc>
          <w:tcPr>
            <w:tcW w:w="1937" w:type="dxa"/>
          </w:tcPr>
          <w:p w14:paraId="5B0EA745" w14:textId="77777777" w:rsidR="001E44E7" w:rsidRPr="00433251" w:rsidRDefault="001E44E7" w:rsidP="00600EFB">
            <w:pPr>
              <w:rPr>
                <w:rFonts w:cstheme="minorHAnsi"/>
                <w:lang w:val="en-GB"/>
              </w:rPr>
            </w:pPr>
            <w:r w:rsidRPr="00433251">
              <w:rPr>
                <w:rFonts w:cstheme="minorHAnsi"/>
                <w:lang w:val="en-GB"/>
              </w:rPr>
              <w:t>Calibration</w:t>
            </w:r>
          </w:p>
        </w:tc>
      </w:tr>
      <w:tr w:rsidR="001E44E7" w:rsidRPr="00433251" w14:paraId="4DBC6B24" w14:textId="77777777" w:rsidTr="001E44E7">
        <w:trPr>
          <w:trHeight w:val="90"/>
        </w:trPr>
        <w:tc>
          <w:tcPr>
            <w:tcW w:w="1609" w:type="dxa"/>
            <w:vMerge/>
          </w:tcPr>
          <w:p w14:paraId="4F87A26C" w14:textId="77777777" w:rsidR="001E44E7" w:rsidRPr="00433251" w:rsidRDefault="001E44E7" w:rsidP="00600EFB">
            <w:pPr>
              <w:rPr>
                <w:rFonts w:cstheme="minorHAnsi"/>
                <w:lang w:val="en-GB"/>
              </w:rPr>
            </w:pPr>
          </w:p>
        </w:tc>
        <w:tc>
          <w:tcPr>
            <w:tcW w:w="1363" w:type="dxa"/>
          </w:tcPr>
          <w:p w14:paraId="216EEED7" w14:textId="77777777" w:rsidR="001E44E7" w:rsidRPr="00433251" w:rsidRDefault="001E44E7" w:rsidP="00600EFB">
            <w:pPr>
              <w:rPr>
                <w:rFonts w:cstheme="minorHAnsi"/>
                <w:lang w:val="en-GB"/>
              </w:rPr>
            </w:pPr>
            <w:r w:rsidRPr="00433251">
              <w:rPr>
                <w:rFonts w:cstheme="minorHAnsi"/>
                <w:lang w:val="en-GB"/>
              </w:rPr>
              <w:t>Outgoing</w:t>
            </w:r>
          </w:p>
        </w:tc>
        <w:tc>
          <w:tcPr>
            <w:tcW w:w="2552" w:type="dxa"/>
          </w:tcPr>
          <w:p w14:paraId="37CD6D45" w14:textId="77777777" w:rsidR="001E44E7" w:rsidRPr="00433251" w:rsidRDefault="001E44E7" w:rsidP="00600EFB">
            <w:pPr>
              <w:rPr>
                <w:rFonts w:cstheme="minorHAnsi"/>
                <w:lang w:val="en-GB"/>
              </w:rPr>
            </w:pPr>
            <w:r w:rsidRPr="00433251">
              <w:rPr>
                <w:rFonts w:cstheme="minorHAnsi"/>
                <w:lang w:val="en-GB"/>
              </w:rPr>
              <w:t>Exit rate</w:t>
            </w:r>
          </w:p>
        </w:tc>
        <w:tc>
          <w:tcPr>
            <w:tcW w:w="2167" w:type="dxa"/>
          </w:tcPr>
          <w:p w14:paraId="5EE5CEA0" w14:textId="77777777" w:rsidR="001E44E7" w:rsidRPr="00433251" w:rsidRDefault="001E44E7" w:rsidP="00600EFB">
            <w:pPr>
              <w:rPr>
                <w:rFonts w:cstheme="minorHAnsi"/>
                <w:lang w:val="en-GB"/>
              </w:rPr>
            </w:pPr>
            <w:r w:rsidRPr="00433251">
              <w:rPr>
                <w:rFonts w:cstheme="minorHAnsi"/>
                <w:lang w:val="en-GB"/>
              </w:rPr>
              <w:t>0.00021 [0.00015,0.00034]</w:t>
            </w:r>
          </w:p>
        </w:tc>
        <w:tc>
          <w:tcPr>
            <w:tcW w:w="1937" w:type="dxa"/>
          </w:tcPr>
          <w:p w14:paraId="3134B2CF" w14:textId="77777777" w:rsidR="001E44E7" w:rsidRPr="00433251" w:rsidRDefault="001E44E7" w:rsidP="00600EFB">
            <w:pPr>
              <w:rPr>
                <w:rFonts w:cstheme="minorHAnsi"/>
                <w:lang w:val="en-GB"/>
              </w:rPr>
            </w:pPr>
            <w:r w:rsidRPr="00433251">
              <w:rPr>
                <w:rFonts w:cstheme="minorHAnsi"/>
                <w:lang w:val="en-GB"/>
              </w:rPr>
              <w:t>Calibration</w:t>
            </w:r>
          </w:p>
        </w:tc>
      </w:tr>
      <w:tr w:rsidR="001E44E7" w:rsidRPr="00433251" w14:paraId="476F0C98" w14:textId="77777777" w:rsidTr="001E44E7">
        <w:trPr>
          <w:trHeight w:val="90"/>
        </w:trPr>
        <w:tc>
          <w:tcPr>
            <w:tcW w:w="1609" w:type="dxa"/>
            <w:vMerge/>
          </w:tcPr>
          <w:p w14:paraId="506729E8" w14:textId="77777777" w:rsidR="001E44E7" w:rsidRPr="00433251" w:rsidRDefault="001E44E7" w:rsidP="00600EFB">
            <w:pPr>
              <w:rPr>
                <w:rFonts w:cstheme="minorHAnsi"/>
                <w:lang w:val="en-GB"/>
              </w:rPr>
            </w:pPr>
          </w:p>
        </w:tc>
        <w:tc>
          <w:tcPr>
            <w:tcW w:w="1363" w:type="dxa"/>
            <w:vMerge w:val="restart"/>
          </w:tcPr>
          <w:p w14:paraId="20BF7D5A" w14:textId="18F5A540" w:rsidR="001E44E7" w:rsidRPr="00433251" w:rsidRDefault="00B44A0D" w:rsidP="00600EFB">
            <w:pPr>
              <w:rPr>
                <w:rFonts w:cstheme="minorHAnsi"/>
                <w:lang w:val="en-GB"/>
              </w:rPr>
            </w:pPr>
            <w:r>
              <w:t>ε</w:t>
            </w:r>
          </w:p>
        </w:tc>
        <w:tc>
          <w:tcPr>
            <w:tcW w:w="2552" w:type="dxa"/>
            <w:vMerge w:val="restart"/>
          </w:tcPr>
          <w:p w14:paraId="6D38B7E4" w14:textId="77777777" w:rsidR="001E44E7" w:rsidRPr="00433251" w:rsidRDefault="001E44E7" w:rsidP="00600EFB">
            <w:pPr>
              <w:rPr>
                <w:rFonts w:cstheme="minorHAnsi"/>
                <w:lang w:val="en-GB"/>
              </w:rPr>
            </w:pPr>
            <w:r w:rsidRPr="00433251">
              <w:rPr>
                <w:rFonts w:cstheme="minorHAnsi"/>
                <w:lang w:val="en-GB"/>
              </w:rPr>
              <w:t xml:space="preserve">Aging rate </w:t>
            </w:r>
          </w:p>
        </w:tc>
        <w:tc>
          <w:tcPr>
            <w:tcW w:w="2167" w:type="dxa"/>
          </w:tcPr>
          <w:p w14:paraId="33F389A2" w14:textId="77777777" w:rsidR="001E44E7" w:rsidRPr="00433251" w:rsidRDefault="001E44E7" w:rsidP="00600EFB">
            <w:pPr>
              <w:rPr>
                <w:rFonts w:cstheme="minorHAnsi"/>
                <w:lang w:val="en-GB"/>
              </w:rPr>
            </w:pPr>
            <w:r w:rsidRPr="00433251">
              <w:rPr>
                <w:rFonts w:cstheme="minorHAnsi"/>
                <w:lang w:val="en-GB"/>
              </w:rPr>
              <w:t>1/90 (0-3 and 3-6 months old)</w:t>
            </w:r>
          </w:p>
        </w:tc>
        <w:tc>
          <w:tcPr>
            <w:tcW w:w="1937" w:type="dxa"/>
            <w:vMerge w:val="restart"/>
          </w:tcPr>
          <w:p w14:paraId="20F3E398" w14:textId="77777777" w:rsidR="001E44E7" w:rsidRPr="00433251" w:rsidRDefault="001E44E7" w:rsidP="00600EFB">
            <w:pPr>
              <w:rPr>
                <w:rFonts w:cstheme="minorHAnsi"/>
                <w:lang w:val="en-GB"/>
              </w:rPr>
            </w:pPr>
            <w:r w:rsidRPr="00433251">
              <w:rPr>
                <w:rFonts w:cstheme="minorHAnsi"/>
                <w:lang w:val="en-GB"/>
              </w:rPr>
              <w:t>Fixed</w:t>
            </w:r>
          </w:p>
        </w:tc>
      </w:tr>
      <w:tr w:rsidR="001E44E7" w:rsidRPr="00433251" w14:paraId="4D9CBA14" w14:textId="77777777" w:rsidTr="001E44E7">
        <w:trPr>
          <w:trHeight w:val="90"/>
        </w:trPr>
        <w:tc>
          <w:tcPr>
            <w:tcW w:w="1609" w:type="dxa"/>
            <w:vMerge/>
          </w:tcPr>
          <w:p w14:paraId="0A42FCE9" w14:textId="77777777" w:rsidR="001E44E7" w:rsidRPr="00433251" w:rsidRDefault="001E44E7" w:rsidP="00600EFB">
            <w:pPr>
              <w:rPr>
                <w:rFonts w:cstheme="minorHAnsi"/>
                <w:lang w:val="en-GB"/>
              </w:rPr>
            </w:pPr>
          </w:p>
        </w:tc>
        <w:tc>
          <w:tcPr>
            <w:tcW w:w="1363" w:type="dxa"/>
            <w:vMerge/>
          </w:tcPr>
          <w:p w14:paraId="46ED3A61" w14:textId="77777777" w:rsidR="001E44E7" w:rsidRPr="00433251" w:rsidRDefault="001E44E7" w:rsidP="00600EFB">
            <w:pPr>
              <w:rPr>
                <w:rFonts w:cstheme="minorHAnsi"/>
                <w:lang w:val="en-GB"/>
              </w:rPr>
            </w:pPr>
          </w:p>
        </w:tc>
        <w:tc>
          <w:tcPr>
            <w:tcW w:w="2552" w:type="dxa"/>
            <w:vMerge/>
          </w:tcPr>
          <w:p w14:paraId="15E57CDF" w14:textId="77777777" w:rsidR="001E44E7" w:rsidRPr="00433251" w:rsidRDefault="001E44E7" w:rsidP="00600EFB">
            <w:pPr>
              <w:rPr>
                <w:rFonts w:cstheme="minorHAnsi"/>
                <w:lang w:val="en-GB"/>
              </w:rPr>
            </w:pPr>
          </w:p>
        </w:tc>
        <w:tc>
          <w:tcPr>
            <w:tcW w:w="2167" w:type="dxa"/>
          </w:tcPr>
          <w:p w14:paraId="1FF4447D" w14:textId="77777777" w:rsidR="001E44E7" w:rsidRPr="00433251" w:rsidRDefault="001E44E7" w:rsidP="00600EFB">
            <w:pPr>
              <w:rPr>
                <w:rFonts w:cstheme="minorHAnsi"/>
                <w:lang w:val="en-GB"/>
              </w:rPr>
            </w:pPr>
            <w:r w:rsidRPr="00433251">
              <w:rPr>
                <w:rFonts w:cstheme="minorHAnsi"/>
                <w:lang w:val="en-GB"/>
              </w:rPr>
              <w:t>1/180 (6-12 month)</w:t>
            </w:r>
          </w:p>
        </w:tc>
        <w:tc>
          <w:tcPr>
            <w:tcW w:w="1937" w:type="dxa"/>
            <w:vMerge/>
          </w:tcPr>
          <w:p w14:paraId="78F44234" w14:textId="77777777" w:rsidR="001E44E7" w:rsidRPr="00433251" w:rsidRDefault="001E44E7" w:rsidP="00600EFB">
            <w:pPr>
              <w:rPr>
                <w:rFonts w:cstheme="minorHAnsi"/>
                <w:lang w:val="en-GB"/>
              </w:rPr>
            </w:pPr>
          </w:p>
        </w:tc>
      </w:tr>
      <w:tr w:rsidR="001E44E7" w:rsidRPr="00433251" w14:paraId="78D387E2" w14:textId="77777777" w:rsidTr="001E44E7">
        <w:trPr>
          <w:trHeight w:val="90"/>
        </w:trPr>
        <w:tc>
          <w:tcPr>
            <w:tcW w:w="1609" w:type="dxa"/>
            <w:vMerge/>
          </w:tcPr>
          <w:p w14:paraId="109B6E68" w14:textId="77777777" w:rsidR="001E44E7" w:rsidRPr="00433251" w:rsidRDefault="001E44E7" w:rsidP="00600EFB">
            <w:pPr>
              <w:rPr>
                <w:rFonts w:cstheme="minorHAnsi"/>
                <w:lang w:val="en-GB"/>
              </w:rPr>
            </w:pPr>
          </w:p>
        </w:tc>
        <w:tc>
          <w:tcPr>
            <w:tcW w:w="1363" w:type="dxa"/>
            <w:vMerge/>
          </w:tcPr>
          <w:p w14:paraId="35E736CB" w14:textId="77777777" w:rsidR="001E44E7" w:rsidRPr="00433251" w:rsidRDefault="001E44E7" w:rsidP="00600EFB">
            <w:pPr>
              <w:rPr>
                <w:rFonts w:cstheme="minorHAnsi"/>
                <w:lang w:val="en-GB"/>
              </w:rPr>
            </w:pPr>
          </w:p>
        </w:tc>
        <w:tc>
          <w:tcPr>
            <w:tcW w:w="2552" w:type="dxa"/>
            <w:vMerge/>
          </w:tcPr>
          <w:p w14:paraId="022DC744" w14:textId="77777777" w:rsidR="001E44E7" w:rsidRPr="00433251" w:rsidRDefault="001E44E7" w:rsidP="00600EFB">
            <w:pPr>
              <w:rPr>
                <w:rFonts w:cstheme="minorHAnsi"/>
                <w:lang w:val="en-GB"/>
              </w:rPr>
            </w:pPr>
          </w:p>
        </w:tc>
        <w:tc>
          <w:tcPr>
            <w:tcW w:w="2167" w:type="dxa"/>
          </w:tcPr>
          <w:p w14:paraId="3142340D" w14:textId="77777777" w:rsidR="001E44E7" w:rsidRPr="00433251" w:rsidRDefault="001E44E7" w:rsidP="00600EFB">
            <w:pPr>
              <w:rPr>
                <w:rFonts w:cstheme="minorHAnsi"/>
                <w:lang w:val="en-GB"/>
              </w:rPr>
            </w:pPr>
            <w:r w:rsidRPr="00433251">
              <w:rPr>
                <w:rFonts w:cstheme="minorHAnsi"/>
                <w:lang w:val="en-GB"/>
              </w:rPr>
              <w:t>1/365 &gt;12 months</w:t>
            </w:r>
          </w:p>
        </w:tc>
        <w:tc>
          <w:tcPr>
            <w:tcW w:w="1937" w:type="dxa"/>
            <w:vMerge/>
          </w:tcPr>
          <w:p w14:paraId="53D3A0FA" w14:textId="77777777" w:rsidR="001E44E7" w:rsidRPr="00433251" w:rsidRDefault="001E44E7" w:rsidP="00600EFB">
            <w:pPr>
              <w:rPr>
                <w:rFonts w:cstheme="minorHAnsi"/>
                <w:lang w:val="en-GB"/>
              </w:rPr>
            </w:pPr>
          </w:p>
        </w:tc>
      </w:tr>
      <w:tr w:rsidR="001E44E7" w:rsidRPr="00433251" w14:paraId="02F008A3" w14:textId="77777777" w:rsidTr="001E44E7">
        <w:tc>
          <w:tcPr>
            <w:tcW w:w="1609" w:type="dxa"/>
            <w:vMerge w:val="restart"/>
            <w:textDirection w:val="btLr"/>
          </w:tcPr>
          <w:p w14:paraId="6610ECF9" w14:textId="77777777" w:rsidR="001E44E7" w:rsidRPr="00433251" w:rsidRDefault="001E44E7" w:rsidP="00600EFB">
            <w:pPr>
              <w:ind w:left="113" w:right="113"/>
              <w:rPr>
                <w:rFonts w:cstheme="minorHAnsi"/>
                <w:lang w:val="en-GB"/>
              </w:rPr>
            </w:pPr>
            <w:r w:rsidRPr="00433251">
              <w:rPr>
                <w:rFonts w:cstheme="minorHAnsi"/>
                <w:lang w:val="en-GB"/>
              </w:rPr>
              <w:t>Epidemiological parameters</w:t>
            </w:r>
          </w:p>
        </w:tc>
        <w:tc>
          <w:tcPr>
            <w:tcW w:w="1363" w:type="dxa"/>
          </w:tcPr>
          <w:p w14:paraId="326000AC" w14:textId="0003DE99" w:rsidR="001E44E7" w:rsidRPr="00433251" w:rsidRDefault="00B44A0D" w:rsidP="00600EFB">
            <w:pPr>
              <w:rPr>
                <w:rFonts w:cstheme="minorHAnsi"/>
                <w:lang w:val="en-GB"/>
              </w:rPr>
            </w:pPr>
            <w:r>
              <w:t>ρ</w:t>
            </w:r>
          </w:p>
        </w:tc>
        <w:tc>
          <w:tcPr>
            <w:tcW w:w="2552" w:type="dxa"/>
          </w:tcPr>
          <w:p w14:paraId="280695C3" w14:textId="77777777" w:rsidR="001E44E7" w:rsidRPr="00433251" w:rsidRDefault="001E44E7" w:rsidP="00600EFB">
            <w:pPr>
              <w:rPr>
                <w:rFonts w:cstheme="minorHAnsi"/>
                <w:lang w:val="en-GB"/>
              </w:rPr>
            </w:pPr>
            <w:r w:rsidRPr="00433251">
              <w:rPr>
                <w:rFonts w:cstheme="minorHAnsi"/>
                <w:lang w:val="en-GB"/>
              </w:rPr>
              <w:t>Fraction of young with passive immunity (</w:t>
            </w:r>
            <w:r w:rsidRPr="00B1430E">
              <w:rPr>
                <w:rFonts w:cstheme="minorHAnsi"/>
                <w:i/>
                <w:lang w:val="en-GB"/>
              </w:rPr>
              <w:t>i.e.</w:t>
            </w:r>
            <w:r w:rsidRPr="00433251">
              <w:rPr>
                <w:rFonts w:cstheme="minorHAnsi"/>
                <w:lang w:val="en-GB"/>
              </w:rPr>
              <w:t xml:space="preserve"> maternal antibodies)</w:t>
            </w:r>
          </w:p>
        </w:tc>
        <w:tc>
          <w:tcPr>
            <w:tcW w:w="2167" w:type="dxa"/>
          </w:tcPr>
          <w:p w14:paraId="1FAC1410" w14:textId="77777777" w:rsidR="001E44E7" w:rsidRPr="00433251" w:rsidRDefault="001E44E7" w:rsidP="00600EFB">
            <w:pPr>
              <w:rPr>
                <w:rFonts w:cstheme="minorHAnsi"/>
                <w:lang w:val="en-GB"/>
              </w:rPr>
            </w:pPr>
            <w:r w:rsidRPr="00433251">
              <w:rPr>
                <w:rFonts w:cstheme="minorHAnsi"/>
                <w:lang w:val="en-GB"/>
              </w:rPr>
              <w:t>0.92</w:t>
            </w:r>
          </w:p>
        </w:tc>
        <w:tc>
          <w:tcPr>
            <w:tcW w:w="1937" w:type="dxa"/>
          </w:tcPr>
          <w:p w14:paraId="278A6276" w14:textId="77777777" w:rsidR="001E44E7" w:rsidRPr="00433251" w:rsidRDefault="001E44E7" w:rsidP="00600EFB">
            <w:pPr>
              <w:rPr>
                <w:rFonts w:cstheme="minorHAnsi"/>
                <w:lang w:val="en-GB"/>
              </w:rPr>
            </w:pPr>
            <w:r w:rsidRPr="00433251">
              <w:rPr>
                <w:rFonts w:cstheme="minorHAnsi"/>
                <w:lang w:val="en-GB"/>
              </w:rPr>
              <w:t>Literature</w:t>
            </w:r>
            <w:r w:rsidRPr="00433251">
              <w:rPr>
                <w:rFonts w:cstheme="minorHAnsi"/>
                <w:lang w:val="en-GB"/>
              </w:rPr>
              <w:fldChar w:fldCharType="begin"/>
            </w:r>
            <w:r w:rsidRPr="00433251">
              <w:rPr>
                <w:rFonts w:cstheme="minorHAnsi"/>
                <w:lang w:val="en-GB"/>
              </w:rPr>
              <w:instrText xml:space="preserve"> ADDIN ZOTERO_ITEM CSL_CITATION {"citationID":"je2BRF35","properties":{"formattedCitation":"(28,30)","plainCitation":"(28,30)","noteIndex":0},"citationItems":[{"id":237,"uris":["http://zotero.org/users/4613804/items/6I868IFK"],"uri":["http://zotero.org/users/4613804/items/6I868IFK"],"itemData":{"id":237,"type":"article-journal","title":"Modelling the Dynamics of Post-Vaccination Immunity Rate in a Population of Sahelian Sheep after a Vaccination Campaign against Peste des Petits Ruminants Virus","container-title":"PLOS ONE","page":"e0161769","volume":"11","issue":"9","source":"PLoS Journals","abstract":"Background Peste des petits ruminants (PPR) is an acute infectious viral disease affecting domestic small ruminants (sheep and goats) and some wild ruminant species in Africa, the Middle East and Asia. A global PPR control strategy based on mass vaccination—in regions where PPR is endemic—was recently designed and launched by international organizations. Sahelian Africa is one of the most challenging endemic regions for PPR control. Indeed, strong seasonal and annual variations in mating, mortality and offtake rates result in a complex population dynamics which might in turn alter the population post-vaccination immunity rate (PIR), and thus be important to consider for the implementation of vaccination campaigns. Methods In a context of preventive vaccination in epidemiological units without PPR virus transmission, we developed a predictive, dynamic model based on a seasonal matrix population model to simulate PIR dynamics. This model was mostly calibrated with demographic and epidemiological parameters estimated from a long-term follow-up survey of small ruminant herds. We used it to simulate the PIR dynamics following a single PPR vaccination campaign in a Sahelian sheep population, and to assess the effects of (i) changes in offtake rate related to the Tabaski (a Muslim feast following the lunar calendar), and (ii) the date of implementation of the vaccination campaigns. Results The persistence of PIR was not influenced by the Tabaski date. Decreasing the vaccination coverage from 100 to 80% had limited effects on PIR. However, lower vaccination coverage did not provide sufficient immunity rates (PIR &lt; 70%). As a trade-off between model predictions and other considerations like animal physiological status, and suitability for livestock farmers, we would suggest to implement vaccination campaigns in September-October. This model is a first step towards better decision support for animal health authorities. It might be adapted to other species, livestock farming systems or diseases.","DOI":"10.1371/journal.pone.0161769","ISSN":"1932-6203","journalAbbreviation":"PLOS ONE","language":"en","author":[{"family":"Hammami","given":"Pachka"},{"family":"Lancelot","given":"Renaud"},{"family":"Lesnoff","given":"Matthieu"}],"issued":{"date-parts":[["2016",9,7]]}}},{"id":89,"uris":["http://zotero.org/users/4613804/items/Y6WSP2AQ"],"uri":["http://zotero.org/users/4613804/items/Y6WSP2AQ"],"itemData":{"id":89,"type":"article-journal","title":"Assessment of the duration of maternal antibodies specific to the homologous peste des petits ruminant vaccine “Nigeria 75/1\" in Djallonké lambs","container-title":"Biokemistri","volume":"18","issue":"2","source":"www.ajol.info","abstract":"The duration of maternal immunity was determined from 112 lambs born from vaccinated ewes with the homologous PPR vaccine “Nigeria 75/1\" at day 90 and day 120 of pregnancy. Serum samples were collected from lambs starting from day 15 to day 150 after birth and analyzedusing the PPR specific competitive ELISA. At day 75 and day 90 after birth, 70% and 95% of these lambs respectively became negative. So it is recommended to vaccinate lambs against PPR in the interval from 75 to 90 days after birth.","URL":"https://www.ajol.info/index.php/biokem/article/view/56408","DOI":"10.4314/biokem.v18i2.56408","ISSN":"0795-8080","language":"en","author":[{"family":"Bodjo","given":"S. C."},{"family":"Couacy-Hymann","given":"E."},{"family":"Koffi","given":"M. Y."},{"family":"Danho","given":"T."}],"issued":{"date-parts":[["2006",1,1]]},"accessed":{"date-parts":[["2018",12,3]]}}}],"schema":"https://github.com/citation-style-language/schema/raw/master/csl-citation.json"} </w:instrText>
            </w:r>
            <w:r w:rsidRPr="00433251">
              <w:rPr>
                <w:rFonts w:cstheme="minorHAnsi"/>
                <w:lang w:val="en-GB"/>
              </w:rPr>
              <w:fldChar w:fldCharType="separate"/>
            </w:r>
            <w:r w:rsidRPr="00433251">
              <w:rPr>
                <w:rFonts w:cstheme="minorHAnsi"/>
                <w:lang w:val="en-GB"/>
              </w:rPr>
              <w:t>(28,30)</w:t>
            </w:r>
            <w:r w:rsidRPr="00433251">
              <w:rPr>
                <w:rFonts w:cstheme="minorHAnsi"/>
                <w:lang w:val="en-GB"/>
              </w:rPr>
              <w:fldChar w:fldCharType="end"/>
            </w:r>
          </w:p>
        </w:tc>
      </w:tr>
      <w:tr w:rsidR="001E44E7" w:rsidRPr="00433251" w14:paraId="6817DE4F" w14:textId="77777777" w:rsidTr="001E44E7">
        <w:tc>
          <w:tcPr>
            <w:tcW w:w="1609" w:type="dxa"/>
            <w:vMerge/>
          </w:tcPr>
          <w:p w14:paraId="4D87F86E" w14:textId="77777777" w:rsidR="001E44E7" w:rsidRPr="00433251" w:rsidRDefault="001E44E7" w:rsidP="00600EFB">
            <w:pPr>
              <w:rPr>
                <w:rFonts w:cstheme="minorHAnsi"/>
                <w:lang w:val="en-GB"/>
              </w:rPr>
            </w:pPr>
          </w:p>
        </w:tc>
        <w:tc>
          <w:tcPr>
            <w:tcW w:w="1363" w:type="dxa"/>
          </w:tcPr>
          <w:p w14:paraId="74527C09" w14:textId="77777777" w:rsidR="001E44E7" w:rsidRPr="00433251" w:rsidRDefault="001E44E7" w:rsidP="00600EFB">
            <w:pPr>
              <w:rPr>
                <w:rFonts w:cstheme="minorHAnsi"/>
                <w:lang w:val="en-GB"/>
              </w:rPr>
            </w:pPr>
            <w:r w:rsidRPr="00433251">
              <w:rPr>
                <w:rFonts w:cstheme="minorHAnsi"/>
                <w:lang w:val="en-GB"/>
              </w:rPr>
              <w:t>1/τ</w:t>
            </w:r>
          </w:p>
        </w:tc>
        <w:tc>
          <w:tcPr>
            <w:tcW w:w="2552" w:type="dxa"/>
          </w:tcPr>
          <w:p w14:paraId="1B6D6194" w14:textId="77777777" w:rsidR="001E44E7" w:rsidRPr="00433251" w:rsidRDefault="001E44E7" w:rsidP="00600EFB">
            <w:pPr>
              <w:rPr>
                <w:rFonts w:cstheme="minorHAnsi"/>
                <w:lang w:val="en-GB"/>
              </w:rPr>
            </w:pPr>
            <w:r w:rsidRPr="00433251">
              <w:rPr>
                <w:rFonts w:cstheme="minorHAnsi"/>
                <w:lang w:val="en-GB"/>
              </w:rPr>
              <w:t>Passive immunity wane time</w:t>
            </w:r>
          </w:p>
        </w:tc>
        <w:tc>
          <w:tcPr>
            <w:tcW w:w="2167" w:type="dxa"/>
          </w:tcPr>
          <w:p w14:paraId="4E452B6E" w14:textId="77777777" w:rsidR="001E44E7" w:rsidRPr="00433251" w:rsidRDefault="001E44E7" w:rsidP="00600EFB">
            <w:pPr>
              <w:rPr>
                <w:rFonts w:cstheme="minorHAnsi"/>
                <w:lang w:val="en-GB"/>
              </w:rPr>
            </w:pPr>
            <w:r w:rsidRPr="00433251">
              <w:rPr>
                <w:rFonts w:cstheme="minorHAnsi"/>
                <w:lang w:val="en-GB"/>
              </w:rPr>
              <w:t>90 days</w:t>
            </w:r>
          </w:p>
        </w:tc>
        <w:tc>
          <w:tcPr>
            <w:tcW w:w="1937" w:type="dxa"/>
          </w:tcPr>
          <w:p w14:paraId="4E9FEB6F" w14:textId="77777777" w:rsidR="001E44E7" w:rsidRPr="00433251" w:rsidRDefault="001E44E7" w:rsidP="00600EFB">
            <w:pPr>
              <w:rPr>
                <w:rFonts w:cstheme="minorHAnsi"/>
                <w:lang w:val="en-GB"/>
              </w:rPr>
            </w:pPr>
            <w:r w:rsidRPr="00433251">
              <w:rPr>
                <w:rFonts w:cstheme="minorHAnsi"/>
                <w:lang w:val="en-GB"/>
              </w:rPr>
              <w:t>Literature</w:t>
            </w:r>
            <w:r w:rsidRPr="00433251">
              <w:rPr>
                <w:rFonts w:cstheme="minorHAnsi"/>
                <w:lang w:val="en-GB"/>
              </w:rPr>
              <w:fldChar w:fldCharType="begin"/>
            </w:r>
            <w:r w:rsidRPr="00433251">
              <w:rPr>
                <w:rFonts w:cstheme="minorHAnsi"/>
                <w:lang w:val="en-GB"/>
              </w:rPr>
              <w:instrText xml:space="preserve"> ADDIN ZOTERO_ITEM CSL_CITATION {"citationID":"0iQsMVRh","properties":{"formattedCitation":"(30)","plainCitation":"(30)","noteIndex":0},"citationItems":[{"id":237,"uris":["http://zotero.org/users/4613804/items/6I868IFK"],"uri":["http://zotero.org/users/4613804/items/6I868IFK"],"itemData":{"id":237,"type":"article-journal","title":"Modelling the Dynamics of Post-Vaccination Immunity Rate in a Population of Sahelian Sheep after a Vaccination Campaign against Peste des Petits Ruminants Virus","container-title":"PLOS ONE","page":"e0161769","volume":"11","issue":"9","source":"PLoS Journals","abstract":"Background Peste des petits ruminants (PPR) is an acute infectious viral disease affecting domestic small ruminants (sheep and goats) and some wild ruminant species in Africa, the Middle East and Asia. A global PPR control strategy based on mass vaccination—in regions where PPR is endemic—was recently designed and launched by international organizations. Sahelian Africa is one of the most challenging endemic regions for PPR control. Indeed, strong seasonal and annual variations in mating, mortality and offtake rates result in a complex population dynamics which might in turn alter the population post-vaccination immunity rate (PIR), and thus be important to consider for the implementation of vaccination campaigns. Methods In a context of preventive vaccination in epidemiological units without PPR virus transmission, we developed a predictive, dynamic model based on a seasonal matrix population model to simulate PIR dynamics. This model was mostly calibrated with demographic and epidemiological parameters estimated from a long-term follow-up survey of small ruminant herds. We used it to simulate the PIR dynamics following a single PPR vaccination campaign in a Sahelian sheep population, and to assess the effects of (i) changes in offtake rate related to the Tabaski (a Muslim feast following the lunar calendar), and (ii) the date of implementation of the vaccination campaigns. Results The persistence of PIR was not influenced by the Tabaski date. Decreasing the vaccination coverage from 100 to 80% had limited effects on PIR. However, lower vaccination coverage did not provide sufficient immunity rates (PIR &lt; 70%). As a trade-off between model predictions and other considerations like animal physiological status, and suitability for livestock farmers, we would suggest to implement vaccination campaigns in September-October. This model is a first step towards better decision support for animal health authorities. It might be adapted to other species, livestock farming systems or diseases.","DOI":"10.1371/journal.pone.0161769","ISSN":"1932-6203","journalAbbreviation":"PLOS ONE","language":"en","author":[{"family":"Hammami","given":"Pachka"},{"family":"Lancelot","given":"Renaud"},{"family":"Lesnoff","given":"Matthieu"}],"issued":{"date-parts":[["2016",9,7]]}}}],"schema":"https://github.com/citation-style-language/schema/raw/master/csl-citation.json"} </w:instrText>
            </w:r>
            <w:r w:rsidRPr="00433251">
              <w:rPr>
                <w:rFonts w:cstheme="minorHAnsi"/>
                <w:lang w:val="en-GB"/>
              </w:rPr>
              <w:fldChar w:fldCharType="separate"/>
            </w:r>
            <w:r w:rsidRPr="00433251">
              <w:rPr>
                <w:rFonts w:cstheme="minorHAnsi"/>
                <w:lang w:val="en-GB"/>
              </w:rPr>
              <w:t>(30)</w:t>
            </w:r>
            <w:r w:rsidRPr="00433251">
              <w:rPr>
                <w:rFonts w:cstheme="minorHAnsi"/>
                <w:lang w:val="en-GB"/>
              </w:rPr>
              <w:fldChar w:fldCharType="end"/>
            </w:r>
          </w:p>
        </w:tc>
      </w:tr>
      <w:tr w:rsidR="001E44E7" w:rsidRPr="00433251" w14:paraId="41BF660A" w14:textId="77777777" w:rsidTr="001E44E7">
        <w:tc>
          <w:tcPr>
            <w:tcW w:w="1609" w:type="dxa"/>
            <w:vMerge/>
          </w:tcPr>
          <w:p w14:paraId="76B8667F" w14:textId="77777777" w:rsidR="001E44E7" w:rsidRPr="00433251" w:rsidRDefault="001E44E7" w:rsidP="00600EFB">
            <w:pPr>
              <w:rPr>
                <w:rFonts w:cstheme="minorHAnsi"/>
                <w:lang w:val="en-GB"/>
              </w:rPr>
            </w:pPr>
          </w:p>
        </w:tc>
        <w:tc>
          <w:tcPr>
            <w:tcW w:w="1363" w:type="dxa"/>
          </w:tcPr>
          <w:p w14:paraId="1B410243" w14:textId="77777777" w:rsidR="001E44E7" w:rsidRPr="00433251" w:rsidRDefault="001E44E7" w:rsidP="00600EFB">
            <w:pPr>
              <w:rPr>
                <w:rFonts w:cstheme="minorHAnsi"/>
                <w:lang w:val="en-GB"/>
              </w:rPr>
            </w:pPr>
            <w:r w:rsidRPr="00433251">
              <w:rPr>
                <w:rFonts w:cstheme="minorHAnsi"/>
                <w:lang w:val="en-GB"/>
              </w:rPr>
              <w:t>1/ν</w:t>
            </w:r>
          </w:p>
        </w:tc>
        <w:tc>
          <w:tcPr>
            <w:tcW w:w="2552" w:type="dxa"/>
          </w:tcPr>
          <w:p w14:paraId="28007C03" w14:textId="77777777" w:rsidR="001E44E7" w:rsidRPr="00433251" w:rsidRDefault="001E44E7" w:rsidP="00600EFB">
            <w:pPr>
              <w:rPr>
                <w:rFonts w:cstheme="minorHAnsi"/>
                <w:lang w:val="en-GB"/>
              </w:rPr>
            </w:pPr>
            <w:r w:rsidRPr="00433251">
              <w:rPr>
                <w:rFonts w:cstheme="minorHAnsi"/>
                <w:lang w:val="en-GB"/>
              </w:rPr>
              <w:t>Incubation period</w:t>
            </w:r>
            <w:bookmarkStart w:id="4" w:name="_GoBack"/>
            <w:bookmarkEnd w:id="4"/>
          </w:p>
        </w:tc>
        <w:tc>
          <w:tcPr>
            <w:tcW w:w="2167" w:type="dxa"/>
          </w:tcPr>
          <w:p w14:paraId="35A2575B" w14:textId="77777777" w:rsidR="001E44E7" w:rsidRPr="00433251" w:rsidRDefault="001E44E7" w:rsidP="00600EFB">
            <w:pPr>
              <w:rPr>
                <w:rFonts w:cstheme="minorHAnsi"/>
                <w:lang w:val="en-GB"/>
              </w:rPr>
            </w:pPr>
            <w:r w:rsidRPr="00433251">
              <w:rPr>
                <w:rFonts w:cstheme="minorHAnsi"/>
                <w:lang w:val="en-GB"/>
              </w:rPr>
              <w:t>5 days [4;6]</w:t>
            </w:r>
          </w:p>
        </w:tc>
        <w:tc>
          <w:tcPr>
            <w:tcW w:w="1937" w:type="dxa"/>
          </w:tcPr>
          <w:p w14:paraId="2FFE16DA" w14:textId="77777777" w:rsidR="001E44E7" w:rsidRPr="00433251" w:rsidRDefault="001E44E7" w:rsidP="00600EFB">
            <w:pPr>
              <w:rPr>
                <w:rFonts w:cstheme="minorHAnsi"/>
                <w:lang w:val="en-GB"/>
              </w:rPr>
            </w:pPr>
            <w:r w:rsidRPr="00433251">
              <w:rPr>
                <w:rFonts w:cstheme="minorHAnsi"/>
                <w:lang w:val="en-GB"/>
              </w:rPr>
              <w:t xml:space="preserve">Literature </w:t>
            </w:r>
            <w:r w:rsidRPr="00433251">
              <w:rPr>
                <w:rFonts w:cstheme="minorHAnsi"/>
                <w:lang w:val="en-GB"/>
              </w:rPr>
              <w:fldChar w:fldCharType="begin"/>
            </w:r>
            <w:r>
              <w:rPr>
                <w:rFonts w:cstheme="minorHAnsi"/>
                <w:lang w:val="en-GB"/>
              </w:rPr>
              <w:instrText xml:space="preserve"> ADDIN ZOTERO_ITEM CSL_CITATION {"citationID":"NcldCGef","properties":{"formattedCitation":"(10,43,44)","plainCitation":"(10,43,44)","noteIndex":0},"citationItems":[{"id":246,"uris":["http://zotero.org/users/4613804/items/INNBI62L"],"uri":["http://zotero.org/users/4613804/items/INNBI62L"],"itemData":{"id":246,"type":"article-journal","title":"Peste des petits ruminants, the next eradicated animal disease?","container-title":"Veterinary Microbiology","collection-title":"Special Issue: One World, One Health, One Virology","page":"38-44","volume":"165","issue":"1","source":"ScienceDirect","abstract":"Peste des Petits Ruminants (PPR) is a widespread viral disease caused by a Morbillivirus (Paramyxoviridae). There is a single serotype of PPR virus, but four distinct genetic lineages. Morbidity and mortality are high when occurring in naive sheep and goats populations. Cattle and African buffaloes (Syncerus caffer) are asymptomatically infected. Other wild ruminants and camels may express clinical signs and mortality. PPR has recently spread in southern and northern Africa, and in central and far-east Asia. More than one billion sheep and goats worldwide are at risk. PPR is also present in Europe through western Turkey. Because of its clinical incidence and the restrictions on animal movements, PPR is a disease of major economic importance. A live attenuated vaccine was developed in the 1980s, and has been widely used in sheep and goats. Current researches aim (i) to make it more thermotolerant for use in countries with limited cold chain, and (ii) to add a DIVA mark to shorten and reduce the cost of final eradication. Rinderpest virus—another Morbillivirus—was the first animal virus to be eradicated from Earth. PPRV has been proposed as the next candidate. Considering its wide distribution and its multiple target host species which have an intense mobility, it will be a long process that cannot exclusively rely on mass vaccination. PPR specific epidemiological features and socio-economic considerations will also have to be taken into account, and sustained international, coordinated, and funded strategy based on a regional approach of PPR control will be the guarantee toward success.","DOI":"10.1016/j.vetmic.2012.12.013","ISSN":"0378-1135","journalAbbreviation":"Veterinary Microbiology","author":[{"family":"Albina","given":"Emmanuel"},{"family":"Kwiatek","given":"Olivier"},{"family":"Minet","given":"Cécile"},{"family":"Lancelot","given":"Renaud"},{"family":"Servan de Almeida","given":"Renata"},{"family":"Libeau","given":"Geneviève"}],"issued":{"date-parts":[["2013",7,26]]}}},{"id":94,"uris":["http://zotero.org/users/4613804/items/5R2I5CN9"],"uri":["http://zotero.org/users/4613804/items/5R2I5CN9"],"itemData":{"id":94,"type":"article-journal","title":"Scientific Opinion on peste des petits ruminants","container-title":"EFSA Journal","volume":"13","issue":"1","source":"efsa.onlinelibrary.wiley.com","URL":"https://efsa.onlinelibrary.wiley.com/doi/abs/10.2903/j.efsa.2015.3985","DOI":"10.2903/j.efsa.2015.3985","ISSN":"1831-4732","language":"en","issued":{"date-parts":[["2015",1,1]]},"accessed":{"date-parts":[["2018",12,3]]}}},{"id":32,"uris":["http://zotero.org/users/4613804/items/LAHGCFI9"],"uri":["http://zotero.org/users/4613804/items/LAHGCFI9"],"itemData":{"id":32,"type":"article","title":"Peste des Petits Ruminants","publisher":"OIE","URL":"http://www.oie.int/fileadmin/Home/eng/Animal_Health_in_the_World/docs/pdf/Disease_cards/PESTE_DES_PETITS_RUMINANTS.pdf","author":[{"family":"OIE","given":""}],"accessed":{"date-parts":[["2018",12,3]]}}}],"schema":"https://github.com/citation-style-language/schema/raw/master/csl-citation.json"} </w:instrText>
            </w:r>
            <w:r w:rsidRPr="00433251">
              <w:rPr>
                <w:rFonts w:cstheme="minorHAnsi"/>
                <w:lang w:val="en-GB"/>
              </w:rPr>
              <w:fldChar w:fldCharType="separate"/>
            </w:r>
            <w:r>
              <w:rPr>
                <w:rFonts w:cstheme="minorHAnsi"/>
                <w:lang w:val="en-GB"/>
              </w:rPr>
              <w:t>(10,43,44)</w:t>
            </w:r>
            <w:r w:rsidRPr="00433251">
              <w:rPr>
                <w:rFonts w:cstheme="minorHAnsi"/>
                <w:lang w:val="en-GB"/>
              </w:rPr>
              <w:fldChar w:fldCharType="end"/>
            </w:r>
          </w:p>
        </w:tc>
      </w:tr>
      <w:tr w:rsidR="001E44E7" w:rsidRPr="00B1430E" w14:paraId="614CA859" w14:textId="77777777" w:rsidTr="001E44E7">
        <w:tc>
          <w:tcPr>
            <w:tcW w:w="1609" w:type="dxa"/>
            <w:vMerge/>
          </w:tcPr>
          <w:p w14:paraId="66BA53FD" w14:textId="77777777" w:rsidR="001E44E7" w:rsidRPr="00433251" w:rsidRDefault="001E44E7" w:rsidP="00600EFB">
            <w:pPr>
              <w:rPr>
                <w:rFonts w:cstheme="minorHAnsi"/>
                <w:lang w:val="en-GB"/>
              </w:rPr>
            </w:pPr>
          </w:p>
        </w:tc>
        <w:tc>
          <w:tcPr>
            <w:tcW w:w="1363" w:type="dxa"/>
          </w:tcPr>
          <w:p w14:paraId="15350042" w14:textId="77777777" w:rsidR="001E44E7" w:rsidRPr="00433251" w:rsidRDefault="001E44E7" w:rsidP="00600EFB">
            <w:pPr>
              <w:rPr>
                <w:rFonts w:cstheme="minorHAnsi"/>
                <w:lang w:val="en-GB"/>
              </w:rPr>
            </w:pPr>
            <w:r w:rsidRPr="00433251">
              <w:rPr>
                <w:rFonts w:cstheme="minorHAnsi"/>
                <w:lang w:val="en-GB"/>
              </w:rPr>
              <w:t>1/η</w:t>
            </w:r>
          </w:p>
        </w:tc>
        <w:tc>
          <w:tcPr>
            <w:tcW w:w="2552" w:type="dxa"/>
          </w:tcPr>
          <w:p w14:paraId="2D57944F" w14:textId="77777777" w:rsidR="001E44E7" w:rsidRPr="00433251" w:rsidRDefault="001E44E7" w:rsidP="00600EFB">
            <w:pPr>
              <w:rPr>
                <w:rFonts w:cstheme="minorHAnsi"/>
                <w:lang w:val="en-GB"/>
              </w:rPr>
            </w:pPr>
            <w:r w:rsidRPr="00433251">
              <w:rPr>
                <w:rFonts w:cstheme="minorHAnsi"/>
                <w:lang w:val="en-GB"/>
              </w:rPr>
              <w:t>Infectious period</w:t>
            </w:r>
          </w:p>
        </w:tc>
        <w:tc>
          <w:tcPr>
            <w:tcW w:w="2167" w:type="dxa"/>
          </w:tcPr>
          <w:p w14:paraId="13E1543F" w14:textId="77777777" w:rsidR="001E44E7" w:rsidRPr="00433251" w:rsidRDefault="001E44E7" w:rsidP="00600EFB">
            <w:pPr>
              <w:rPr>
                <w:rFonts w:cstheme="minorHAnsi"/>
                <w:lang w:val="en-GB"/>
              </w:rPr>
            </w:pPr>
            <w:r w:rsidRPr="00433251">
              <w:rPr>
                <w:rFonts w:cstheme="minorHAnsi"/>
                <w:lang w:val="en-GB"/>
              </w:rPr>
              <w:t>5 days [3;7]</w:t>
            </w:r>
          </w:p>
        </w:tc>
        <w:tc>
          <w:tcPr>
            <w:tcW w:w="1937" w:type="dxa"/>
          </w:tcPr>
          <w:p w14:paraId="4669BB8B" w14:textId="77777777" w:rsidR="001E44E7" w:rsidRPr="00433251" w:rsidRDefault="001E44E7" w:rsidP="00600EFB">
            <w:pPr>
              <w:rPr>
                <w:rFonts w:cstheme="minorHAnsi"/>
                <w:lang w:val="en-GB"/>
              </w:rPr>
            </w:pPr>
            <w:r w:rsidRPr="00433251">
              <w:rPr>
                <w:rFonts w:cstheme="minorHAnsi"/>
                <w:lang w:val="en-GB"/>
              </w:rPr>
              <w:t xml:space="preserve">Literature </w:t>
            </w:r>
            <w:r w:rsidRPr="00433251">
              <w:rPr>
                <w:rFonts w:cstheme="minorHAnsi"/>
                <w:lang w:val="en-GB"/>
              </w:rPr>
              <w:fldChar w:fldCharType="begin"/>
            </w:r>
            <w:r>
              <w:rPr>
                <w:rFonts w:cstheme="minorHAnsi"/>
                <w:lang w:val="en-GB"/>
              </w:rPr>
              <w:instrText xml:space="preserve"> ADDIN ZOTERO_ITEM CSL_CITATION {"citationID":"NML58QC3","properties":{"formattedCitation":"(8,10,32,43)","plainCitation":"(8,10,32,43)","noteIndex":0},"citationItems":[{"id":467,"uris":["http://zotero.org/users/4613804/items/FMEUY7YA"],"uri":["http://zotero.org/users/4613804/items/FMEUY7YA"],"itemData":{"id":467,"type":"article-journal","title":"LA PESTE DES PETITS RUMINANTS : UNE MALADIE LONGTEMPS IGNORÉE","container-title":"Bulletin de l'Académie vétérinaire de France","page":"273","issue":"1","source":"Crossref","abstract":"First described in 1942 in Ivory Coast, PPR (peste des petits ruminant), was long thought to be limited to West African countries. However, the development of specific diagnostic tools in the late 1980s quickly improved our understanding of the disease’s geographical distribution. It is likely that PPR existed long before 1942, and that, at that time, it was overlooked in favour of two other diseases present in the same enzootic areas and producing similar symptoms: pasteurellosis with respiratory signs of bronchopneumonia and rinderpest with diarrhoea and erosive lesions of mucosal membranes, the latter being caused by a related virus. Today, over one billion small ruminants are at risk of PPR.","DOI":"10.4267/2042/47951","ISSN":"0001-4192","shortTitle":"LA PESTE DES PETITS RUMINANTS","language":"fr","author":[{"family":"Diallo","given":"Adama"}],"issued":{"date-parts":[["2008"]]}}},{"id":349,"uris":["http://zotero.org/users/4613804/items/MGHZPV87"],"uri":["http://zotero.org/users/4613804/items/MGHZPV87"],"itemData":{"id":349,"type":"article-journal","title":"A dynamic model of transmission and elimination of peste des petits ruminants in Ethiopia","container-title":"Proceedings of the National Academy of Sciences","page":"201711646","source":"www.pnas.org","abstract":"Peste des petits ruminants (PPR), a devastating viral disease of sheep and goats, has been targeted by the global community for eradication within the next 15 years. Although an efficacious attenuated live vaccine is available, the lack of knowledge about the transmission potential of PPR virus (PPRV) may compromise eradication efforts. By fitting a metapopulation model simulating PPRV spread to the results of a nationwide serological survey in Ethiopia, we estimated the level of viral transmission in an endemic setting and the vaccination coverage required for elimination. Results suggest that the pastoral production system as a whole acts as a viral reservoir, from which PPRV spills over into the sedentary production system, where viral persistence is uncertain. Estimated levels of PPRV transmission indicate that viral spread could be prevented if the proportion of immune small ruminants is kept permanently above 37% in at least 71% of pastoral village populations. However, due to the high turnover of these populations, maintaining the fraction of immune animals above this threshold would require high vaccine coverage within villages, and vaccination campaigns to be conducted annually. Adapting vaccination strategies to the specific characteristics of the local epidemiological context and small ruminant population dynamics would result in optimized allocation of limited resources and increase the likelihood of PPR eradication.","DOI":"10.1073/pnas.1711646115","ISSN":"0027-8424, 1091-6490","note":"PMID: 30054316","journalAbbreviation":"PNAS","language":"en","author":[{"family":"Fournié","given":"Guillaume"},{"family":"Waret-Szkuta","given":"Agnès"},{"family":"Camacho","given":"Anton"},{"family":"Yigezu","given":"Laike M."},{"family":"Pfeiffer","given":"Dirk U."},{"family":"Roger","given":"François"}],"issued":{"date-parts":[["2018",7,27]]}}},{"id":246,"uris":["http://zotero.org/users/4613804/items/INNBI62L"],"uri":["http://zotero.org/users/4613804/items/INNBI62L"],"itemData":{"id":246,"type":"article-journal","title":"Peste des petits ruminants, the next eradicated animal disease?","container-title":"Veterinary Microbiology","collection-title":"Special Issue: One World, One Health, One Virology","page":"38-44","volume":"165","issue":"1","source":"ScienceDirect","abstract":"Peste des Petits Ruminants (PPR) is a widespread viral disease caused by a Morbillivirus (Paramyxoviridae). There is a single serotype of PPR virus, but four distinct genetic lineages. Morbidity and mortality are high when occurring in naive sheep and goats populations. Cattle and African buffaloes (Syncerus caffer) are asymptomatically infected. Other wild ruminants and camels may express clinical signs and mortality. PPR has recently spread in southern and northern Africa, and in central and far-east Asia. More than one billion sheep and goats worldwide are at risk. PPR is also present in Europe through western Turkey. Because of its clinical incidence and the restrictions on animal movements, PPR is a disease of major economic importance. A live attenuated vaccine was developed in the 1980s, and has been widely used in sheep and goats. Current researches aim (i) to make it more thermotolerant for use in countries with limited cold chain, and (ii) to add a DIVA mark to shorten and reduce the cost of final eradication. Rinderpest virus—another Morbillivirus—was the first animal virus to be eradicated from Earth. PPRV has been proposed as the next candidate. Considering its wide distribution and its multiple target host species which have an intense mobility, it will be a long process that cannot exclusively rely on mass vaccination. PPR specific epidemiological features and socio-economic considerations will also have to be taken into account, and sustained international, coordinated, and funded strategy based on a regional approach of PPR control will be the guarantee toward success.","DOI":"10.1016/j.vetmic.2012.12.013","ISSN":"0378-1135","journalAbbreviation":"Veterinary Microbiology","author":[{"family":"Albina","given":"Emmanuel"},{"family":"Kwiatek","given":"Olivier"},{"family":"Minet","given":"Cécile"},{"family":"Lancelot","given":"Renaud"},{"family":"Servan de Almeida","given":"Renata"},{"family":"Libeau","given":"Geneviève"}],"issued":{"date-parts":[["2013",7,26]]}}},{"id":32,"uris":["http://zotero.org/users/4613804/items/LAHGCFI9"],"uri":["http://zotero.org/users/4613804/items/LAHGCFI9"],"itemData":{"id":32,"type":"article","title":"Peste des Petits Ruminants","publisher":"OIE","URL":"http://www.oie.int/fileadmin/Home/eng/Animal_Health_in_the_World/docs/pdf/Disease_cards/PESTE_DES_PETITS_RUMINANTS.pdf","author":[{"family":"OIE","given":""}],"accessed":{"date-parts":[["2018",12,3]]}}}],"schema":"https://github.com/citation-style-language/schema/raw/master/csl-citation.json"} </w:instrText>
            </w:r>
            <w:r w:rsidRPr="00433251">
              <w:rPr>
                <w:rFonts w:cstheme="minorHAnsi"/>
                <w:lang w:val="en-GB"/>
              </w:rPr>
              <w:fldChar w:fldCharType="separate"/>
            </w:r>
            <w:r>
              <w:rPr>
                <w:rFonts w:cstheme="minorHAnsi"/>
                <w:lang w:val="en-GB"/>
              </w:rPr>
              <w:t>(8,10,32,43)</w:t>
            </w:r>
            <w:r w:rsidRPr="00433251">
              <w:rPr>
                <w:rFonts w:cstheme="minorHAnsi"/>
                <w:lang w:val="en-GB"/>
              </w:rPr>
              <w:fldChar w:fldCharType="end"/>
            </w:r>
          </w:p>
        </w:tc>
      </w:tr>
      <w:tr w:rsidR="001E44E7" w:rsidRPr="00B1430E" w14:paraId="5EBC9C59" w14:textId="77777777" w:rsidTr="001E44E7">
        <w:trPr>
          <w:trHeight w:val="90"/>
        </w:trPr>
        <w:tc>
          <w:tcPr>
            <w:tcW w:w="1609" w:type="dxa"/>
            <w:vMerge/>
          </w:tcPr>
          <w:p w14:paraId="54E34AE7" w14:textId="77777777" w:rsidR="001E44E7" w:rsidRPr="00433251" w:rsidRDefault="001E44E7" w:rsidP="00600EFB">
            <w:pPr>
              <w:rPr>
                <w:rFonts w:cstheme="minorHAnsi"/>
                <w:lang w:val="en-GB"/>
              </w:rPr>
            </w:pPr>
          </w:p>
        </w:tc>
        <w:tc>
          <w:tcPr>
            <w:tcW w:w="1363" w:type="dxa"/>
          </w:tcPr>
          <w:p w14:paraId="2EBD6153" w14:textId="77777777" w:rsidR="001E44E7" w:rsidRPr="00433251" w:rsidRDefault="001E44E7" w:rsidP="00600EFB">
            <w:pPr>
              <w:rPr>
                <w:rFonts w:cstheme="minorHAnsi"/>
                <w:vertAlign w:val="subscript"/>
                <w:lang w:val="en-GB"/>
              </w:rPr>
            </w:pPr>
            <w:r w:rsidRPr="00433251">
              <w:rPr>
                <w:rFonts w:cstheme="minorHAnsi"/>
                <w:lang w:val="en-GB"/>
              </w:rPr>
              <w:t>p</w:t>
            </w:r>
            <w:r w:rsidRPr="00433251">
              <w:rPr>
                <w:rFonts w:cstheme="minorHAnsi"/>
                <w:vertAlign w:val="subscript"/>
                <w:lang w:val="en-GB"/>
              </w:rPr>
              <w:t>1</w:t>
            </w:r>
          </w:p>
        </w:tc>
        <w:tc>
          <w:tcPr>
            <w:tcW w:w="2552" w:type="dxa"/>
          </w:tcPr>
          <w:p w14:paraId="324B8C16" w14:textId="77777777" w:rsidR="001E44E7" w:rsidRPr="00433251" w:rsidRDefault="001E44E7" w:rsidP="00600EFB">
            <w:pPr>
              <w:rPr>
                <w:rFonts w:cstheme="minorHAnsi"/>
                <w:lang w:val="en-GB"/>
              </w:rPr>
            </w:pPr>
            <w:r w:rsidRPr="00433251">
              <w:rPr>
                <w:rFonts w:cstheme="minorHAnsi"/>
                <w:lang w:val="en-GB"/>
              </w:rPr>
              <w:t>Fatality risk for adult</w:t>
            </w:r>
          </w:p>
        </w:tc>
        <w:tc>
          <w:tcPr>
            <w:tcW w:w="2167" w:type="dxa"/>
          </w:tcPr>
          <w:p w14:paraId="174A0727" w14:textId="77777777" w:rsidR="001E44E7" w:rsidRPr="00433251" w:rsidRDefault="001E44E7" w:rsidP="00600EFB">
            <w:pPr>
              <w:rPr>
                <w:rFonts w:cstheme="minorHAnsi"/>
                <w:lang w:val="en-GB"/>
              </w:rPr>
            </w:pPr>
            <w:r w:rsidRPr="00433251">
              <w:rPr>
                <w:rFonts w:cstheme="minorHAnsi"/>
                <w:lang w:val="en-GB"/>
              </w:rPr>
              <w:t>0.01 [0.0,0.02]</w:t>
            </w:r>
          </w:p>
        </w:tc>
        <w:tc>
          <w:tcPr>
            <w:tcW w:w="1937" w:type="dxa"/>
          </w:tcPr>
          <w:p w14:paraId="0E0130DF" w14:textId="77777777" w:rsidR="001E44E7" w:rsidRPr="00433251" w:rsidRDefault="001E44E7" w:rsidP="00600EFB">
            <w:pPr>
              <w:rPr>
                <w:rFonts w:cstheme="minorHAnsi"/>
                <w:lang w:val="en-GB"/>
              </w:rPr>
            </w:pPr>
            <w:r w:rsidRPr="00433251">
              <w:rPr>
                <w:rFonts w:cstheme="minorHAnsi"/>
                <w:lang w:val="en-GB"/>
              </w:rPr>
              <w:t>Fixed</w:t>
            </w:r>
          </w:p>
        </w:tc>
      </w:tr>
      <w:tr w:rsidR="001E44E7" w:rsidRPr="00B1430E" w14:paraId="34F25F07" w14:textId="77777777" w:rsidTr="001E44E7">
        <w:trPr>
          <w:trHeight w:val="90"/>
        </w:trPr>
        <w:tc>
          <w:tcPr>
            <w:tcW w:w="1609" w:type="dxa"/>
            <w:vMerge/>
          </w:tcPr>
          <w:p w14:paraId="04C6EB29" w14:textId="77777777" w:rsidR="001E44E7" w:rsidRPr="00433251" w:rsidRDefault="001E44E7" w:rsidP="00600EFB">
            <w:pPr>
              <w:rPr>
                <w:rFonts w:cstheme="minorHAnsi"/>
                <w:lang w:val="en-GB"/>
              </w:rPr>
            </w:pPr>
          </w:p>
        </w:tc>
        <w:tc>
          <w:tcPr>
            <w:tcW w:w="1363" w:type="dxa"/>
          </w:tcPr>
          <w:p w14:paraId="5E383BCA" w14:textId="77777777" w:rsidR="001E44E7" w:rsidRPr="00433251" w:rsidRDefault="001E44E7" w:rsidP="00600EFB">
            <w:pPr>
              <w:rPr>
                <w:rFonts w:cstheme="minorHAnsi"/>
                <w:lang w:val="en-GB"/>
              </w:rPr>
            </w:pPr>
            <w:r w:rsidRPr="00433251">
              <w:rPr>
                <w:rFonts w:cstheme="minorHAnsi"/>
                <w:lang w:val="en-GB"/>
              </w:rPr>
              <w:t>β</w:t>
            </w:r>
            <w:r w:rsidRPr="00433251">
              <w:rPr>
                <w:rFonts w:cstheme="minorHAnsi"/>
                <w:vertAlign w:val="subscript"/>
                <w:lang w:val="en-GB"/>
              </w:rPr>
              <w:t>0</w:t>
            </w:r>
          </w:p>
        </w:tc>
        <w:tc>
          <w:tcPr>
            <w:tcW w:w="2552" w:type="dxa"/>
          </w:tcPr>
          <w:p w14:paraId="2E5AA18E" w14:textId="77777777" w:rsidR="001E44E7" w:rsidRPr="00433251" w:rsidRDefault="001E44E7" w:rsidP="00600EFB">
            <w:pPr>
              <w:rPr>
                <w:rFonts w:cstheme="minorHAnsi"/>
                <w:lang w:val="en-GB"/>
              </w:rPr>
            </w:pPr>
            <w:r w:rsidRPr="00433251">
              <w:rPr>
                <w:rFonts w:cstheme="minorHAnsi"/>
                <w:lang w:val="en-GB"/>
              </w:rPr>
              <w:t>Transmission parameter younger group (0-12 months)</w:t>
            </w:r>
          </w:p>
        </w:tc>
        <w:tc>
          <w:tcPr>
            <w:tcW w:w="2167" w:type="dxa"/>
          </w:tcPr>
          <w:p w14:paraId="65F49103" w14:textId="77777777" w:rsidR="001E44E7" w:rsidRPr="00433251" w:rsidRDefault="001E44E7" w:rsidP="00600EFB">
            <w:pPr>
              <w:rPr>
                <w:rFonts w:cstheme="minorHAnsi"/>
                <w:lang w:val="en-GB"/>
              </w:rPr>
            </w:pPr>
            <w:r w:rsidRPr="00433251">
              <w:rPr>
                <w:rFonts w:cstheme="minorHAnsi"/>
                <w:lang w:val="en-GB"/>
              </w:rPr>
              <w:t>1.61 [1.50,1.82]</w:t>
            </w:r>
          </w:p>
        </w:tc>
        <w:tc>
          <w:tcPr>
            <w:tcW w:w="1937" w:type="dxa"/>
          </w:tcPr>
          <w:p w14:paraId="726C046B" w14:textId="77777777" w:rsidR="001E44E7" w:rsidRPr="00433251" w:rsidRDefault="001E44E7" w:rsidP="00600EFB">
            <w:pPr>
              <w:rPr>
                <w:rFonts w:cstheme="minorHAnsi"/>
                <w:lang w:val="en-GB"/>
              </w:rPr>
            </w:pPr>
            <w:r w:rsidRPr="00433251">
              <w:rPr>
                <w:rFonts w:cstheme="minorHAnsi"/>
                <w:lang w:val="en-GB"/>
              </w:rPr>
              <w:t>Calibration</w:t>
            </w:r>
          </w:p>
        </w:tc>
      </w:tr>
      <w:tr w:rsidR="001E44E7" w:rsidRPr="00B1430E" w14:paraId="414B36FB" w14:textId="77777777" w:rsidTr="001E44E7">
        <w:trPr>
          <w:trHeight w:val="90"/>
        </w:trPr>
        <w:tc>
          <w:tcPr>
            <w:tcW w:w="1609" w:type="dxa"/>
            <w:vMerge/>
          </w:tcPr>
          <w:p w14:paraId="51346795" w14:textId="77777777" w:rsidR="001E44E7" w:rsidRPr="00433251" w:rsidRDefault="001E44E7" w:rsidP="00600EFB">
            <w:pPr>
              <w:rPr>
                <w:rFonts w:cstheme="minorHAnsi"/>
                <w:lang w:val="en-GB"/>
              </w:rPr>
            </w:pPr>
          </w:p>
        </w:tc>
        <w:tc>
          <w:tcPr>
            <w:tcW w:w="1363" w:type="dxa"/>
          </w:tcPr>
          <w:p w14:paraId="6276A960" w14:textId="77777777" w:rsidR="001E44E7" w:rsidRPr="00433251" w:rsidRDefault="001E44E7" w:rsidP="00600EFB">
            <w:pPr>
              <w:rPr>
                <w:rFonts w:cstheme="minorHAnsi"/>
                <w:lang w:val="en-GB"/>
              </w:rPr>
            </w:pPr>
            <w:r w:rsidRPr="00433251">
              <w:rPr>
                <w:rFonts w:cstheme="minorHAnsi"/>
                <w:lang w:val="en-GB"/>
              </w:rPr>
              <w:t>β</w:t>
            </w:r>
            <w:r w:rsidRPr="00433251">
              <w:rPr>
                <w:rFonts w:cstheme="minorHAnsi"/>
                <w:vertAlign w:val="subscript"/>
                <w:lang w:val="en-GB"/>
              </w:rPr>
              <w:t>1</w:t>
            </w:r>
          </w:p>
        </w:tc>
        <w:tc>
          <w:tcPr>
            <w:tcW w:w="2552" w:type="dxa"/>
          </w:tcPr>
          <w:p w14:paraId="7D4CB771" w14:textId="77777777" w:rsidR="001E44E7" w:rsidRPr="00433251" w:rsidRDefault="001E44E7" w:rsidP="00600EFB">
            <w:pPr>
              <w:rPr>
                <w:rFonts w:cstheme="minorHAnsi"/>
                <w:lang w:val="en-GB"/>
              </w:rPr>
            </w:pPr>
            <w:r w:rsidRPr="00433251">
              <w:rPr>
                <w:rFonts w:cstheme="minorHAnsi"/>
                <w:lang w:val="en-GB"/>
              </w:rPr>
              <w:t>Transmission parameter older group (&gt;12 months)</w:t>
            </w:r>
          </w:p>
        </w:tc>
        <w:tc>
          <w:tcPr>
            <w:tcW w:w="2167" w:type="dxa"/>
          </w:tcPr>
          <w:p w14:paraId="032655A7" w14:textId="77777777" w:rsidR="001E44E7" w:rsidRPr="00433251" w:rsidRDefault="001E44E7" w:rsidP="00600EFB">
            <w:pPr>
              <w:rPr>
                <w:rFonts w:cstheme="minorHAnsi"/>
                <w:lang w:val="en-GB"/>
              </w:rPr>
            </w:pPr>
            <w:r w:rsidRPr="00433251">
              <w:rPr>
                <w:rFonts w:cstheme="minorHAnsi"/>
                <w:lang w:val="en-GB"/>
              </w:rPr>
              <w:t>0.009[0.003,0.027]</w:t>
            </w:r>
          </w:p>
        </w:tc>
        <w:tc>
          <w:tcPr>
            <w:tcW w:w="1937" w:type="dxa"/>
          </w:tcPr>
          <w:p w14:paraId="70B094D9" w14:textId="77777777" w:rsidR="001E44E7" w:rsidRPr="00433251" w:rsidRDefault="001E44E7" w:rsidP="00600EFB">
            <w:pPr>
              <w:rPr>
                <w:rFonts w:cstheme="minorHAnsi"/>
                <w:lang w:val="en-GB"/>
              </w:rPr>
            </w:pPr>
            <w:r w:rsidRPr="00433251">
              <w:rPr>
                <w:rFonts w:cstheme="minorHAnsi"/>
                <w:lang w:val="en-GB"/>
              </w:rPr>
              <w:t>Calibration</w:t>
            </w:r>
          </w:p>
        </w:tc>
      </w:tr>
      <w:tr w:rsidR="001E44E7" w:rsidRPr="00B1430E" w14:paraId="11B1142A" w14:textId="77777777" w:rsidTr="001E44E7">
        <w:trPr>
          <w:trHeight w:val="90"/>
        </w:trPr>
        <w:tc>
          <w:tcPr>
            <w:tcW w:w="1609" w:type="dxa"/>
            <w:vMerge/>
          </w:tcPr>
          <w:p w14:paraId="7D89062F" w14:textId="77777777" w:rsidR="001E44E7" w:rsidRPr="00433251" w:rsidRDefault="001E44E7" w:rsidP="00600EFB">
            <w:pPr>
              <w:rPr>
                <w:rFonts w:cstheme="minorHAnsi"/>
                <w:lang w:val="en-GB"/>
              </w:rPr>
            </w:pPr>
          </w:p>
        </w:tc>
        <w:tc>
          <w:tcPr>
            <w:tcW w:w="1363" w:type="dxa"/>
          </w:tcPr>
          <w:p w14:paraId="0CBF3276" w14:textId="77777777" w:rsidR="001E44E7" w:rsidRPr="00433251" w:rsidRDefault="001E44E7" w:rsidP="00600EFB">
            <w:pPr>
              <w:rPr>
                <w:rFonts w:cstheme="minorHAnsi"/>
                <w:lang w:val="en-GB"/>
              </w:rPr>
            </w:pPr>
            <w:proofErr w:type="spellStart"/>
            <w:r w:rsidRPr="00433251">
              <w:rPr>
                <w:rFonts w:cstheme="minorHAnsi"/>
                <w:lang w:val="en-GB"/>
              </w:rPr>
              <w:t>p</w:t>
            </w:r>
            <w:r w:rsidRPr="00433251">
              <w:rPr>
                <w:rFonts w:cstheme="minorHAnsi"/>
                <w:vertAlign w:val="subscript"/>
                <w:lang w:val="en-GB"/>
              </w:rPr>
              <w:t>inf</w:t>
            </w:r>
            <w:proofErr w:type="spellEnd"/>
          </w:p>
        </w:tc>
        <w:tc>
          <w:tcPr>
            <w:tcW w:w="2552" w:type="dxa"/>
          </w:tcPr>
          <w:p w14:paraId="1DFF963C" w14:textId="77777777" w:rsidR="001E44E7" w:rsidRPr="00433251" w:rsidRDefault="001E44E7" w:rsidP="00600EFB">
            <w:pPr>
              <w:rPr>
                <w:rFonts w:cstheme="minorHAnsi"/>
                <w:lang w:val="en-GB"/>
              </w:rPr>
            </w:pPr>
            <w:r w:rsidRPr="00433251">
              <w:rPr>
                <w:rFonts w:cstheme="minorHAnsi"/>
                <w:lang w:val="en-GB"/>
              </w:rPr>
              <w:t>Fatality risk 0-3 months</w:t>
            </w:r>
          </w:p>
        </w:tc>
        <w:tc>
          <w:tcPr>
            <w:tcW w:w="2167" w:type="dxa"/>
          </w:tcPr>
          <w:p w14:paraId="71334C91" w14:textId="77777777" w:rsidR="001E44E7" w:rsidRPr="00433251" w:rsidRDefault="001E44E7" w:rsidP="00600EFB">
            <w:pPr>
              <w:rPr>
                <w:rFonts w:cstheme="minorHAnsi"/>
                <w:lang w:val="en-GB"/>
              </w:rPr>
            </w:pPr>
            <w:r w:rsidRPr="00433251">
              <w:rPr>
                <w:rFonts w:cstheme="minorHAnsi"/>
                <w:lang w:val="en-GB"/>
              </w:rPr>
              <w:t>0.15[0.013;0.26]</w:t>
            </w:r>
          </w:p>
        </w:tc>
        <w:tc>
          <w:tcPr>
            <w:tcW w:w="1937" w:type="dxa"/>
          </w:tcPr>
          <w:p w14:paraId="580D4F89" w14:textId="77777777" w:rsidR="001E44E7" w:rsidRPr="00433251" w:rsidRDefault="001E44E7" w:rsidP="00600EFB">
            <w:pPr>
              <w:rPr>
                <w:rFonts w:cstheme="minorHAnsi"/>
                <w:lang w:val="en-GB"/>
              </w:rPr>
            </w:pPr>
            <w:r w:rsidRPr="00433251">
              <w:rPr>
                <w:rFonts w:cstheme="minorHAnsi"/>
                <w:lang w:val="en-GB"/>
              </w:rPr>
              <w:t>Calibration</w:t>
            </w:r>
          </w:p>
        </w:tc>
      </w:tr>
      <w:tr w:rsidR="001E44E7" w:rsidRPr="00B1430E" w14:paraId="696C4A8D" w14:textId="77777777" w:rsidTr="001E44E7">
        <w:trPr>
          <w:trHeight w:val="90"/>
        </w:trPr>
        <w:tc>
          <w:tcPr>
            <w:tcW w:w="1609" w:type="dxa"/>
            <w:vMerge/>
          </w:tcPr>
          <w:p w14:paraId="515F371E" w14:textId="77777777" w:rsidR="001E44E7" w:rsidRPr="00433251" w:rsidRDefault="001E44E7" w:rsidP="00600EFB">
            <w:pPr>
              <w:rPr>
                <w:rFonts w:cstheme="minorHAnsi"/>
                <w:lang w:val="en-GB"/>
              </w:rPr>
            </w:pPr>
          </w:p>
        </w:tc>
        <w:tc>
          <w:tcPr>
            <w:tcW w:w="1363" w:type="dxa"/>
          </w:tcPr>
          <w:p w14:paraId="4CD26C04" w14:textId="77777777" w:rsidR="001E44E7" w:rsidRPr="00433251" w:rsidRDefault="001E44E7" w:rsidP="00600EFB">
            <w:pPr>
              <w:rPr>
                <w:rFonts w:cstheme="minorHAnsi"/>
                <w:lang w:val="en-GB"/>
              </w:rPr>
            </w:pPr>
            <w:r w:rsidRPr="00433251">
              <w:rPr>
                <w:rFonts w:cstheme="minorHAnsi"/>
                <w:lang w:val="en-GB"/>
              </w:rPr>
              <w:t>p</w:t>
            </w:r>
            <w:r w:rsidRPr="00433251">
              <w:rPr>
                <w:rFonts w:cstheme="minorHAnsi"/>
                <w:vertAlign w:val="subscript"/>
                <w:lang w:val="en-GB"/>
              </w:rPr>
              <w:t>0</w:t>
            </w:r>
          </w:p>
        </w:tc>
        <w:tc>
          <w:tcPr>
            <w:tcW w:w="2552" w:type="dxa"/>
          </w:tcPr>
          <w:p w14:paraId="3F86A16E" w14:textId="77777777" w:rsidR="001E44E7" w:rsidRPr="00433251" w:rsidRDefault="001E44E7" w:rsidP="00600EFB">
            <w:pPr>
              <w:rPr>
                <w:rFonts w:cstheme="minorHAnsi"/>
                <w:lang w:val="en-GB"/>
              </w:rPr>
            </w:pPr>
            <w:r w:rsidRPr="00433251">
              <w:rPr>
                <w:rFonts w:cstheme="minorHAnsi"/>
                <w:lang w:val="en-GB"/>
              </w:rPr>
              <w:t>Fatality risk 3-12 months</w:t>
            </w:r>
          </w:p>
        </w:tc>
        <w:tc>
          <w:tcPr>
            <w:tcW w:w="2167" w:type="dxa"/>
          </w:tcPr>
          <w:p w14:paraId="2AEBD9D8" w14:textId="77777777" w:rsidR="001E44E7" w:rsidRPr="00433251" w:rsidRDefault="001E44E7" w:rsidP="00600EFB">
            <w:pPr>
              <w:rPr>
                <w:rFonts w:cstheme="minorHAnsi"/>
                <w:lang w:val="en-GB"/>
              </w:rPr>
            </w:pPr>
            <w:r w:rsidRPr="00433251">
              <w:rPr>
                <w:rFonts w:cstheme="minorHAnsi"/>
                <w:lang w:val="en-GB"/>
              </w:rPr>
              <w:t>0.79[0.72;0.87]</w:t>
            </w:r>
          </w:p>
        </w:tc>
        <w:tc>
          <w:tcPr>
            <w:tcW w:w="1937" w:type="dxa"/>
          </w:tcPr>
          <w:p w14:paraId="351107FD" w14:textId="77777777" w:rsidR="001E44E7" w:rsidRPr="00433251" w:rsidRDefault="001E44E7" w:rsidP="00600EFB">
            <w:pPr>
              <w:rPr>
                <w:rFonts w:cstheme="minorHAnsi"/>
                <w:lang w:val="en-GB"/>
              </w:rPr>
            </w:pPr>
            <w:r w:rsidRPr="00433251">
              <w:rPr>
                <w:rFonts w:cstheme="minorHAnsi"/>
                <w:lang w:val="en-GB"/>
              </w:rPr>
              <w:t>Calibration</w:t>
            </w:r>
          </w:p>
        </w:tc>
      </w:tr>
      <w:tr w:rsidR="001E44E7" w:rsidRPr="00B1430E" w14:paraId="662B6A70" w14:textId="77777777" w:rsidTr="001E44E7">
        <w:trPr>
          <w:trHeight w:val="90"/>
        </w:trPr>
        <w:tc>
          <w:tcPr>
            <w:tcW w:w="1609" w:type="dxa"/>
            <w:vMerge/>
          </w:tcPr>
          <w:p w14:paraId="7A74F4A9" w14:textId="77777777" w:rsidR="001E44E7" w:rsidRPr="00433251" w:rsidRDefault="001E44E7" w:rsidP="00600EFB">
            <w:pPr>
              <w:rPr>
                <w:rFonts w:cstheme="minorHAnsi"/>
                <w:lang w:val="en-GB"/>
              </w:rPr>
            </w:pPr>
          </w:p>
        </w:tc>
        <w:tc>
          <w:tcPr>
            <w:tcW w:w="1363" w:type="dxa"/>
          </w:tcPr>
          <w:p w14:paraId="73DAF7BE" w14:textId="77777777" w:rsidR="001E44E7" w:rsidRPr="00433251" w:rsidRDefault="001E44E7" w:rsidP="00600EFB">
            <w:pPr>
              <w:rPr>
                <w:rFonts w:cstheme="minorHAnsi"/>
                <w:lang w:val="en-GB"/>
              </w:rPr>
            </w:pPr>
            <w:r w:rsidRPr="00433251">
              <w:rPr>
                <w:rFonts w:cstheme="minorHAnsi"/>
                <w:lang w:val="en-GB"/>
              </w:rPr>
              <w:t>R</w:t>
            </w:r>
            <w:r w:rsidRPr="00433251">
              <w:rPr>
                <w:rFonts w:cstheme="minorHAnsi"/>
                <w:vertAlign w:val="subscript"/>
                <w:lang w:val="en-GB"/>
              </w:rPr>
              <w:t>0</w:t>
            </w:r>
          </w:p>
        </w:tc>
        <w:tc>
          <w:tcPr>
            <w:tcW w:w="2552" w:type="dxa"/>
          </w:tcPr>
          <w:p w14:paraId="325F3A12" w14:textId="77777777" w:rsidR="001E44E7" w:rsidRPr="00433251" w:rsidRDefault="001E44E7" w:rsidP="00600EFB">
            <w:pPr>
              <w:rPr>
                <w:rFonts w:cstheme="minorHAnsi"/>
                <w:lang w:val="en-GB"/>
              </w:rPr>
            </w:pPr>
            <w:r w:rsidRPr="00433251">
              <w:rPr>
                <w:rFonts w:cstheme="minorHAnsi"/>
                <w:lang w:val="en-GB"/>
              </w:rPr>
              <w:t>Basic reproductive Ratio</w:t>
            </w:r>
          </w:p>
        </w:tc>
        <w:tc>
          <w:tcPr>
            <w:tcW w:w="2167" w:type="dxa"/>
          </w:tcPr>
          <w:p w14:paraId="0A439CBC" w14:textId="77777777" w:rsidR="001E44E7" w:rsidRPr="00433251" w:rsidRDefault="001E44E7" w:rsidP="00600EFB">
            <w:pPr>
              <w:rPr>
                <w:rFonts w:cstheme="minorHAnsi"/>
                <w:lang w:val="en-GB"/>
              </w:rPr>
            </w:pPr>
            <w:r w:rsidRPr="00433251">
              <w:rPr>
                <w:rFonts w:cstheme="minorHAnsi"/>
                <w:lang w:val="en-GB"/>
              </w:rPr>
              <w:t>2.93[2.74;3.34]</w:t>
            </w:r>
          </w:p>
        </w:tc>
        <w:tc>
          <w:tcPr>
            <w:tcW w:w="1937" w:type="dxa"/>
          </w:tcPr>
          <w:p w14:paraId="5EE083C1" w14:textId="77777777" w:rsidR="001E44E7" w:rsidRPr="00433251" w:rsidRDefault="001E44E7" w:rsidP="00600EFB">
            <w:pPr>
              <w:rPr>
                <w:rFonts w:cstheme="minorHAnsi"/>
                <w:lang w:val="en-GB"/>
              </w:rPr>
            </w:pPr>
            <w:r w:rsidRPr="00433251">
              <w:rPr>
                <w:rFonts w:cstheme="minorHAnsi"/>
                <w:lang w:val="en-GB"/>
              </w:rPr>
              <w:t>Calibration</w:t>
            </w:r>
          </w:p>
        </w:tc>
      </w:tr>
      <w:tr w:rsidR="001E44E7" w:rsidRPr="00B1430E" w14:paraId="26F077E1" w14:textId="77777777" w:rsidTr="001E44E7">
        <w:trPr>
          <w:trHeight w:val="90"/>
        </w:trPr>
        <w:tc>
          <w:tcPr>
            <w:tcW w:w="1609" w:type="dxa"/>
            <w:vMerge w:val="restart"/>
            <w:textDirection w:val="btLr"/>
          </w:tcPr>
          <w:p w14:paraId="2A9F3709" w14:textId="77777777" w:rsidR="001E44E7" w:rsidRPr="00433251" w:rsidRDefault="001E44E7" w:rsidP="00600EFB">
            <w:pPr>
              <w:ind w:left="113" w:right="113"/>
              <w:rPr>
                <w:rFonts w:cstheme="minorHAnsi"/>
                <w:lang w:val="en-GB"/>
              </w:rPr>
            </w:pPr>
            <w:r w:rsidRPr="00433251">
              <w:rPr>
                <w:rFonts w:cstheme="minorHAnsi"/>
                <w:lang w:val="en-GB"/>
              </w:rPr>
              <w:t>Cost-benefit parameters</w:t>
            </w:r>
          </w:p>
        </w:tc>
        <w:tc>
          <w:tcPr>
            <w:tcW w:w="1363" w:type="dxa"/>
          </w:tcPr>
          <w:p w14:paraId="390F20C6" w14:textId="77777777" w:rsidR="001E44E7" w:rsidRPr="00433251" w:rsidRDefault="001E44E7" w:rsidP="00600EFB">
            <w:pPr>
              <w:rPr>
                <w:rFonts w:cstheme="minorHAnsi"/>
                <w:lang w:val="en-GB"/>
              </w:rPr>
            </w:pPr>
            <w:proofErr w:type="spellStart"/>
            <w:r w:rsidRPr="00433251">
              <w:rPr>
                <w:rFonts w:cstheme="minorHAnsi"/>
                <w:lang w:val="en-GB"/>
              </w:rPr>
              <w:t>c</w:t>
            </w:r>
            <w:r w:rsidRPr="00433251">
              <w:rPr>
                <w:rFonts w:cstheme="minorHAnsi"/>
                <w:vertAlign w:val="subscript"/>
                <w:lang w:val="en-GB"/>
              </w:rPr>
              <w:t>adm</w:t>
            </w:r>
            <w:proofErr w:type="spellEnd"/>
          </w:p>
        </w:tc>
        <w:tc>
          <w:tcPr>
            <w:tcW w:w="2552" w:type="dxa"/>
          </w:tcPr>
          <w:p w14:paraId="146910DE" w14:textId="77777777" w:rsidR="001E44E7" w:rsidRPr="00433251" w:rsidRDefault="001E44E7" w:rsidP="00600EFB">
            <w:pPr>
              <w:rPr>
                <w:rFonts w:cstheme="minorHAnsi"/>
                <w:lang w:val="en-GB"/>
              </w:rPr>
            </w:pPr>
            <w:r w:rsidRPr="00433251">
              <w:rPr>
                <w:rFonts w:cstheme="minorHAnsi"/>
                <w:lang w:val="en-GB"/>
              </w:rPr>
              <w:t>Cost vaccine dose administration (dose +logistic)</w:t>
            </w:r>
          </w:p>
        </w:tc>
        <w:tc>
          <w:tcPr>
            <w:tcW w:w="2167" w:type="dxa"/>
          </w:tcPr>
          <w:p w14:paraId="1DB8CC53" w14:textId="77777777" w:rsidR="001E44E7" w:rsidRPr="00433251" w:rsidRDefault="001E44E7" w:rsidP="00600EFB">
            <w:pPr>
              <w:rPr>
                <w:rFonts w:cstheme="minorHAnsi"/>
                <w:lang w:val="en-GB"/>
              </w:rPr>
            </w:pPr>
            <w:r w:rsidRPr="00433251">
              <w:rPr>
                <w:rFonts w:cstheme="minorHAnsi"/>
                <w:lang w:val="en-GB"/>
              </w:rPr>
              <w:t>0.3 $</w:t>
            </w:r>
          </w:p>
        </w:tc>
        <w:tc>
          <w:tcPr>
            <w:tcW w:w="1937" w:type="dxa"/>
            <w:vMerge w:val="restart"/>
          </w:tcPr>
          <w:p w14:paraId="55833E0E" w14:textId="77777777" w:rsidR="001E44E7" w:rsidRPr="00433251" w:rsidRDefault="001E44E7" w:rsidP="00600EFB">
            <w:pPr>
              <w:rPr>
                <w:rFonts w:cstheme="minorHAnsi"/>
                <w:lang w:val="en-GB"/>
              </w:rPr>
            </w:pPr>
            <w:r w:rsidRPr="00433251">
              <w:rPr>
                <w:rFonts w:cstheme="minorHAnsi"/>
                <w:lang w:val="en-GB"/>
              </w:rPr>
              <w:t xml:space="preserve">Ministry </w:t>
            </w:r>
          </w:p>
        </w:tc>
      </w:tr>
      <w:tr w:rsidR="001E44E7" w:rsidRPr="00B1430E" w14:paraId="52DA356E" w14:textId="77777777" w:rsidTr="001E44E7">
        <w:trPr>
          <w:trHeight w:val="90"/>
        </w:trPr>
        <w:tc>
          <w:tcPr>
            <w:tcW w:w="1609" w:type="dxa"/>
            <w:vMerge/>
          </w:tcPr>
          <w:p w14:paraId="7233AF94" w14:textId="77777777" w:rsidR="001E44E7" w:rsidRPr="00433251" w:rsidRDefault="001E44E7" w:rsidP="00600EFB">
            <w:pPr>
              <w:rPr>
                <w:rFonts w:cstheme="minorHAnsi"/>
                <w:lang w:val="en-GB"/>
              </w:rPr>
            </w:pPr>
          </w:p>
        </w:tc>
        <w:tc>
          <w:tcPr>
            <w:tcW w:w="1363" w:type="dxa"/>
          </w:tcPr>
          <w:p w14:paraId="43E3AD7D" w14:textId="77777777" w:rsidR="001E44E7" w:rsidRPr="00433251" w:rsidRDefault="001E44E7" w:rsidP="00600EFB">
            <w:pPr>
              <w:rPr>
                <w:rFonts w:cstheme="minorHAnsi"/>
                <w:vertAlign w:val="subscript"/>
                <w:lang w:val="en-GB"/>
              </w:rPr>
            </w:pPr>
            <w:proofErr w:type="spellStart"/>
            <w:r w:rsidRPr="00433251">
              <w:rPr>
                <w:rFonts w:cstheme="minorHAnsi"/>
                <w:lang w:val="en-GB"/>
              </w:rPr>
              <w:t>c</w:t>
            </w:r>
            <w:r w:rsidRPr="00433251">
              <w:rPr>
                <w:rFonts w:cstheme="minorHAnsi"/>
                <w:vertAlign w:val="subscript"/>
                <w:lang w:val="en-GB"/>
              </w:rPr>
              <w:t>priv</w:t>
            </w:r>
            <w:proofErr w:type="spellEnd"/>
          </w:p>
        </w:tc>
        <w:tc>
          <w:tcPr>
            <w:tcW w:w="2552" w:type="dxa"/>
          </w:tcPr>
          <w:p w14:paraId="10835D78" w14:textId="77777777" w:rsidR="001E44E7" w:rsidRPr="00433251" w:rsidRDefault="001E44E7" w:rsidP="00600EFB">
            <w:pPr>
              <w:rPr>
                <w:rFonts w:cstheme="minorHAnsi"/>
                <w:lang w:val="en-GB"/>
              </w:rPr>
            </w:pPr>
            <w:r w:rsidRPr="00433251">
              <w:rPr>
                <w:rFonts w:cstheme="minorHAnsi"/>
                <w:lang w:val="en-GB"/>
              </w:rPr>
              <w:t>Contribution of owner to vaccination</w:t>
            </w:r>
          </w:p>
        </w:tc>
        <w:tc>
          <w:tcPr>
            <w:tcW w:w="2167" w:type="dxa"/>
          </w:tcPr>
          <w:p w14:paraId="1AA57BE5" w14:textId="77777777" w:rsidR="001E44E7" w:rsidRPr="00433251" w:rsidRDefault="001E44E7" w:rsidP="00600EFB">
            <w:pPr>
              <w:rPr>
                <w:rFonts w:cstheme="minorHAnsi"/>
                <w:lang w:val="en-GB"/>
              </w:rPr>
            </w:pPr>
            <w:r w:rsidRPr="00433251">
              <w:rPr>
                <w:rFonts w:cstheme="minorHAnsi"/>
                <w:lang w:val="en-GB"/>
              </w:rPr>
              <w:t>0.1 $</w:t>
            </w:r>
          </w:p>
        </w:tc>
        <w:tc>
          <w:tcPr>
            <w:tcW w:w="1937" w:type="dxa"/>
            <w:vMerge/>
          </w:tcPr>
          <w:p w14:paraId="598EB59D" w14:textId="77777777" w:rsidR="001E44E7" w:rsidRPr="00433251" w:rsidRDefault="001E44E7" w:rsidP="00600EFB">
            <w:pPr>
              <w:rPr>
                <w:rFonts w:cstheme="minorHAnsi"/>
                <w:lang w:val="en-GB"/>
              </w:rPr>
            </w:pPr>
          </w:p>
        </w:tc>
      </w:tr>
      <w:tr w:rsidR="001E44E7" w:rsidRPr="00B1430E" w14:paraId="17A0B7E2" w14:textId="77777777" w:rsidTr="001E44E7">
        <w:trPr>
          <w:trHeight w:val="90"/>
        </w:trPr>
        <w:tc>
          <w:tcPr>
            <w:tcW w:w="1609" w:type="dxa"/>
            <w:vMerge/>
          </w:tcPr>
          <w:p w14:paraId="18409E4C" w14:textId="77777777" w:rsidR="001E44E7" w:rsidRPr="00433251" w:rsidRDefault="001E44E7" w:rsidP="00600EFB">
            <w:pPr>
              <w:rPr>
                <w:rFonts w:cstheme="minorHAnsi"/>
                <w:lang w:val="en-GB"/>
              </w:rPr>
            </w:pPr>
          </w:p>
        </w:tc>
        <w:tc>
          <w:tcPr>
            <w:tcW w:w="1363" w:type="dxa"/>
          </w:tcPr>
          <w:p w14:paraId="02057B37" w14:textId="77777777" w:rsidR="001E44E7" w:rsidRPr="00433251" w:rsidRDefault="001E44E7" w:rsidP="00600EFB">
            <w:pPr>
              <w:rPr>
                <w:rFonts w:cstheme="minorHAnsi"/>
                <w:vertAlign w:val="subscript"/>
                <w:lang w:val="en-GB"/>
              </w:rPr>
            </w:pPr>
            <w:proofErr w:type="spellStart"/>
            <w:r w:rsidRPr="00433251">
              <w:rPr>
                <w:rFonts w:cstheme="minorHAnsi"/>
                <w:lang w:val="en-GB"/>
              </w:rPr>
              <w:t>c</w:t>
            </w:r>
            <w:r w:rsidRPr="00433251">
              <w:rPr>
                <w:rFonts w:cstheme="minorHAnsi"/>
                <w:vertAlign w:val="subscript"/>
                <w:lang w:val="en-GB"/>
              </w:rPr>
              <w:t>id</w:t>
            </w:r>
            <w:proofErr w:type="spellEnd"/>
          </w:p>
        </w:tc>
        <w:tc>
          <w:tcPr>
            <w:tcW w:w="2552" w:type="dxa"/>
          </w:tcPr>
          <w:p w14:paraId="2754A9E6" w14:textId="77777777" w:rsidR="001E44E7" w:rsidRPr="00433251" w:rsidRDefault="001E44E7" w:rsidP="00600EFB">
            <w:pPr>
              <w:rPr>
                <w:rFonts w:cstheme="minorHAnsi"/>
                <w:lang w:val="en-GB"/>
              </w:rPr>
            </w:pPr>
            <w:r w:rsidRPr="00433251">
              <w:rPr>
                <w:rFonts w:cstheme="minorHAnsi"/>
                <w:lang w:val="en-GB"/>
              </w:rPr>
              <w:t>Identification cost</w:t>
            </w:r>
          </w:p>
        </w:tc>
        <w:tc>
          <w:tcPr>
            <w:tcW w:w="2167" w:type="dxa"/>
          </w:tcPr>
          <w:p w14:paraId="7606A9E1" w14:textId="77777777" w:rsidR="001E44E7" w:rsidRPr="00433251" w:rsidRDefault="001E44E7" w:rsidP="00600EFB">
            <w:pPr>
              <w:rPr>
                <w:rFonts w:cstheme="minorHAnsi"/>
                <w:lang w:val="en-GB"/>
              </w:rPr>
            </w:pPr>
            <w:r w:rsidRPr="00433251">
              <w:rPr>
                <w:rFonts w:cstheme="minorHAnsi"/>
                <w:lang w:val="en-GB"/>
              </w:rPr>
              <w:t>0.1 $</w:t>
            </w:r>
          </w:p>
        </w:tc>
        <w:tc>
          <w:tcPr>
            <w:tcW w:w="1937" w:type="dxa"/>
            <w:vMerge/>
          </w:tcPr>
          <w:p w14:paraId="78B01EF6" w14:textId="77777777" w:rsidR="001E44E7" w:rsidRPr="00433251" w:rsidRDefault="001E44E7" w:rsidP="00600EFB">
            <w:pPr>
              <w:rPr>
                <w:rFonts w:cstheme="minorHAnsi"/>
                <w:lang w:val="en-GB"/>
              </w:rPr>
            </w:pPr>
          </w:p>
        </w:tc>
      </w:tr>
      <w:tr w:rsidR="001E44E7" w:rsidRPr="00B1430E" w14:paraId="5407EC63" w14:textId="77777777" w:rsidTr="001E44E7">
        <w:trPr>
          <w:trHeight w:val="90"/>
        </w:trPr>
        <w:tc>
          <w:tcPr>
            <w:tcW w:w="1609" w:type="dxa"/>
            <w:vMerge/>
          </w:tcPr>
          <w:p w14:paraId="0BBB1DF7" w14:textId="77777777" w:rsidR="001E44E7" w:rsidRPr="00433251" w:rsidRDefault="001E44E7" w:rsidP="00600EFB">
            <w:pPr>
              <w:rPr>
                <w:rFonts w:cstheme="minorHAnsi"/>
                <w:lang w:val="en-GB"/>
              </w:rPr>
            </w:pPr>
          </w:p>
        </w:tc>
        <w:tc>
          <w:tcPr>
            <w:tcW w:w="1363" w:type="dxa"/>
          </w:tcPr>
          <w:p w14:paraId="24793D70" w14:textId="77777777" w:rsidR="001E44E7" w:rsidRPr="00433251" w:rsidRDefault="001E44E7" w:rsidP="00600EFB">
            <w:pPr>
              <w:rPr>
                <w:rFonts w:cstheme="minorHAnsi"/>
                <w:vertAlign w:val="subscript"/>
                <w:lang w:val="en-GB"/>
              </w:rPr>
            </w:pPr>
            <w:proofErr w:type="spellStart"/>
            <w:r w:rsidRPr="00433251">
              <w:rPr>
                <w:rFonts w:cstheme="minorHAnsi"/>
                <w:lang w:val="en-GB"/>
              </w:rPr>
              <w:t>c</w:t>
            </w:r>
            <w:r w:rsidRPr="00433251">
              <w:rPr>
                <w:rFonts w:cstheme="minorHAnsi"/>
                <w:vertAlign w:val="subscript"/>
                <w:lang w:val="en-GB"/>
              </w:rPr>
              <w:t>tr</w:t>
            </w:r>
            <w:proofErr w:type="spellEnd"/>
          </w:p>
        </w:tc>
        <w:tc>
          <w:tcPr>
            <w:tcW w:w="2552" w:type="dxa"/>
          </w:tcPr>
          <w:p w14:paraId="5A36A7B6" w14:textId="77777777" w:rsidR="001E44E7" w:rsidRPr="00433251" w:rsidRDefault="001E44E7" w:rsidP="00600EFB">
            <w:pPr>
              <w:rPr>
                <w:rFonts w:cstheme="minorHAnsi"/>
                <w:lang w:val="en-GB"/>
              </w:rPr>
            </w:pPr>
            <w:r w:rsidRPr="00433251">
              <w:rPr>
                <w:rFonts w:cstheme="minorHAnsi"/>
                <w:lang w:val="en-GB"/>
              </w:rPr>
              <w:t>Treatment cost</w:t>
            </w:r>
          </w:p>
        </w:tc>
        <w:tc>
          <w:tcPr>
            <w:tcW w:w="2167" w:type="dxa"/>
          </w:tcPr>
          <w:p w14:paraId="7DCCC987" w14:textId="77777777" w:rsidR="001E44E7" w:rsidRPr="00433251" w:rsidRDefault="001E44E7" w:rsidP="00600EFB">
            <w:pPr>
              <w:rPr>
                <w:rFonts w:cstheme="minorHAnsi"/>
                <w:lang w:val="en-GB"/>
              </w:rPr>
            </w:pPr>
            <w:r w:rsidRPr="00433251">
              <w:rPr>
                <w:rFonts w:cstheme="minorHAnsi"/>
                <w:lang w:val="en-GB"/>
              </w:rPr>
              <w:t>1.4 $</w:t>
            </w:r>
          </w:p>
        </w:tc>
        <w:tc>
          <w:tcPr>
            <w:tcW w:w="1937" w:type="dxa"/>
            <w:vMerge/>
          </w:tcPr>
          <w:p w14:paraId="345C4D22" w14:textId="77777777" w:rsidR="001E44E7" w:rsidRPr="00433251" w:rsidRDefault="001E44E7" w:rsidP="00600EFB">
            <w:pPr>
              <w:rPr>
                <w:rFonts w:cstheme="minorHAnsi"/>
                <w:lang w:val="en-GB"/>
              </w:rPr>
            </w:pPr>
          </w:p>
        </w:tc>
      </w:tr>
      <w:tr w:rsidR="001E44E7" w:rsidRPr="00B1430E" w14:paraId="52AB25F0" w14:textId="77777777" w:rsidTr="001E44E7">
        <w:trPr>
          <w:trHeight w:val="90"/>
        </w:trPr>
        <w:tc>
          <w:tcPr>
            <w:tcW w:w="1609" w:type="dxa"/>
            <w:vMerge/>
          </w:tcPr>
          <w:p w14:paraId="4F048667" w14:textId="77777777" w:rsidR="001E44E7" w:rsidRPr="00433251" w:rsidRDefault="001E44E7" w:rsidP="00600EFB">
            <w:pPr>
              <w:rPr>
                <w:rFonts w:cstheme="minorHAnsi"/>
                <w:lang w:val="en-GB"/>
              </w:rPr>
            </w:pPr>
          </w:p>
        </w:tc>
        <w:tc>
          <w:tcPr>
            <w:tcW w:w="1363" w:type="dxa"/>
          </w:tcPr>
          <w:p w14:paraId="7BA50198" w14:textId="77777777" w:rsidR="001E44E7" w:rsidRPr="00433251" w:rsidRDefault="001E44E7" w:rsidP="00600EFB">
            <w:pPr>
              <w:rPr>
                <w:rFonts w:cstheme="minorHAnsi"/>
                <w:vertAlign w:val="subscript"/>
                <w:lang w:val="en-GB"/>
              </w:rPr>
            </w:pPr>
            <w:proofErr w:type="spellStart"/>
            <w:r w:rsidRPr="00433251">
              <w:rPr>
                <w:rFonts w:cstheme="minorHAnsi"/>
                <w:lang w:val="en-GB"/>
              </w:rPr>
              <w:t>r</w:t>
            </w:r>
            <w:r w:rsidRPr="00433251">
              <w:rPr>
                <w:rFonts w:cstheme="minorHAnsi"/>
                <w:vertAlign w:val="subscript"/>
                <w:lang w:val="en-GB"/>
              </w:rPr>
              <w:t>young</w:t>
            </w:r>
            <w:proofErr w:type="spellEnd"/>
          </w:p>
        </w:tc>
        <w:tc>
          <w:tcPr>
            <w:tcW w:w="2552" w:type="dxa"/>
          </w:tcPr>
          <w:p w14:paraId="043B1ECE" w14:textId="77777777" w:rsidR="001E44E7" w:rsidRPr="00433251" w:rsidRDefault="001E44E7" w:rsidP="00600EFB">
            <w:pPr>
              <w:rPr>
                <w:rFonts w:cstheme="minorHAnsi"/>
                <w:lang w:val="en-GB"/>
              </w:rPr>
            </w:pPr>
            <w:r w:rsidRPr="00433251">
              <w:rPr>
                <w:rFonts w:cstheme="minorHAnsi"/>
                <w:lang w:val="en-GB"/>
              </w:rPr>
              <w:t>Young (&lt;1 year old) Animal</w:t>
            </w:r>
          </w:p>
          <w:p w14:paraId="6B197E9A" w14:textId="77777777" w:rsidR="001E44E7" w:rsidRPr="00433251" w:rsidRDefault="001E44E7" w:rsidP="00600EFB">
            <w:pPr>
              <w:rPr>
                <w:rFonts w:cstheme="minorHAnsi"/>
                <w:lang w:val="en-GB"/>
              </w:rPr>
            </w:pPr>
            <w:r w:rsidRPr="00433251">
              <w:rPr>
                <w:rFonts w:cstheme="minorHAnsi"/>
                <w:lang w:val="en-GB"/>
              </w:rPr>
              <w:t>Market cost</w:t>
            </w:r>
          </w:p>
        </w:tc>
        <w:tc>
          <w:tcPr>
            <w:tcW w:w="2167" w:type="dxa"/>
          </w:tcPr>
          <w:p w14:paraId="4C1ADBDF" w14:textId="77777777" w:rsidR="001E44E7" w:rsidRPr="00433251" w:rsidRDefault="001E44E7" w:rsidP="00600EFB">
            <w:pPr>
              <w:rPr>
                <w:rFonts w:cstheme="minorHAnsi"/>
                <w:lang w:val="en-GB"/>
              </w:rPr>
            </w:pPr>
            <w:r w:rsidRPr="00433251">
              <w:rPr>
                <w:rFonts w:cstheme="minorHAnsi"/>
                <w:lang w:val="en-GB"/>
              </w:rPr>
              <w:t>40 $</w:t>
            </w:r>
          </w:p>
        </w:tc>
        <w:tc>
          <w:tcPr>
            <w:tcW w:w="1937" w:type="dxa"/>
            <w:vMerge/>
          </w:tcPr>
          <w:p w14:paraId="3D71D2A7" w14:textId="77777777" w:rsidR="001E44E7" w:rsidRPr="00433251" w:rsidRDefault="001E44E7" w:rsidP="00600EFB">
            <w:pPr>
              <w:rPr>
                <w:rFonts w:cstheme="minorHAnsi"/>
                <w:lang w:val="en-GB"/>
              </w:rPr>
            </w:pPr>
          </w:p>
        </w:tc>
      </w:tr>
      <w:tr w:rsidR="001E44E7" w:rsidRPr="00B1430E" w14:paraId="245C93C3" w14:textId="77777777" w:rsidTr="001E44E7">
        <w:trPr>
          <w:trHeight w:val="90"/>
        </w:trPr>
        <w:tc>
          <w:tcPr>
            <w:tcW w:w="1609" w:type="dxa"/>
            <w:vMerge/>
          </w:tcPr>
          <w:p w14:paraId="0ADB36CA" w14:textId="77777777" w:rsidR="001E44E7" w:rsidRPr="00433251" w:rsidRDefault="001E44E7" w:rsidP="00600EFB">
            <w:pPr>
              <w:rPr>
                <w:rFonts w:cstheme="minorHAnsi"/>
                <w:lang w:val="en-GB"/>
              </w:rPr>
            </w:pPr>
          </w:p>
        </w:tc>
        <w:tc>
          <w:tcPr>
            <w:tcW w:w="1363" w:type="dxa"/>
          </w:tcPr>
          <w:p w14:paraId="16D1AB9E" w14:textId="77777777" w:rsidR="001E44E7" w:rsidRPr="00433251" w:rsidRDefault="001E44E7" w:rsidP="00600EFB">
            <w:pPr>
              <w:rPr>
                <w:rFonts w:cstheme="minorHAnsi"/>
                <w:vertAlign w:val="subscript"/>
                <w:lang w:val="en-GB"/>
              </w:rPr>
            </w:pPr>
            <w:proofErr w:type="spellStart"/>
            <w:r w:rsidRPr="00433251">
              <w:rPr>
                <w:rFonts w:cstheme="minorHAnsi"/>
                <w:lang w:val="en-GB"/>
              </w:rPr>
              <w:t>r</w:t>
            </w:r>
            <w:r w:rsidRPr="00433251">
              <w:rPr>
                <w:rFonts w:cstheme="minorHAnsi"/>
                <w:vertAlign w:val="subscript"/>
                <w:lang w:val="en-GB"/>
              </w:rPr>
              <w:t>adults</w:t>
            </w:r>
            <w:proofErr w:type="spellEnd"/>
          </w:p>
        </w:tc>
        <w:tc>
          <w:tcPr>
            <w:tcW w:w="2552" w:type="dxa"/>
          </w:tcPr>
          <w:p w14:paraId="04B183C6" w14:textId="77777777" w:rsidR="001E44E7" w:rsidRPr="00433251" w:rsidRDefault="001E44E7" w:rsidP="00600EFB">
            <w:pPr>
              <w:rPr>
                <w:rFonts w:cstheme="minorHAnsi"/>
                <w:lang w:val="en-GB"/>
              </w:rPr>
            </w:pPr>
            <w:r w:rsidRPr="00433251">
              <w:rPr>
                <w:rFonts w:cstheme="minorHAnsi"/>
                <w:lang w:val="en-GB"/>
              </w:rPr>
              <w:t>Adult Animal (&gt;1 year old)</w:t>
            </w:r>
          </w:p>
          <w:p w14:paraId="2918FF53" w14:textId="77777777" w:rsidR="001E44E7" w:rsidRPr="00433251" w:rsidRDefault="001E44E7" w:rsidP="00600EFB">
            <w:pPr>
              <w:rPr>
                <w:rFonts w:cstheme="minorHAnsi"/>
                <w:lang w:val="en-GB"/>
              </w:rPr>
            </w:pPr>
            <w:r w:rsidRPr="00433251">
              <w:rPr>
                <w:rFonts w:cstheme="minorHAnsi"/>
                <w:lang w:val="en-GB"/>
              </w:rPr>
              <w:t>Market cost</w:t>
            </w:r>
          </w:p>
        </w:tc>
        <w:tc>
          <w:tcPr>
            <w:tcW w:w="2167" w:type="dxa"/>
          </w:tcPr>
          <w:p w14:paraId="3F07D610" w14:textId="77777777" w:rsidR="001E44E7" w:rsidRPr="00433251" w:rsidRDefault="001E44E7" w:rsidP="00600EFB">
            <w:pPr>
              <w:rPr>
                <w:rFonts w:cstheme="minorHAnsi"/>
                <w:lang w:val="en-GB"/>
              </w:rPr>
            </w:pPr>
            <w:r w:rsidRPr="00433251">
              <w:rPr>
                <w:rFonts w:cstheme="minorHAnsi"/>
                <w:lang w:val="en-GB"/>
              </w:rPr>
              <w:t>73 $</w:t>
            </w:r>
          </w:p>
        </w:tc>
        <w:tc>
          <w:tcPr>
            <w:tcW w:w="1937" w:type="dxa"/>
            <w:vMerge/>
          </w:tcPr>
          <w:p w14:paraId="2AAC0585" w14:textId="77777777" w:rsidR="001E44E7" w:rsidRPr="00433251" w:rsidRDefault="001E44E7" w:rsidP="00600EFB">
            <w:pPr>
              <w:rPr>
                <w:rFonts w:cstheme="minorHAnsi"/>
                <w:lang w:val="en-GB"/>
              </w:rPr>
            </w:pPr>
          </w:p>
        </w:tc>
      </w:tr>
    </w:tbl>
    <w:p w14:paraId="64F81DAC" w14:textId="77777777" w:rsidR="00490225" w:rsidRPr="00A824C1" w:rsidRDefault="00490225" w:rsidP="002B4A57">
      <w:pPr>
        <w:keepNext/>
        <w:rPr>
          <w:rFonts w:cs="Times New Roman"/>
          <w:b/>
          <w:szCs w:val="24"/>
        </w:rPr>
      </w:pPr>
    </w:p>
    <w:p w14:paraId="7B65BC41" w14:textId="77777777" w:rsidR="00DE23E8" w:rsidRPr="001549D3" w:rsidRDefault="00DE23E8" w:rsidP="00654E8F">
      <w:pPr>
        <w:spacing w:before="240"/>
      </w:pPr>
    </w:p>
    <w:sectPr w:rsidR="00DE23E8" w:rsidRPr="001549D3" w:rsidSect="0093429D">
      <w:headerReference w:type="even" r:id="rId11"/>
      <w:footerReference w:type="even" r:id="rId12"/>
      <w:footerReference w:type="default" r:id="rId13"/>
      <w:headerReference w:type="first" r:id="rId14"/>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17648" w14:textId="77777777" w:rsidR="004B2B54" w:rsidRDefault="004B2B54" w:rsidP="00117666">
      <w:pPr>
        <w:spacing w:after="0"/>
      </w:pPr>
      <w:r>
        <w:separator/>
      </w:r>
    </w:p>
  </w:endnote>
  <w:endnote w:type="continuationSeparator" w:id="0">
    <w:p w14:paraId="306D4F11" w14:textId="77777777" w:rsidR="004B2B54" w:rsidRDefault="004B2B54"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025F" w14:textId="77777777" w:rsidR="00600EFB" w:rsidRPr="00577C4C" w:rsidRDefault="00600EFB">
    <w:pPr>
      <w:rPr>
        <w:color w:val="C00000"/>
        <w:szCs w:val="24"/>
      </w:rPr>
    </w:pPr>
    <w:r>
      <w:rPr>
        <w:noProof/>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600EFB" w:rsidRPr="00577C4C" w:rsidRDefault="00600EF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54758A">
                            <w:rPr>
                              <w:noProof/>
                              <w:color w:val="000000" w:themeColor="text1"/>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600EFB" w:rsidRPr="00577C4C" w:rsidRDefault="00600EF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54758A">
                      <w:rPr>
                        <w:noProof/>
                        <w:color w:val="000000" w:themeColor="text1"/>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D6A35" w14:textId="77777777" w:rsidR="00600EFB" w:rsidRPr="00577C4C" w:rsidRDefault="00600EFB">
    <w:pPr>
      <w:rPr>
        <w:b/>
        <w:sz w:val="20"/>
        <w:szCs w:val="24"/>
      </w:rPr>
    </w:pPr>
    <w:r>
      <w:rPr>
        <w:noProof/>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600EFB" w:rsidRPr="00577C4C" w:rsidRDefault="00600EF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324493">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600EFB" w:rsidRPr="00577C4C" w:rsidRDefault="00600EF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324493">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F714E" w14:textId="77777777" w:rsidR="004B2B54" w:rsidRDefault="004B2B54" w:rsidP="00117666">
      <w:pPr>
        <w:spacing w:after="0"/>
      </w:pPr>
      <w:r>
        <w:separator/>
      </w:r>
    </w:p>
  </w:footnote>
  <w:footnote w:type="continuationSeparator" w:id="0">
    <w:p w14:paraId="505FE42F" w14:textId="77777777" w:rsidR="004B2B54" w:rsidRDefault="004B2B54" w:rsidP="001176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EF00C" w14:textId="77777777" w:rsidR="00600EFB" w:rsidRPr="009151AA" w:rsidRDefault="00600EF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68C6" w14:textId="77777777" w:rsidR="00600EFB" w:rsidRDefault="00600EFB" w:rsidP="0093429D">
    <w:r w:rsidRPr="005A1D84">
      <w:rPr>
        <w:b/>
        <w:noProof/>
        <w:color w:val="A6A6A6" w:themeColor="background1" w:themeShade="A6"/>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B5"/>
    <w:rsid w:val="0001436A"/>
    <w:rsid w:val="00034304"/>
    <w:rsid w:val="00035434"/>
    <w:rsid w:val="00052A14"/>
    <w:rsid w:val="00077D53"/>
    <w:rsid w:val="00105FD9"/>
    <w:rsid w:val="00117666"/>
    <w:rsid w:val="001549D3"/>
    <w:rsid w:val="00160065"/>
    <w:rsid w:val="00177D84"/>
    <w:rsid w:val="001E44E7"/>
    <w:rsid w:val="00267D18"/>
    <w:rsid w:val="00274347"/>
    <w:rsid w:val="00277162"/>
    <w:rsid w:val="002868E2"/>
    <w:rsid w:val="002869C3"/>
    <w:rsid w:val="002936E4"/>
    <w:rsid w:val="002B4A57"/>
    <w:rsid w:val="002B529E"/>
    <w:rsid w:val="002C74CA"/>
    <w:rsid w:val="003123F4"/>
    <w:rsid w:val="00324493"/>
    <w:rsid w:val="003544FB"/>
    <w:rsid w:val="003D2F2D"/>
    <w:rsid w:val="00401590"/>
    <w:rsid w:val="00447801"/>
    <w:rsid w:val="00452E9C"/>
    <w:rsid w:val="004735C8"/>
    <w:rsid w:val="00490225"/>
    <w:rsid w:val="004947A6"/>
    <w:rsid w:val="004961FF"/>
    <w:rsid w:val="004B2B54"/>
    <w:rsid w:val="00517A89"/>
    <w:rsid w:val="005250F2"/>
    <w:rsid w:val="0054758A"/>
    <w:rsid w:val="00593EEA"/>
    <w:rsid w:val="005A5EEE"/>
    <w:rsid w:val="00600EFB"/>
    <w:rsid w:val="006375C7"/>
    <w:rsid w:val="00654E8F"/>
    <w:rsid w:val="00660D05"/>
    <w:rsid w:val="006820B1"/>
    <w:rsid w:val="006B7D14"/>
    <w:rsid w:val="00701727"/>
    <w:rsid w:val="0070566C"/>
    <w:rsid w:val="00714C50"/>
    <w:rsid w:val="00725A7D"/>
    <w:rsid w:val="007501BE"/>
    <w:rsid w:val="00790BB3"/>
    <w:rsid w:val="007C206C"/>
    <w:rsid w:val="00817DD6"/>
    <w:rsid w:val="00826909"/>
    <w:rsid w:val="0083759F"/>
    <w:rsid w:val="00885156"/>
    <w:rsid w:val="009151AA"/>
    <w:rsid w:val="0093429D"/>
    <w:rsid w:val="00943573"/>
    <w:rsid w:val="00964134"/>
    <w:rsid w:val="00970F7D"/>
    <w:rsid w:val="00994A3D"/>
    <w:rsid w:val="009C2B12"/>
    <w:rsid w:val="00A174D9"/>
    <w:rsid w:val="00A824C1"/>
    <w:rsid w:val="00AA31ED"/>
    <w:rsid w:val="00AA4D24"/>
    <w:rsid w:val="00AB6715"/>
    <w:rsid w:val="00B1671E"/>
    <w:rsid w:val="00B25EB8"/>
    <w:rsid w:val="00B37F4D"/>
    <w:rsid w:val="00B44A0D"/>
    <w:rsid w:val="00C01D34"/>
    <w:rsid w:val="00C52A7B"/>
    <w:rsid w:val="00C56BAF"/>
    <w:rsid w:val="00C679AA"/>
    <w:rsid w:val="00C75972"/>
    <w:rsid w:val="00C761F1"/>
    <w:rsid w:val="00C97991"/>
    <w:rsid w:val="00CD066B"/>
    <w:rsid w:val="00CE4FEE"/>
    <w:rsid w:val="00D060CF"/>
    <w:rsid w:val="00D97F2C"/>
    <w:rsid w:val="00DB59C3"/>
    <w:rsid w:val="00DC259A"/>
    <w:rsid w:val="00DE23E8"/>
    <w:rsid w:val="00E52377"/>
    <w:rsid w:val="00E537AD"/>
    <w:rsid w:val="00E64E17"/>
    <w:rsid w:val="00E866C9"/>
    <w:rsid w:val="00EA3D3C"/>
    <w:rsid w:val="00EC090A"/>
    <w:rsid w:val="00ED20B5"/>
    <w:rsid w:val="00F46900"/>
    <w:rsid w:val="00F61D89"/>
    <w:rsid w:val="00FE1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39"/>
    <w:rsid w:val="00AB6715"/>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39"/>
    <w:rsid w:val="00AB6715"/>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749596B-B7B3-45BE-A0F8-1D1C0724A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5</Pages>
  <Words>3153</Words>
  <Characters>17975</Characters>
  <Application>Microsoft Office Word</Application>
  <DocSecurity>0</DocSecurity>
  <Lines>149</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Frontiers Media SA</dc:creator>
  <cp:lastModifiedBy>Mahalingam k.</cp:lastModifiedBy>
  <cp:revision>2</cp:revision>
  <cp:lastPrinted>2013-10-03T12:51:00Z</cp:lastPrinted>
  <dcterms:created xsi:type="dcterms:W3CDTF">2019-07-22T09:24:00Z</dcterms:created>
  <dcterms:modified xsi:type="dcterms:W3CDTF">2019-07-22T09:24:00Z</dcterms:modified>
</cp:coreProperties>
</file>