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4D059444" w14:textId="14733CE5" w:rsidR="00994A3D" w:rsidRPr="00994A3D" w:rsidRDefault="00654E8F" w:rsidP="0001436A">
      <w:pPr>
        <w:pStyle w:val="Heading1"/>
      </w:pPr>
      <w:r w:rsidRPr="00994A3D">
        <w:t>Supplementary Figure</w:t>
      </w:r>
    </w:p>
    <w:p w14:paraId="6754D378" w14:textId="77777777" w:rsidR="00994A3D" w:rsidRPr="001549D3" w:rsidRDefault="00994A3D" w:rsidP="00994A3D">
      <w:pPr>
        <w:keepNext/>
        <w:rPr>
          <w:rFonts w:cs="Times New Roman"/>
          <w:szCs w:val="24"/>
        </w:rPr>
      </w:pPr>
    </w:p>
    <w:p w14:paraId="1B1569E2" w14:textId="1F8BC724" w:rsidR="00D510BA" w:rsidRPr="001549D3" w:rsidRDefault="00D510BA" w:rsidP="00994A3D">
      <w:pPr>
        <w:keepNext/>
        <w:jc w:val="center"/>
        <w:rPr>
          <w:rFonts w:cs="Times New Roman"/>
          <w:szCs w:val="24"/>
        </w:rPr>
      </w:pPr>
      <w:r>
        <w:rPr>
          <w:rFonts w:cs="Times New Roman"/>
          <w:noProof/>
          <w:sz w:val="20"/>
          <w:szCs w:val="20"/>
        </w:rPr>
        <w:drawing>
          <wp:inline distT="0" distB="0" distL="0" distR="0" wp14:anchorId="506360DB" wp14:editId="0F8794EB">
            <wp:extent cx="4625975" cy="4204970"/>
            <wp:effectExtent l="0" t="0" r="3175" b="5080"/>
            <wp:docPr id="4" name="Picture 4" descr="CorrMatr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rrMatri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975" cy="420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E196DF" w14:textId="2E6C907A" w:rsidR="00994A3D" w:rsidRPr="002B4A57" w:rsidRDefault="00994A3D" w:rsidP="002B4A57">
      <w:pPr>
        <w:keepNext/>
        <w:rPr>
          <w:rFonts w:cs="Times New Roman"/>
          <w:b/>
          <w:szCs w:val="24"/>
        </w:rPr>
      </w:pPr>
      <w:r w:rsidRPr="0001436A">
        <w:rPr>
          <w:rFonts w:cs="Times New Roman"/>
          <w:b/>
          <w:szCs w:val="24"/>
        </w:rPr>
        <w:t xml:space="preserve">Supplementary Figure </w:t>
      </w:r>
      <w:r w:rsidRPr="0001436A">
        <w:rPr>
          <w:rFonts w:cs="Times New Roman"/>
          <w:b/>
          <w:szCs w:val="24"/>
        </w:rPr>
        <w:fldChar w:fldCharType="begin"/>
      </w:r>
      <w:r w:rsidRPr="0001436A">
        <w:rPr>
          <w:rFonts w:cs="Times New Roman"/>
          <w:b/>
          <w:szCs w:val="24"/>
        </w:rPr>
        <w:instrText xml:space="preserve"> SEQ Figure \* ARABIC </w:instrText>
      </w:r>
      <w:r w:rsidRPr="0001436A">
        <w:rPr>
          <w:rFonts w:cs="Times New Roman"/>
          <w:b/>
          <w:szCs w:val="24"/>
        </w:rPr>
        <w:fldChar w:fldCharType="separate"/>
      </w:r>
      <w:r w:rsidR="00ED20B5">
        <w:rPr>
          <w:rFonts w:cs="Times New Roman"/>
          <w:b/>
          <w:noProof/>
          <w:szCs w:val="24"/>
        </w:rPr>
        <w:t>1</w:t>
      </w:r>
      <w:r w:rsidRPr="0001436A">
        <w:rPr>
          <w:rFonts w:cs="Times New Roman"/>
          <w:b/>
          <w:szCs w:val="24"/>
        </w:rPr>
        <w:fldChar w:fldCharType="end"/>
      </w:r>
      <w:r w:rsidRPr="0001436A">
        <w:rPr>
          <w:rFonts w:cs="Times New Roman"/>
          <w:b/>
          <w:szCs w:val="24"/>
        </w:rPr>
        <w:t>.</w:t>
      </w:r>
      <w:r w:rsidRPr="001549D3">
        <w:rPr>
          <w:rFonts w:cs="Times New Roman"/>
          <w:szCs w:val="24"/>
        </w:rPr>
        <w:t xml:space="preserve"> </w:t>
      </w:r>
      <w:r w:rsidR="00D510BA" w:rsidRPr="00D510BA">
        <w:rPr>
          <w:rFonts w:cs="Times New Roman"/>
          <w:szCs w:val="24"/>
        </w:rPr>
        <w:t>Correlation matrix of input variables. See Table 1 for detailed variable names</w:t>
      </w:r>
      <w:r w:rsidRPr="001549D3">
        <w:rPr>
          <w:rFonts w:cs="Times New Roman"/>
          <w:szCs w:val="24"/>
        </w:rPr>
        <w:t xml:space="preserve">. </w:t>
      </w:r>
    </w:p>
    <w:p w14:paraId="7B65BC41" w14:textId="3D4F6110" w:rsidR="00DE23E8" w:rsidRDefault="00DE23E8" w:rsidP="00654E8F">
      <w:pPr>
        <w:spacing w:before="240"/>
      </w:pPr>
    </w:p>
    <w:p w14:paraId="294B73A9" w14:textId="4EA0F3DC" w:rsidR="003A1D95" w:rsidRDefault="003A1D95" w:rsidP="00654E8F">
      <w:pPr>
        <w:spacing w:before="240"/>
      </w:pPr>
    </w:p>
    <w:p w14:paraId="0FB8141E" w14:textId="23E88A88" w:rsidR="003A1D95" w:rsidRDefault="003A1D95" w:rsidP="00654E8F">
      <w:pPr>
        <w:spacing w:before="240"/>
      </w:pPr>
    </w:p>
    <w:p w14:paraId="2B174FC3" w14:textId="276D43A9" w:rsidR="003A1D95" w:rsidRDefault="003A1D95" w:rsidP="00654E8F">
      <w:pPr>
        <w:spacing w:before="240"/>
      </w:pPr>
    </w:p>
    <w:p w14:paraId="25C97DB7" w14:textId="3DE8AEB8" w:rsidR="008A30CB" w:rsidRDefault="008A30CB" w:rsidP="00654E8F">
      <w:pPr>
        <w:spacing w:before="240"/>
      </w:pPr>
    </w:p>
    <w:p w14:paraId="2283AF7F" w14:textId="30F06F22" w:rsidR="008A30CB" w:rsidRDefault="008A30CB" w:rsidP="00654E8F">
      <w:pPr>
        <w:spacing w:before="240"/>
      </w:pPr>
    </w:p>
    <w:p w14:paraId="580EB3B1" w14:textId="43E56BEE" w:rsidR="008A30CB" w:rsidRDefault="008A30CB" w:rsidP="008A30CB">
      <w:pPr>
        <w:pStyle w:val="Heading1"/>
      </w:pPr>
      <w:r w:rsidRPr="00994A3D">
        <w:lastRenderedPageBreak/>
        <w:t xml:space="preserve">Supplementary </w:t>
      </w:r>
      <w:r>
        <w:t>Table</w:t>
      </w:r>
      <w:r w:rsidR="002B09DE">
        <w:t>*</w:t>
      </w:r>
    </w:p>
    <w:tbl>
      <w:tblPr>
        <w:tblStyle w:val="TableGrid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25"/>
        <w:gridCol w:w="2880"/>
        <w:gridCol w:w="935"/>
        <w:gridCol w:w="1770"/>
        <w:gridCol w:w="1770"/>
      </w:tblGrid>
      <w:tr w:rsidR="008A30CB" w:rsidRPr="002D7D0C" w14:paraId="423D9F01" w14:textId="77777777" w:rsidTr="0076355D">
        <w:trPr>
          <w:trHeight w:val="184"/>
          <w:jc w:val="center"/>
        </w:trPr>
        <w:tc>
          <w:tcPr>
            <w:tcW w:w="1525" w:type="dxa"/>
          </w:tcPr>
          <w:p w14:paraId="37034600" w14:textId="77777777" w:rsidR="008A30CB" w:rsidRPr="00E10A80" w:rsidRDefault="008A30CB" w:rsidP="0076355D">
            <w:pPr>
              <w:widowControl w:val="0"/>
              <w:spacing w:before="0" w:after="0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E10A80">
              <w:rPr>
                <w:rFonts w:cs="Times New Roman"/>
                <w:b/>
                <w:color w:val="000000"/>
                <w:sz w:val="16"/>
                <w:szCs w:val="16"/>
              </w:rPr>
              <w:t>Prediction Time</w:t>
            </w:r>
          </w:p>
        </w:tc>
        <w:tc>
          <w:tcPr>
            <w:tcW w:w="2880" w:type="dxa"/>
          </w:tcPr>
          <w:p w14:paraId="13A12CF2" w14:textId="30DB8457" w:rsidR="008A30CB" w:rsidRPr="00E10A80" w:rsidRDefault="008A30CB" w:rsidP="0076355D">
            <w:pPr>
              <w:widowControl w:val="0"/>
              <w:spacing w:before="0" w:after="0"/>
              <w:rPr>
                <w:rFonts w:cs="Times New Roman"/>
                <w:b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color w:val="000000"/>
                <w:sz w:val="16"/>
                <w:szCs w:val="16"/>
              </w:rPr>
              <w:t>Using Previous Years’ Yields</w:t>
            </w:r>
          </w:p>
        </w:tc>
        <w:tc>
          <w:tcPr>
            <w:tcW w:w="935" w:type="dxa"/>
          </w:tcPr>
          <w:p w14:paraId="2945FA36" w14:textId="77777777" w:rsidR="008A30CB" w:rsidRPr="00E10A80" w:rsidRDefault="008A30CB" w:rsidP="0076355D">
            <w:pPr>
              <w:widowControl w:val="0"/>
              <w:spacing w:before="0" w:after="0"/>
              <w:jc w:val="both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E10A80">
              <w:rPr>
                <w:rFonts w:cs="Times New Roman"/>
                <w:b/>
                <w:color w:val="000000"/>
                <w:sz w:val="16"/>
                <w:szCs w:val="16"/>
              </w:rPr>
              <w:t>R</w:t>
            </w:r>
            <w:r w:rsidRPr="00E10A80">
              <w:rPr>
                <w:rFonts w:cs="Times New Roman"/>
                <w:b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70" w:type="dxa"/>
          </w:tcPr>
          <w:p w14:paraId="7C9CA93A" w14:textId="72C3B6C1" w:rsidR="008A30CB" w:rsidRPr="00E10A80" w:rsidRDefault="008A30CB" w:rsidP="0076355D">
            <w:pPr>
              <w:widowControl w:val="0"/>
              <w:spacing w:before="0" w:after="0"/>
              <w:jc w:val="both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E10A80">
              <w:rPr>
                <w:rFonts w:cs="Times New Roman"/>
                <w:b/>
                <w:color w:val="000000"/>
                <w:sz w:val="16"/>
                <w:szCs w:val="16"/>
              </w:rPr>
              <w:t>RMSE (</w:t>
            </w:r>
            <w:r w:rsidR="00C42C0B">
              <w:rPr>
                <w:rFonts w:cs="Times New Roman"/>
                <w:b/>
                <w:color w:val="000000"/>
                <w:sz w:val="16"/>
                <w:szCs w:val="16"/>
              </w:rPr>
              <w:t>kg/ha</w:t>
            </w:r>
            <w:r w:rsidRPr="00E10A80">
              <w:rPr>
                <w:rFonts w:cs="Times New Roman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770" w:type="dxa"/>
          </w:tcPr>
          <w:p w14:paraId="21151E71" w14:textId="77777777" w:rsidR="008A30CB" w:rsidRPr="00E10A80" w:rsidRDefault="008A30CB" w:rsidP="0076355D">
            <w:pPr>
              <w:widowControl w:val="0"/>
              <w:spacing w:before="0" w:after="0"/>
              <w:jc w:val="both"/>
              <w:rPr>
                <w:rFonts w:cs="Times New Roman"/>
                <w:b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color w:val="000000"/>
                <w:sz w:val="16"/>
                <w:szCs w:val="16"/>
              </w:rPr>
              <w:t>RPIQ</w:t>
            </w:r>
          </w:p>
        </w:tc>
      </w:tr>
      <w:tr w:rsidR="00245312" w:rsidRPr="002D7D0C" w14:paraId="428073D7" w14:textId="77777777" w:rsidTr="0076355D">
        <w:trPr>
          <w:jc w:val="center"/>
        </w:trPr>
        <w:tc>
          <w:tcPr>
            <w:tcW w:w="1525" w:type="dxa"/>
            <w:vMerge w:val="restart"/>
          </w:tcPr>
          <w:p w14:paraId="4224AF04" w14:textId="35DFC456" w:rsidR="00245312" w:rsidRPr="002D7D0C" w:rsidRDefault="00245312" w:rsidP="00EE46CD">
            <w:pPr>
              <w:widowControl w:val="0"/>
              <w:spacing w:before="0" w:after="0"/>
              <w:rPr>
                <w:rFonts w:cs="Times New Roman"/>
                <w:color w:val="000000"/>
                <w:sz w:val="16"/>
                <w:szCs w:val="16"/>
              </w:rPr>
            </w:pPr>
          </w:p>
          <w:p w14:paraId="5200C1BE" w14:textId="145B0279" w:rsidR="00245312" w:rsidRPr="002D7D0C" w:rsidRDefault="00245312" w:rsidP="00EE46CD">
            <w:pPr>
              <w:widowControl w:val="0"/>
              <w:spacing w:before="0" w:after="0"/>
              <w:rPr>
                <w:rFonts w:cs="Times New Roman"/>
                <w:color w:val="000000"/>
                <w:sz w:val="16"/>
                <w:szCs w:val="16"/>
              </w:rPr>
            </w:pPr>
            <w:r w:rsidRPr="00245312">
              <w:rPr>
                <w:rFonts w:cs="Times New Roman"/>
                <w:sz w:val="16"/>
                <w:szCs w:val="16"/>
              </w:rPr>
              <w:t>Early-season</w:t>
            </w:r>
          </w:p>
        </w:tc>
        <w:tc>
          <w:tcPr>
            <w:tcW w:w="2880" w:type="dxa"/>
          </w:tcPr>
          <w:p w14:paraId="02157D5B" w14:textId="0DF51397" w:rsidR="00245312" w:rsidRDefault="00245312" w:rsidP="00B27514">
            <w:pPr>
              <w:widowControl w:val="0"/>
              <w:spacing w:before="0" w:after="0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Previous </w:t>
            </w:r>
            <w:r>
              <w:rPr>
                <w:rFonts w:cs="Times New Roman"/>
                <w:color w:val="000000"/>
                <w:sz w:val="16"/>
                <w:szCs w:val="16"/>
              </w:rPr>
              <w:t>two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 years</w:t>
            </w:r>
          </w:p>
        </w:tc>
        <w:tc>
          <w:tcPr>
            <w:tcW w:w="935" w:type="dxa"/>
          </w:tcPr>
          <w:p w14:paraId="0D76ABAF" w14:textId="308DC82D" w:rsidR="00245312" w:rsidRDefault="00245312" w:rsidP="00B27514">
            <w:pPr>
              <w:widowControl w:val="0"/>
              <w:spacing w:before="0" w:after="0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0.70 (0.04)</w:t>
            </w:r>
          </w:p>
        </w:tc>
        <w:tc>
          <w:tcPr>
            <w:tcW w:w="1770" w:type="dxa"/>
          </w:tcPr>
          <w:p w14:paraId="1CA4FEB8" w14:textId="463F3982" w:rsidR="00245312" w:rsidRDefault="00245312" w:rsidP="00B27514">
            <w:pPr>
              <w:widowControl w:val="0"/>
              <w:spacing w:before="0" w:after="0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338 (34.4)</w:t>
            </w:r>
          </w:p>
        </w:tc>
        <w:tc>
          <w:tcPr>
            <w:tcW w:w="1770" w:type="dxa"/>
          </w:tcPr>
          <w:p w14:paraId="00CC8E6C" w14:textId="03B08559" w:rsidR="00245312" w:rsidRDefault="00245312" w:rsidP="00B27514">
            <w:pPr>
              <w:widowControl w:val="0"/>
              <w:spacing w:before="0" w:after="0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2.60 (0.25)</w:t>
            </w:r>
          </w:p>
        </w:tc>
      </w:tr>
      <w:tr w:rsidR="00245312" w:rsidRPr="002D7D0C" w14:paraId="3BEB3065" w14:textId="77777777" w:rsidTr="0076355D">
        <w:trPr>
          <w:jc w:val="center"/>
        </w:trPr>
        <w:tc>
          <w:tcPr>
            <w:tcW w:w="1525" w:type="dxa"/>
            <w:vMerge/>
          </w:tcPr>
          <w:p w14:paraId="4212834F" w14:textId="1373A361" w:rsidR="00245312" w:rsidRPr="002D7D0C" w:rsidRDefault="00245312" w:rsidP="00EE46CD">
            <w:pPr>
              <w:widowControl w:val="0"/>
              <w:spacing w:before="0" w:after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</w:tcPr>
          <w:p w14:paraId="5B444BCF" w14:textId="0569BBF5" w:rsidR="00245312" w:rsidRPr="002D7D0C" w:rsidRDefault="00245312" w:rsidP="00EE46CD">
            <w:pPr>
              <w:widowControl w:val="0"/>
              <w:spacing w:before="0" w:after="0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Previous three years</w:t>
            </w:r>
          </w:p>
        </w:tc>
        <w:tc>
          <w:tcPr>
            <w:tcW w:w="935" w:type="dxa"/>
          </w:tcPr>
          <w:p w14:paraId="661D236E" w14:textId="4456BE9F" w:rsidR="00245312" w:rsidRPr="002D7D0C" w:rsidRDefault="00245312" w:rsidP="00EE46CD">
            <w:pPr>
              <w:widowControl w:val="0"/>
              <w:spacing w:before="0" w:after="0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0.69 (0.03)</w:t>
            </w:r>
          </w:p>
        </w:tc>
        <w:tc>
          <w:tcPr>
            <w:tcW w:w="1770" w:type="dxa"/>
          </w:tcPr>
          <w:p w14:paraId="06E52DFF" w14:textId="752DE789" w:rsidR="00245312" w:rsidRPr="002D7D0C" w:rsidRDefault="00245312" w:rsidP="00EE46CD">
            <w:pPr>
              <w:widowControl w:val="0"/>
              <w:spacing w:before="0" w:after="0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344 (33.0)</w:t>
            </w:r>
          </w:p>
        </w:tc>
        <w:tc>
          <w:tcPr>
            <w:tcW w:w="1770" w:type="dxa"/>
          </w:tcPr>
          <w:p w14:paraId="21224CDB" w14:textId="73205FE8" w:rsidR="00245312" w:rsidRPr="002D7D0C" w:rsidRDefault="00245312" w:rsidP="00EE46CD">
            <w:pPr>
              <w:widowControl w:val="0"/>
              <w:spacing w:before="0" w:after="0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2.55 (0.22)</w:t>
            </w:r>
          </w:p>
        </w:tc>
      </w:tr>
      <w:tr w:rsidR="00245312" w:rsidRPr="002D7D0C" w14:paraId="289EDCBA" w14:textId="77777777" w:rsidTr="0076355D">
        <w:trPr>
          <w:jc w:val="center"/>
        </w:trPr>
        <w:tc>
          <w:tcPr>
            <w:tcW w:w="1525" w:type="dxa"/>
            <w:vMerge/>
          </w:tcPr>
          <w:p w14:paraId="3268F388" w14:textId="082A1394" w:rsidR="00245312" w:rsidRPr="00245312" w:rsidRDefault="00245312" w:rsidP="00EE46CD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14:paraId="7F538431" w14:textId="312A178E" w:rsidR="00245312" w:rsidRPr="00245312" w:rsidRDefault="00245312" w:rsidP="00EE46CD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  <w:r w:rsidRPr="00245312">
              <w:rPr>
                <w:rFonts w:cs="Times New Roman"/>
                <w:sz w:val="16"/>
                <w:szCs w:val="16"/>
              </w:rPr>
              <w:t xml:space="preserve">Previous </w:t>
            </w:r>
            <w:r w:rsidRPr="00245312">
              <w:rPr>
                <w:rFonts w:cs="Times New Roman"/>
                <w:sz w:val="16"/>
                <w:szCs w:val="16"/>
              </w:rPr>
              <w:t>four</w:t>
            </w:r>
            <w:r w:rsidRPr="00245312">
              <w:rPr>
                <w:rFonts w:cs="Times New Roman"/>
                <w:sz w:val="16"/>
                <w:szCs w:val="16"/>
              </w:rPr>
              <w:t xml:space="preserve"> years</w:t>
            </w:r>
          </w:p>
        </w:tc>
        <w:tc>
          <w:tcPr>
            <w:tcW w:w="935" w:type="dxa"/>
          </w:tcPr>
          <w:p w14:paraId="42033932" w14:textId="73E72F6F" w:rsidR="00245312" w:rsidRPr="00245312" w:rsidRDefault="00245312" w:rsidP="00EE46CD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  <w:r w:rsidRPr="00245312">
              <w:rPr>
                <w:rFonts w:cs="Times New Roman"/>
                <w:sz w:val="16"/>
                <w:szCs w:val="16"/>
              </w:rPr>
              <w:t>0.68 (0.05)</w:t>
            </w:r>
          </w:p>
        </w:tc>
        <w:tc>
          <w:tcPr>
            <w:tcW w:w="1770" w:type="dxa"/>
          </w:tcPr>
          <w:p w14:paraId="10B61480" w14:textId="321FF56A" w:rsidR="00245312" w:rsidRPr="00245312" w:rsidRDefault="00245312" w:rsidP="00EE46CD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  <w:r w:rsidRPr="00245312">
              <w:rPr>
                <w:rFonts w:cs="Times New Roman"/>
                <w:sz w:val="16"/>
                <w:szCs w:val="16"/>
              </w:rPr>
              <w:t>347 (37.5)</w:t>
            </w:r>
          </w:p>
        </w:tc>
        <w:tc>
          <w:tcPr>
            <w:tcW w:w="1770" w:type="dxa"/>
          </w:tcPr>
          <w:p w14:paraId="343D241B" w14:textId="3C7530B3" w:rsidR="00245312" w:rsidRPr="00245312" w:rsidRDefault="00245312" w:rsidP="00EE46CD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  <w:r w:rsidRPr="00245312">
              <w:rPr>
                <w:rFonts w:cs="Times New Roman"/>
                <w:sz w:val="16"/>
                <w:szCs w:val="16"/>
              </w:rPr>
              <w:t>2.55 (0.32)</w:t>
            </w:r>
          </w:p>
        </w:tc>
      </w:tr>
      <w:tr w:rsidR="00B766AC" w:rsidRPr="002D7D0C" w14:paraId="57D7D8E8" w14:textId="77777777" w:rsidTr="0076355D">
        <w:trPr>
          <w:jc w:val="center"/>
        </w:trPr>
        <w:tc>
          <w:tcPr>
            <w:tcW w:w="1525" w:type="dxa"/>
            <w:vMerge w:val="restart"/>
          </w:tcPr>
          <w:p w14:paraId="2AE91380" w14:textId="3DCFA5B7" w:rsidR="00B766AC" w:rsidRPr="002D7D0C" w:rsidRDefault="00B766AC" w:rsidP="00BD2D76">
            <w:pPr>
              <w:widowControl w:val="0"/>
              <w:spacing w:before="0" w:after="0"/>
              <w:rPr>
                <w:rFonts w:cs="Times New Roman"/>
                <w:color w:val="000000"/>
                <w:sz w:val="16"/>
                <w:szCs w:val="16"/>
              </w:rPr>
            </w:pPr>
          </w:p>
          <w:p w14:paraId="4A9DED77" w14:textId="77777777" w:rsidR="00B766AC" w:rsidRPr="002D7D0C" w:rsidRDefault="00B766AC" w:rsidP="00BD2D76">
            <w:pPr>
              <w:widowControl w:val="0"/>
              <w:spacing w:before="0" w:after="0"/>
              <w:rPr>
                <w:rFonts w:cs="Times New Roman"/>
                <w:color w:val="000000"/>
                <w:sz w:val="16"/>
                <w:szCs w:val="16"/>
              </w:rPr>
            </w:pPr>
            <w:r w:rsidRPr="002D7D0C">
              <w:rPr>
                <w:rFonts w:cs="Times New Roman"/>
                <w:color w:val="000000"/>
                <w:sz w:val="16"/>
                <w:szCs w:val="16"/>
              </w:rPr>
              <w:t>Mid-season</w:t>
            </w:r>
          </w:p>
          <w:p w14:paraId="05E2FF16" w14:textId="346C0B64" w:rsidR="00B766AC" w:rsidRPr="002D7D0C" w:rsidRDefault="00B766AC" w:rsidP="00BD2D76">
            <w:pPr>
              <w:widowControl w:val="0"/>
              <w:spacing w:before="0" w:after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</w:tcPr>
          <w:p w14:paraId="70609966" w14:textId="745FAE0A" w:rsidR="00B766AC" w:rsidRDefault="00B766AC" w:rsidP="00BD2D76">
            <w:pPr>
              <w:widowControl w:val="0"/>
              <w:spacing w:before="0" w:after="0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Previous t</w:t>
            </w:r>
            <w:r>
              <w:rPr>
                <w:rFonts w:cs="Times New Roman"/>
                <w:color w:val="000000"/>
                <w:sz w:val="16"/>
                <w:szCs w:val="16"/>
              </w:rPr>
              <w:t>wo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 years</w:t>
            </w:r>
          </w:p>
        </w:tc>
        <w:tc>
          <w:tcPr>
            <w:tcW w:w="935" w:type="dxa"/>
          </w:tcPr>
          <w:p w14:paraId="44E9D6EA" w14:textId="24537879" w:rsidR="00B766AC" w:rsidRPr="002D7D0C" w:rsidRDefault="00B766AC" w:rsidP="00BD2D76">
            <w:pPr>
              <w:widowControl w:val="0"/>
              <w:spacing w:before="0" w:after="0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0.71 (0.03)</w:t>
            </w:r>
          </w:p>
        </w:tc>
        <w:tc>
          <w:tcPr>
            <w:tcW w:w="1770" w:type="dxa"/>
          </w:tcPr>
          <w:p w14:paraId="59E6A865" w14:textId="393D884C" w:rsidR="00B766AC" w:rsidRPr="002D7D0C" w:rsidRDefault="00B766AC" w:rsidP="00BD2D76">
            <w:pPr>
              <w:widowControl w:val="0"/>
              <w:spacing w:before="0" w:after="0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331 (31.9)</w:t>
            </w:r>
          </w:p>
        </w:tc>
        <w:tc>
          <w:tcPr>
            <w:tcW w:w="1770" w:type="dxa"/>
          </w:tcPr>
          <w:p w14:paraId="00D71F49" w14:textId="604CEC20" w:rsidR="00B766AC" w:rsidRPr="002D7D0C" w:rsidRDefault="00B766AC" w:rsidP="00BD2D76">
            <w:pPr>
              <w:widowControl w:val="0"/>
              <w:spacing w:before="0" w:after="0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2.65 (0.22)</w:t>
            </w:r>
          </w:p>
        </w:tc>
      </w:tr>
      <w:tr w:rsidR="00B766AC" w:rsidRPr="002D7D0C" w14:paraId="5D84DBAC" w14:textId="77777777" w:rsidTr="0076355D">
        <w:trPr>
          <w:jc w:val="center"/>
        </w:trPr>
        <w:tc>
          <w:tcPr>
            <w:tcW w:w="1525" w:type="dxa"/>
            <w:vMerge/>
          </w:tcPr>
          <w:p w14:paraId="0927FBDB" w14:textId="4DD62227" w:rsidR="00B766AC" w:rsidRPr="002D7D0C" w:rsidRDefault="00B766AC" w:rsidP="00BD2D76">
            <w:pPr>
              <w:widowControl w:val="0"/>
              <w:spacing w:before="0" w:after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</w:tcPr>
          <w:p w14:paraId="5DF5B7C8" w14:textId="6792789C" w:rsidR="00B766AC" w:rsidRDefault="00B766AC" w:rsidP="00BD2D76">
            <w:pPr>
              <w:widowControl w:val="0"/>
              <w:spacing w:before="0" w:after="0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Previous three years</w:t>
            </w:r>
          </w:p>
        </w:tc>
        <w:tc>
          <w:tcPr>
            <w:tcW w:w="935" w:type="dxa"/>
          </w:tcPr>
          <w:p w14:paraId="369853FA" w14:textId="2BA7D6E3" w:rsidR="00B766AC" w:rsidRDefault="00B766AC" w:rsidP="00BD2D76">
            <w:pPr>
              <w:widowControl w:val="0"/>
              <w:spacing w:before="0" w:after="0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0.71 (0.03)</w:t>
            </w:r>
          </w:p>
        </w:tc>
        <w:tc>
          <w:tcPr>
            <w:tcW w:w="1770" w:type="dxa"/>
          </w:tcPr>
          <w:p w14:paraId="0CDA7796" w14:textId="445338E5" w:rsidR="00B766AC" w:rsidRDefault="00B766AC" w:rsidP="00BD2D76">
            <w:pPr>
              <w:widowControl w:val="0"/>
              <w:spacing w:before="0" w:after="0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334 (29.1)</w:t>
            </w:r>
          </w:p>
        </w:tc>
        <w:tc>
          <w:tcPr>
            <w:tcW w:w="1770" w:type="dxa"/>
          </w:tcPr>
          <w:p w14:paraId="342A8032" w14:textId="7D0DA656" w:rsidR="00B766AC" w:rsidRDefault="00B766AC" w:rsidP="00BD2D76">
            <w:pPr>
              <w:widowControl w:val="0"/>
              <w:spacing w:before="0" w:after="0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2.63 (0.22)</w:t>
            </w:r>
          </w:p>
        </w:tc>
      </w:tr>
      <w:tr w:rsidR="00B766AC" w:rsidRPr="002D7D0C" w14:paraId="39235494" w14:textId="77777777" w:rsidTr="0076355D">
        <w:trPr>
          <w:jc w:val="center"/>
        </w:trPr>
        <w:tc>
          <w:tcPr>
            <w:tcW w:w="1525" w:type="dxa"/>
            <w:vMerge/>
          </w:tcPr>
          <w:p w14:paraId="2314905B" w14:textId="447668B1" w:rsidR="00B766AC" w:rsidRPr="002D7D0C" w:rsidRDefault="00B766AC" w:rsidP="00BD2D76">
            <w:pPr>
              <w:widowControl w:val="0"/>
              <w:spacing w:before="0" w:after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</w:tcPr>
          <w:p w14:paraId="66F2BF1C" w14:textId="54B9C9CF" w:rsidR="00B766AC" w:rsidRDefault="00B766AC" w:rsidP="00BD2D76">
            <w:pPr>
              <w:widowControl w:val="0"/>
              <w:spacing w:before="0" w:after="0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Previous </w:t>
            </w:r>
            <w:r>
              <w:rPr>
                <w:rFonts w:cs="Times New Roman"/>
                <w:color w:val="000000"/>
                <w:sz w:val="16"/>
                <w:szCs w:val="16"/>
              </w:rPr>
              <w:t>four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 years</w:t>
            </w:r>
          </w:p>
        </w:tc>
        <w:tc>
          <w:tcPr>
            <w:tcW w:w="935" w:type="dxa"/>
          </w:tcPr>
          <w:p w14:paraId="099A7D07" w14:textId="5C86953F" w:rsidR="00B766AC" w:rsidRDefault="00B766AC" w:rsidP="00BD2D76">
            <w:pPr>
              <w:widowControl w:val="0"/>
              <w:spacing w:before="0" w:after="0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0.70 (0.03)</w:t>
            </w:r>
          </w:p>
        </w:tc>
        <w:tc>
          <w:tcPr>
            <w:tcW w:w="1770" w:type="dxa"/>
          </w:tcPr>
          <w:p w14:paraId="06BB1F95" w14:textId="343ED607" w:rsidR="00B766AC" w:rsidRDefault="00B766AC" w:rsidP="00BD2D76">
            <w:pPr>
              <w:widowControl w:val="0"/>
              <w:spacing w:before="0" w:after="0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341 (28.8)</w:t>
            </w:r>
          </w:p>
        </w:tc>
        <w:tc>
          <w:tcPr>
            <w:tcW w:w="1770" w:type="dxa"/>
          </w:tcPr>
          <w:p w14:paraId="53B746C8" w14:textId="56C63ACC" w:rsidR="00B766AC" w:rsidRDefault="00B766AC" w:rsidP="00BD2D76">
            <w:pPr>
              <w:widowControl w:val="0"/>
              <w:spacing w:before="0" w:after="0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2.57 (0.19)</w:t>
            </w:r>
          </w:p>
        </w:tc>
      </w:tr>
    </w:tbl>
    <w:p w14:paraId="02489EDD" w14:textId="77777777" w:rsidR="008A30CB" w:rsidRPr="008A30CB" w:rsidRDefault="008A30CB" w:rsidP="008A30CB"/>
    <w:p w14:paraId="0992C9CA" w14:textId="00CFA360" w:rsidR="00B766AC" w:rsidRDefault="00B766AC" w:rsidP="0031374A">
      <w:pPr>
        <w:keepNext/>
        <w:spacing w:before="0" w:after="0"/>
        <w:rPr>
          <w:rFonts w:cs="Times New Roman"/>
          <w:szCs w:val="24"/>
        </w:rPr>
      </w:pPr>
      <w:r w:rsidRPr="0001436A">
        <w:rPr>
          <w:rFonts w:cs="Times New Roman"/>
          <w:b/>
          <w:szCs w:val="24"/>
        </w:rPr>
        <w:t xml:space="preserve">Supplementary </w:t>
      </w:r>
      <w:r>
        <w:rPr>
          <w:rFonts w:cs="Times New Roman"/>
          <w:b/>
          <w:szCs w:val="24"/>
        </w:rPr>
        <w:t>Table</w:t>
      </w:r>
      <w:r w:rsidRPr="0001436A">
        <w:rPr>
          <w:rFonts w:cs="Times New Roman"/>
          <w:b/>
          <w:szCs w:val="24"/>
        </w:rPr>
        <w:t xml:space="preserve"> </w:t>
      </w:r>
      <w:r w:rsidRPr="0001436A">
        <w:rPr>
          <w:rFonts w:cs="Times New Roman"/>
          <w:b/>
          <w:szCs w:val="24"/>
        </w:rPr>
        <w:fldChar w:fldCharType="begin"/>
      </w:r>
      <w:r w:rsidRPr="0001436A">
        <w:rPr>
          <w:rFonts w:cs="Times New Roman"/>
          <w:b/>
          <w:szCs w:val="24"/>
        </w:rPr>
        <w:instrText xml:space="preserve"> SEQ Figure \* ARABIC </w:instrText>
      </w:r>
      <w:r w:rsidRPr="0001436A">
        <w:rPr>
          <w:rFonts w:cs="Times New Roman"/>
          <w:b/>
          <w:szCs w:val="24"/>
        </w:rPr>
        <w:fldChar w:fldCharType="separate"/>
      </w:r>
      <w:r>
        <w:rPr>
          <w:rFonts w:cs="Times New Roman"/>
          <w:b/>
          <w:noProof/>
          <w:szCs w:val="24"/>
        </w:rPr>
        <w:t>1</w:t>
      </w:r>
      <w:r w:rsidRPr="0001436A">
        <w:rPr>
          <w:rFonts w:cs="Times New Roman"/>
          <w:b/>
          <w:szCs w:val="24"/>
        </w:rPr>
        <w:fldChar w:fldCharType="end"/>
      </w:r>
      <w:r w:rsidRPr="0001436A">
        <w:rPr>
          <w:rFonts w:cs="Times New Roman"/>
          <w:b/>
          <w:szCs w:val="24"/>
        </w:rPr>
        <w:t>.</w:t>
      </w:r>
      <w:r w:rsidRPr="001549D3">
        <w:rPr>
          <w:rFonts w:cs="Times New Roman"/>
          <w:szCs w:val="24"/>
        </w:rPr>
        <w:t xml:space="preserve"> </w:t>
      </w:r>
      <w:r w:rsidR="0031374A">
        <w:rPr>
          <w:rFonts w:cs="Times New Roman"/>
          <w:szCs w:val="24"/>
        </w:rPr>
        <w:t>Explore using different years of historical yields in yield prediction models</w:t>
      </w:r>
    </w:p>
    <w:p w14:paraId="7960A1EC" w14:textId="08F8332D" w:rsidR="002B09DE" w:rsidRPr="00206BF2" w:rsidRDefault="0031374A" w:rsidP="002B09DE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color w:val="3E3D40"/>
        </w:rPr>
      </w:pPr>
      <w:r>
        <w:t>(</w:t>
      </w:r>
      <w:r w:rsidR="002B09DE">
        <w:t>*</w:t>
      </w:r>
      <w:r>
        <w:t xml:space="preserve">Note: </w:t>
      </w:r>
      <w:r w:rsidR="00EA696F">
        <w:rPr>
          <w:color w:val="3E3D40"/>
        </w:rPr>
        <w:t xml:space="preserve">the total number of </w:t>
      </w:r>
      <w:r w:rsidR="00EA696F">
        <w:rPr>
          <w:color w:val="3E3D40"/>
        </w:rPr>
        <w:t>available</w:t>
      </w:r>
      <w:r w:rsidR="00EA696F">
        <w:rPr>
          <w:color w:val="3E3D40"/>
        </w:rPr>
        <w:t xml:space="preserve"> samples</w:t>
      </w:r>
      <w:r w:rsidR="00EA696F">
        <w:rPr>
          <w:color w:val="3E3D40"/>
        </w:rPr>
        <w:t xml:space="preserve"> </w:t>
      </w:r>
      <w:r w:rsidR="00874477">
        <w:rPr>
          <w:color w:val="3E3D40"/>
        </w:rPr>
        <w:t xml:space="preserve">were reduced </w:t>
      </w:r>
      <w:r w:rsidR="00864277">
        <w:rPr>
          <w:color w:val="3E3D40"/>
        </w:rPr>
        <w:t xml:space="preserve">from 990 when using previous two years’ yields </w:t>
      </w:r>
      <w:r w:rsidR="00874477">
        <w:rPr>
          <w:color w:val="3E3D40"/>
        </w:rPr>
        <w:t xml:space="preserve">to 699 </w:t>
      </w:r>
      <w:r w:rsidR="00864277">
        <w:rPr>
          <w:color w:val="3E3D40"/>
        </w:rPr>
        <w:t xml:space="preserve">when </w:t>
      </w:r>
      <w:r w:rsidR="00874477">
        <w:rPr>
          <w:color w:val="3E3D40"/>
        </w:rPr>
        <w:t xml:space="preserve">using previous four years’ yields </w:t>
      </w:r>
      <w:r w:rsidR="002B09DE">
        <w:rPr>
          <w:color w:val="3E3D40"/>
        </w:rPr>
        <w:t xml:space="preserve">as predictors, </w:t>
      </w:r>
      <w:r w:rsidR="002B09DE">
        <w:rPr>
          <w:color w:val="3E3D40"/>
        </w:rPr>
        <w:t>since some orchards need to be excluded if they do not have that many years’ yield records.</w:t>
      </w:r>
      <w:r w:rsidR="00527AB5">
        <w:rPr>
          <w:color w:val="3E3D40"/>
        </w:rPr>
        <w:t xml:space="preserve"> </w:t>
      </w:r>
      <w:bookmarkStart w:id="0" w:name="_GoBack"/>
      <w:bookmarkEnd w:id="0"/>
      <w:r w:rsidR="00874477">
        <w:rPr>
          <w:color w:val="3E3D40"/>
        </w:rPr>
        <w:t>The experiment</w:t>
      </w:r>
      <w:r w:rsidR="00864277">
        <w:rPr>
          <w:color w:val="3E3D40"/>
        </w:rPr>
        <w:t>al results shown in this Table</w:t>
      </w:r>
      <w:r w:rsidR="00874477">
        <w:rPr>
          <w:color w:val="3E3D40"/>
        </w:rPr>
        <w:t xml:space="preserve"> were conducted based on the 699 available samples</w:t>
      </w:r>
      <w:r w:rsidR="00864277">
        <w:rPr>
          <w:color w:val="3E3D40"/>
        </w:rPr>
        <w:t xml:space="preserve"> under the cross-validation scheme). </w:t>
      </w:r>
    </w:p>
    <w:p w14:paraId="38BB5119" w14:textId="4B54202B" w:rsidR="0031374A" w:rsidRPr="0031374A" w:rsidRDefault="0031374A" w:rsidP="0031374A">
      <w:pPr>
        <w:keepNext/>
        <w:spacing w:before="0" w:after="0"/>
        <w:rPr>
          <w:rFonts w:cs="Times New Roman"/>
          <w:szCs w:val="24"/>
        </w:rPr>
      </w:pPr>
    </w:p>
    <w:p w14:paraId="12E43695" w14:textId="77777777" w:rsidR="008A30CB" w:rsidRPr="001549D3" w:rsidRDefault="008A30CB" w:rsidP="00654E8F">
      <w:pPr>
        <w:spacing w:before="240"/>
      </w:pPr>
    </w:p>
    <w:sectPr w:rsidR="008A30CB" w:rsidRPr="001549D3" w:rsidSect="0093429D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3B894" w14:textId="77777777" w:rsidR="00D04BE2" w:rsidRDefault="00D04BE2" w:rsidP="00117666">
      <w:pPr>
        <w:spacing w:after="0"/>
      </w:pPr>
      <w:r>
        <w:separator/>
      </w:r>
    </w:p>
  </w:endnote>
  <w:endnote w:type="continuationSeparator" w:id="0">
    <w:p w14:paraId="2F0D219B" w14:textId="77777777" w:rsidR="00D04BE2" w:rsidRDefault="00D04BE2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AB768" w14:textId="77777777" w:rsidR="00D04BE2" w:rsidRDefault="00D04BE2" w:rsidP="00117666">
      <w:pPr>
        <w:spacing w:after="0"/>
      </w:pPr>
      <w:r>
        <w:separator/>
      </w:r>
    </w:p>
  </w:footnote>
  <w:footnote w:type="continuationSeparator" w:id="0">
    <w:p w14:paraId="29C11EB3" w14:textId="77777777" w:rsidR="00D04BE2" w:rsidRDefault="00D04BE2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06E24"/>
    <w:rsid w:val="0001436A"/>
    <w:rsid w:val="0003347D"/>
    <w:rsid w:val="00034304"/>
    <w:rsid w:val="00035434"/>
    <w:rsid w:val="000434BC"/>
    <w:rsid w:val="00052A14"/>
    <w:rsid w:val="00077D53"/>
    <w:rsid w:val="000A3534"/>
    <w:rsid w:val="000B5039"/>
    <w:rsid w:val="000C25B1"/>
    <w:rsid w:val="00105FD9"/>
    <w:rsid w:val="00117666"/>
    <w:rsid w:val="001549D3"/>
    <w:rsid w:val="00160065"/>
    <w:rsid w:val="00177D84"/>
    <w:rsid w:val="001E1878"/>
    <w:rsid w:val="00245312"/>
    <w:rsid w:val="00267D18"/>
    <w:rsid w:val="00274347"/>
    <w:rsid w:val="002868E2"/>
    <w:rsid w:val="002869C3"/>
    <w:rsid w:val="002936E4"/>
    <w:rsid w:val="002B09DE"/>
    <w:rsid w:val="002B213F"/>
    <w:rsid w:val="002B4A57"/>
    <w:rsid w:val="002C74CA"/>
    <w:rsid w:val="003123F4"/>
    <w:rsid w:val="0031374A"/>
    <w:rsid w:val="003544FB"/>
    <w:rsid w:val="003A1D95"/>
    <w:rsid w:val="003D2F2D"/>
    <w:rsid w:val="00401590"/>
    <w:rsid w:val="00447801"/>
    <w:rsid w:val="00452E9C"/>
    <w:rsid w:val="004735C8"/>
    <w:rsid w:val="004947A6"/>
    <w:rsid w:val="004961FF"/>
    <w:rsid w:val="004A6B3E"/>
    <w:rsid w:val="00517A89"/>
    <w:rsid w:val="005250F2"/>
    <w:rsid w:val="00527AB5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64277"/>
    <w:rsid w:val="00874477"/>
    <w:rsid w:val="00885156"/>
    <w:rsid w:val="008A30CB"/>
    <w:rsid w:val="009151AA"/>
    <w:rsid w:val="0093429D"/>
    <w:rsid w:val="00943573"/>
    <w:rsid w:val="00964134"/>
    <w:rsid w:val="00970F7D"/>
    <w:rsid w:val="00994A3D"/>
    <w:rsid w:val="009C2B12"/>
    <w:rsid w:val="009E0660"/>
    <w:rsid w:val="00A174D9"/>
    <w:rsid w:val="00AA4D24"/>
    <w:rsid w:val="00AB6715"/>
    <w:rsid w:val="00B1671E"/>
    <w:rsid w:val="00B25EB8"/>
    <w:rsid w:val="00B27514"/>
    <w:rsid w:val="00B37F4D"/>
    <w:rsid w:val="00B766AC"/>
    <w:rsid w:val="00BD2D76"/>
    <w:rsid w:val="00C42C0B"/>
    <w:rsid w:val="00C52A7B"/>
    <w:rsid w:val="00C56BAF"/>
    <w:rsid w:val="00C679AA"/>
    <w:rsid w:val="00C75972"/>
    <w:rsid w:val="00CC23EA"/>
    <w:rsid w:val="00CD066B"/>
    <w:rsid w:val="00CE4FEE"/>
    <w:rsid w:val="00D04BE2"/>
    <w:rsid w:val="00D060CF"/>
    <w:rsid w:val="00D510BA"/>
    <w:rsid w:val="00DB59C3"/>
    <w:rsid w:val="00DC259A"/>
    <w:rsid w:val="00DE23E8"/>
    <w:rsid w:val="00E52377"/>
    <w:rsid w:val="00E537AD"/>
    <w:rsid w:val="00E64E17"/>
    <w:rsid w:val="00E866C9"/>
    <w:rsid w:val="00EA3D3C"/>
    <w:rsid w:val="00EA696F"/>
    <w:rsid w:val="00EC090A"/>
    <w:rsid w:val="00ED20B5"/>
    <w:rsid w:val="00EE46CD"/>
    <w:rsid w:val="00F31840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table" w:customStyle="1" w:styleId="TableGrid4">
    <w:name w:val="Table Grid4"/>
    <w:basedOn w:val="TableNormal"/>
    <w:next w:val="TableGrid"/>
    <w:uiPriority w:val="39"/>
    <w:rsid w:val="008A30CB"/>
    <w:pPr>
      <w:spacing w:after="0" w:line="240" w:lineRule="auto"/>
    </w:pPr>
    <w:rPr>
      <w:rFonts w:ascii="Calibri" w:eastAsia="DengXian" w:hAnsi="Calibri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ADC5840-F6FE-479F-A01D-B01BF0582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270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ZHOU ZHANG</cp:lastModifiedBy>
  <cp:revision>15</cp:revision>
  <cp:lastPrinted>2013-10-03T12:51:00Z</cp:lastPrinted>
  <dcterms:created xsi:type="dcterms:W3CDTF">2018-11-23T08:58:00Z</dcterms:created>
  <dcterms:modified xsi:type="dcterms:W3CDTF">2019-04-19T19:45:00Z</dcterms:modified>
</cp:coreProperties>
</file>