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14C51" w14:textId="146ECD25" w:rsidR="003D2609" w:rsidRPr="00CA0401" w:rsidRDefault="00BA550E" w:rsidP="003D2609">
      <w:pPr>
        <w:pStyle w:val="Lgende"/>
        <w:keepNext/>
        <w:rPr>
          <w:b/>
          <w:i w:val="0"/>
          <w:color w:val="auto"/>
        </w:rPr>
      </w:pPr>
      <w:r>
        <w:rPr>
          <w:b/>
          <w:i w:val="0"/>
          <w:color w:val="auto"/>
        </w:rPr>
        <w:t xml:space="preserve">Supplementary Table </w:t>
      </w:r>
      <w:r w:rsidR="005A14BC">
        <w:rPr>
          <w:b/>
          <w:i w:val="0"/>
          <w:color w:val="auto"/>
        </w:rPr>
        <w:t>5</w:t>
      </w:r>
      <w:bookmarkStart w:id="0" w:name="_GoBack"/>
      <w:bookmarkEnd w:id="0"/>
      <w:r w:rsidR="003D2609" w:rsidRPr="00CA0401">
        <w:rPr>
          <w:b/>
          <w:i w:val="0"/>
          <w:color w:val="auto"/>
        </w:rPr>
        <w:t>.  Descriptive statistics</w:t>
      </w:r>
      <w:r w:rsidR="00233F83" w:rsidRPr="00CA0401">
        <w:rPr>
          <w:b/>
          <w:i w:val="0"/>
          <w:color w:val="auto"/>
        </w:rPr>
        <w:t xml:space="preserve"> of</w:t>
      </w:r>
      <w:r w:rsidR="003D2609" w:rsidRPr="00CA0401">
        <w:rPr>
          <w:b/>
          <w:i w:val="0"/>
          <w:color w:val="auto"/>
        </w:rPr>
        <w:t xml:space="preserve"> </w:t>
      </w:r>
      <w:r w:rsidR="00C034A6" w:rsidRPr="00CA0401">
        <w:rPr>
          <w:b/>
          <w:i w:val="0"/>
          <w:color w:val="auto"/>
        </w:rPr>
        <w:t>alpha diversity indexes</w:t>
      </w:r>
      <w:r w:rsidR="003D2609" w:rsidRPr="00CA0401">
        <w:rPr>
          <w:b/>
          <w:i w:val="0"/>
          <w:color w:val="auto"/>
        </w:rPr>
        <w:t xml:space="preserve"> </w:t>
      </w:r>
      <w:r w:rsidR="00233F83" w:rsidRPr="00CA0401">
        <w:rPr>
          <w:b/>
          <w:i w:val="0"/>
          <w:color w:val="auto"/>
        </w:rPr>
        <w:t xml:space="preserve">by </w:t>
      </w:r>
      <w:r w:rsidR="00C50BC3" w:rsidRPr="00CA0401">
        <w:rPr>
          <w:b/>
          <w:i w:val="0"/>
          <w:color w:val="auto"/>
        </w:rPr>
        <w:t>field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864"/>
        <w:gridCol w:w="1785"/>
        <w:gridCol w:w="832"/>
        <w:gridCol w:w="1785"/>
      </w:tblGrid>
      <w:tr w:rsidR="001D0A3D" w:rsidRPr="002253D8" w14:paraId="545808CF" w14:textId="77777777" w:rsidTr="001D0A3D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8ED8915" w14:textId="77777777" w:rsidR="001D0A3D" w:rsidRPr="002253D8" w:rsidRDefault="001D0A3D" w:rsidP="005D529F">
            <w:pPr>
              <w:rPr>
                <w:rFonts w:hAnsiTheme="minorHAnsi" w:cstheme="minorHAnsi"/>
                <w:b/>
                <w:sz w:val="16"/>
                <w:szCs w:val="18"/>
                <w:vertAlign w:val="superscrip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95FB7" w14:textId="6151426C" w:rsidR="001D0A3D" w:rsidRPr="002253D8" w:rsidRDefault="001D0A3D" w:rsidP="001D0A3D">
            <w:pPr>
              <w:jc w:val="center"/>
              <w:rPr>
                <w:rFonts w:hAnsiTheme="minorHAnsi" w:cstheme="minorHAnsi"/>
                <w:sz w:val="16"/>
                <w:szCs w:val="18"/>
              </w:rPr>
            </w:pPr>
            <w:r>
              <w:rPr>
                <w:rFonts w:hAnsiTheme="minorHAnsi" w:cstheme="minorHAnsi"/>
                <w:sz w:val="16"/>
                <w:szCs w:val="18"/>
              </w:rPr>
              <w:t>Bacteria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EB08E" w14:textId="4A99E3E3" w:rsidR="001D0A3D" w:rsidRPr="002253D8" w:rsidRDefault="001D0A3D" w:rsidP="001D0A3D">
            <w:pPr>
              <w:jc w:val="center"/>
              <w:rPr>
                <w:rFonts w:hAnsiTheme="minorHAnsi" w:cstheme="minorHAnsi"/>
                <w:sz w:val="16"/>
                <w:szCs w:val="18"/>
              </w:rPr>
            </w:pPr>
            <w:r>
              <w:rPr>
                <w:rFonts w:hAnsiTheme="minorHAnsi" w:cstheme="minorHAnsi"/>
                <w:sz w:val="16"/>
                <w:szCs w:val="18"/>
              </w:rPr>
              <w:t>Fungi</w:t>
            </w:r>
          </w:p>
        </w:tc>
      </w:tr>
      <w:tr w:rsidR="001D0A3D" w:rsidRPr="002253D8" w14:paraId="52D7DB95" w14:textId="77777777" w:rsidTr="00110D1C">
        <w:tc>
          <w:tcPr>
            <w:tcW w:w="0" w:type="auto"/>
            <w:shd w:val="clear" w:color="auto" w:fill="auto"/>
          </w:tcPr>
          <w:p w14:paraId="4F84C9F7" w14:textId="77777777" w:rsidR="001D0A3D" w:rsidRPr="002253D8" w:rsidRDefault="001D0A3D" w:rsidP="005D529F">
            <w:pPr>
              <w:rPr>
                <w:rFonts w:hAnsiTheme="minorHAnsi" w:cstheme="minorHAnsi"/>
                <w:b/>
                <w:sz w:val="16"/>
                <w:szCs w:val="18"/>
                <w:vertAlign w:val="superscri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4DAA1" w14:textId="65FF9030" w:rsidR="001D0A3D" w:rsidRPr="002253D8" w:rsidRDefault="001D0A3D" w:rsidP="005D529F">
            <w:pPr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sz w:val="16"/>
                <w:szCs w:val="18"/>
              </w:rPr>
              <w:t>richness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41A6B" w14:textId="7541603D" w:rsidR="001D0A3D" w:rsidRPr="002253D8" w:rsidRDefault="00C50BC3" w:rsidP="005D529F">
            <w:pPr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sz w:val="16"/>
                <w:szCs w:val="18"/>
              </w:rPr>
              <w:t>E</w:t>
            </w:r>
            <w:r w:rsidR="001D0A3D" w:rsidRPr="002253D8">
              <w:rPr>
                <w:rFonts w:hAnsiTheme="minorHAnsi" w:cstheme="minorHAnsi"/>
                <w:sz w:val="16"/>
                <w:szCs w:val="18"/>
              </w:rPr>
              <w:t>venness</w:t>
            </w:r>
            <w:r>
              <w:rPr>
                <w:rFonts w:hAnsiTheme="minorHAnsi" w:cstheme="minorHAnsi"/>
                <w:sz w:val="16"/>
                <w:szCs w:val="18"/>
              </w:rPr>
              <w:t xml:space="preserve"> (smith-</w:t>
            </w:r>
            <w:proofErr w:type="spellStart"/>
            <w:r>
              <w:rPr>
                <w:rFonts w:hAnsiTheme="minorHAnsi" w:cstheme="minorHAnsi"/>
                <w:sz w:val="16"/>
                <w:szCs w:val="18"/>
              </w:rPr>
              <w:t>wilson</w:t>
            </w:r>
            <w:proofErr w:type="spellEnd"/>
            <w:r>
              <w:rPr>
                <w:rFonts w:hAnsiTheme="minorHAnsi" w:cstheme="minorHAnsi"/>
                <w:sz w:val="16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66318" w14:textId="23306005" w:rsidR="001D0A3D" w:rsidRPr="002253D8" w:rsidRDefault="001D0A3D" w:rsidP="005D529F">
            <w:pPr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sz w:val="16"/>
                <w:szCs w:val="18"/>
              </w:rPr>
              <w:t>richness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482F5" w14:textId="327F5469" w:rsidR="001D0A3D" w:rsidRPr="002253D8" w:rsidRDefault="00C50BC3" w:rsidP="005D529F">
            <w:pPr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sz w:val="16"/>
                <w:szCs w:val="18"/>
              </w:rPr>
              <w:t>E</w:t>
            </w:r>
            <w:r w:rsidR="001D0A3D" w:rsidRPr="002253D8">
              <w:rPr>
                <w:rFonts w:hAnsiTheme="minorHAnsi" w:cstheme="minorHAnsi"/>
                <w:sz w:val="16"/>
                <w:szCs w:val="18"/>
              </w:rPr>
              <w:t>venness</w:t>
            </w:r>
            <w:r>
              <w:rPr>
                <w:rFonts w:hAnsiTheme="minorHAnsi" w:cstheme="minorHAnsi"/>
                <w:sz w:val="16"/>
                <w:szCs w:val="18"/>
              </w:rPr>
              <w:t xml:space="preserve"> (smith-</w:t>
            </w:r>
            <w:proofErr w:type="spellStart"/>
            <w:r>
              <w:rPr>
                <w:rFonts w:hAnsiTheme="minorHAnsi" w:cstheme="minorHAnsi"/>
                <w:sz w:val="16"/>
                <w:szCs w:val="18"/>
              </w:rPr>
              <w:t>wilson</w:t>
            </w:r>
            <w:proofErr w:type="spellEnd"/>
            <w:r>
              <w:rPr>
                <w:rFonts w:hAnsiTheme="minorHAnsi" w:cstheme="minorHAnsi"/>
                <w:sz w:val="16"/>
                <w:szCs w:val="18"/>
              </w:rPr>
              <w:t>)</w:t>
            </w:r>
          </w:p>
        </w:tc>
      </w:tr>
      <w:tr w:rsidR="001D0A3D" w:rsidRPr="002253D8" w14:paraId="055F4AC1" w14:textId="77777777" w:rsidTr="00110D1C">
        <w:tc>
          <w:tcPr>
            <w:tcW w:w="0" w:type="auto"/>
            <w:shd w:val="clear" w:color="auto" w:fill="auto"/>
          </w:tcPr>
          <w:p w14:paraId="3E0FC669" w14:textId="4C5488FF" w:rsidR="001D0A3D" w:rsidRPr="002253D8" w:rsidRDefault="001D0A3D" w:rsidP="005D529F">
            <w:pPr>
              <w:rPr>
                <w:rFonts w:hAnsiTheme="minorHAnsi" w:cstheme="minorHAnsi"/>
                <w:b/>
                <w:sz w:val="16"/>
                <w:szCs w:val="18"/>
                <w:vertAlign w:val="superscript"/>
              </w:rPr>
            </w:pPr>
            <w:r w:rsidRPr="002253D8">
              <w:rPr>
                <w:rFonts w:hAnsiTheme="minorHAnsi" w:cstheme="minorHAnsi"/>
                <w:b/>
                <w:sz w:val="16"/>
                <w:szCs w:val="18"/>
              </w:rPr>
              <w:t>management*</w:t>
            </w:r>
            <w:r w:rsidR="00C50BC3">
              <w:rPr>
                <w:rFonts w:hAnsiTheme="minorHAnsi" w:cstheme="minorHAnsi"/>
                <w:b/>
                <w:sz w:val="16"/>
                <w:szCs w:val="18"/>
              </w:rPr>
              <w:t>field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3B7778" w14:textId="2229B43A" w:rsidR="001D0A3D" w:rsidRPr="002253D8" w:rsidRDefault="001D0A3D" w:rsidP="005D529F">
            <w:pPr>
              <w:rPr>
                <w:rFonts w:hAnsiTheme="minorHAnsi" w:cstheme="minorHAnsi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6321D1" w14:textId="77777777" w:rsidR="001D0A3D" w:rsidRPr="002253D8" w:rsidRDefault="001D0A3D" w:rsidP="005D529F">
            <w:pPr>
              <w:rPr>
                <w:rFonts w:hAnsiTheme="minorHAnsi" w:cstheme="minorHAnsi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152611" w14:textId="77777777" w:rsidR="001D0A3D" w:rsidRPr="002253D8" w:rsidRDefault="001D0A3D" w:rsidP="005D529F">
            <w:pPr>
              <w:rPr>
                <w:rFonts w:hAnsiTheme="minorHAnsi" w:cstheme="minorHAnsi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623D88" w14:textId="77777777" w:rsidR="001D0A3D" w:rsidRPr="002253D8" w:rsidRDefault="001D0A3D" w:rsidP="005D529F">
            <w:pPr>
              <w:rPr>
                <w:rFonts w:hAnsiTheme="minorHAnsi" w:cstheme="minorHAnsi"/>
                <w:sz w:val="16"/>
                <w:szCs w:val="18"/>
              </w:rPr>
            </w:pPr>
          </w:p>
        </w:tc>
      </w:tr>
      <w:tr w:rsidR="001D0A3D" w:rsidRPr="002253D8" w14:paraId="58BDB3C8" w14:textId="77777777" w:rsidTr="00110D1C">
        <w:tc>
          <w:tcPr>
            <w:tcW w:w="0" w:type="auto"/>
            <w:shd w:val="clear" w:color="auto" w:fill="auto"/>
          </w:tcPr>
          <w:p w14:paraId="33C37BAC" w14:textId="77777777" w:rsidR="001D0A3D" w:rsidRPr="002253D8" w:rsidRDefault="001D0A3D" w:rsidP="002253D8">
            <w:pPr>
              <w:spacing w:before="120"/>
              <w:rPr>
                <w:rFonts w:hAnsiTheme="minorHAnsi" w:cstheme="minorHAnsi"/>
                <w:b/>
                <w:i/>
                <w:sz w:val="16"/>
                <w:szCs w:val="18"/>
              </w:rPr>
            </w:pPr>
            <w:r w:rsidRPr="002253D8">
              <w:rPr>
                <w:rFonts w:hAnsiTheme="minorHAnsi" w:cstheme="minorHAnsi"/>
                <w:sz w:val="16"/>
                <w:szCs w:val="18"/>
              </w:rPr>
              <w:t>1-SandCONV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6C39BE" w14:textId="0CAB579F" w:rsidR="001D0A3D" w:rsidRPr="002253D8" w:rsidRDefault="001D0A3D" w:rsidP="002253D8">
            <w:pPr>
              <w:spacing w:before="120"/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color w:val="000000"/>
                <w:sz w:val="16"/>
                <w:szCs w:val="18"/>
              </w:rPr>
              <w:t>2841±134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F01A11" w14:textId="361E24B8" w:rsidR="001D0A3D" w:rsidRPr="002253D8" w:rsidRDefault="001D0A3D" w:rsidP="002253D8">
            <w:pPr>
              <w:spacing w:before="120"/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color w:val="000000"/>
                <w:sz w:val="16"/>
                <w:szCs w:val="18"/>
              </w:rPr>
              <w:t>0.319±0.007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24FBAE" w14:textId="3D737B83" w:rsidR="001D0A3D" w:rsidRPr="002253D8" w:rsidRDefault="001D0A3D" w:rsidP="002253D8">
            <w:pPr>
              <w:spacing w:before="120"/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sz w:val="16"/>
                <w:szCs w:val="18"/>
              </w:rPr>
              <w:t>949</w:t>
            </w:r>
            <w:r w:rsidRPr="002253D8">
              <w:rPr>
                <w:rFonts w:hAnsiTheme="minorHAnsi" w:cstheme="minorHAnsi"/>
                <w:color w:val="000000"/>
                <w:sz w:val="16"/>
                <w:szCs w:val="18"/>
              </w:rPr>
              <w:t>±80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D825A5" w14:textId="1256342C" w:rsidR="001D0A3D" w:rsidRPr="002253D8" w:rsidRDefault="001D0A3D" w:rsidP="002253D8">
            <w:pPr>
              <w:spacing w:before="120"/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sz w:val="16"/>
                <w:szCs w:val="18"/>
              </w:rPr>
              <w:t>0.480</w:t>
            </w:r>
            <w:r w:rsidRPr="002253D8">
              <w:rPr>
                <w:rFonts w:hAnsiTheme="minorHAnsi" w:cstheme="minorHAnsi"/>
                <w:color w:val="000000"/>
                <w:sz w:val="16"/>
                <w:szCs w:val="18"/>
              </w:rPr>
              <w:t>±0.001</w:t>
            </w:r>
          </w:p>
        </w:tc>
      </w:tr>
      <w:tr w:rsidR="001D0A3D" w:rsidRPr="002253D8" w14:paraId="58AB4565" w14:textId="77777777" w:rsidTr="00110D1C">
        <w:tc>
          <w:tcPr>
            <w:tcW w:w="0" w:type="auto"/>
            <w:shd w:val="clear" w:color="auto" w:fill="auto"/>
          </w:tcPr>
          <w:p w14:paraId="00A6F3A6" w14:textId="77777777" w:rsidR="001D0A3D" w:rsidRPr="002253D8" w:rsidRDefault="001D0A3D" w:rsidP="002253D8">
            <w:pPr>
              <w:rPr>
                <w:rFonts w:hAnsiTheme="minorHAnsi" w:cstheme="minorHAnsi"/>
                <w:b/>
                <w:i/>
                <w:sz w:val="16"/>
                <w:szCs w:val="18"/>
              </w:rPr>
            </w:pPr>
            <w:r w:rsidRPr="002253D8">
              <w:rPr>
                <w:rFonts w:hAnsiTheme="minorHAnsi" w:cstheme="minorHAnsi"/>
                <w:sz w:val="16"/>
                <w:szCs w:val="18"/>
              </w:rPr>
              <w:t>1-SandAECO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DDE1AD" w14:textId="406915D6" w:rsidR="001D0A3D" w:rsidRPr="002253D8" w:rsidRDefault="001D0A3D" w:rsidP="002253D8">
            <w:pPr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sz w:val="16"/>
                <w:szCs w:val="18"/>
              </w:rPr>
              <w:t>2981</w:t>
            </w:r>
            <w:r w:rsidRPr="002253D8">
              <w:rPr>
                <w:rFonts w:hAnsiTheme="minorHAnsi" w:cstheme="minorHAnsi"/>
                <w:color w:val="000000"/>
                <w:sz w:val="16"/>
                <w:szCs w:val="18"/>
              </w:rPr>
              <w:t>±255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27706F" w14:textId="26A2D907" w:rsidR="001D0A3D" w:rsidRPr="002253D8" w:rsidRDefault="001D0A3D" w:rsidP="002253D8">
            <w:pPr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sz w:val="16"/>
                <w:szCs w:val="18"/>
              </w:rPr>
              <w:t>0.312</w:t>
            </w:r>
            <w:r w:rsidRPr="002253D8">
              <w:rPr>
                <w:rFonts w:hAnsiTheme="minorHAnsi" w:cstheme="minorHAnsi"/>
                <w:color w:val="000000"/>
                <w:sz w:val="16"/>
                <w:szCs w:val="18"/>
              </w:rPr>
              <w:t>±0.016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111558" w14:textId="506CBA1C" w:rsidR="001D0A3D" w:rsidRPr="002253D8" w:rsidRDefault="001D0A3D" w:rsidP="002253D8">
            <w:pPr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sz w:val="16"/>
                <w:szCs w:val="18"/>
              </w:rPr>
              <w:t>975</w:t>
            </w:r>
            <w:r w:rsidRPr="002253D8">
              <w:rPr>
                <w:rFonts w:hAnsiTheme="minorHAnsi" w:cstheme="minorHAnsi"/>
                <w:color w:val="000000"/>
                <w:sz w:val="16"/>
                <w:szCs w:val="18"/>
              </w:rPr>
              <w:t>±14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6CD050" w14:textId="762C9278" w:rsidR="001D0A3D" w:rsidRPr="002253D8" w:rsidRDefault="001D0A3D" w:rsidP="002253D8">
            <w:pPr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sz w:val="16"/>
                <w:szCs w:val="18"/>
              </w:rPr>
              <w:t>0.482</w:t>
            </w:r>
            <w:r w:rsidRPr="002253D8">
              <w:rPr>
                <w:rFonts w:hAnsiTheme="minorHAnsi" w:cstheme="minorHAnsi"/>
                <w:color w:val="000000"/>
                <w:sz w:val="16"/>
                <w:szCs w:val="18"/>
              </w:rPr>
              <w:t>±0.001</w:t>
            </w:r>
          </w:p>
        </w:tc>
      </w:tr>
      <w:tr w:rsidR="001D0A3D" w:rsidRPr="002253D8" w14:paraId="7C6215A4" w14:textId="77777777" w:rsidTr="00110D1C">
        <w:tc>
          <w:tcPr>
            <w:tcW w:w="0" w:type="auto"/>
            <w:shd w:val="clear" w:color="auto" w:fill="auto"/>
          </w:tcPr>
          <w:p w14:paraId="3D9227E8" w14:textId="77777777" w:rsidR="001D0A3D" w:rsidRPr="002253D8" w:rsidRDefault="001D0A3D" w:rsidP="002253D8">
            <w:pPr>
              <w:rPr>
                <w:rFonts w:hAnsiTheme="minorHAnsi" w:cstheme="minorHAnsi"/>
                <w:b/>
                <w:i/>
                <w:sz w:val="16"/>
                <w:szCs w:val="18"/>
              </w:rPr>
            </w:pPr>
            <w:r w:rsidRPr="002253D8">
              <w:rPr>
                <w:rFonts w:hAnsiTheme="minorHAnsi" w:cstheme="minorHAnsi"/>
                <w:sz w:val="16"/>
                <w:szCs w:val="18"/>
              </w:rPr>
              <w:t>2-SandCONV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11BE8F" w14:textId="79A0878B" w:rsidR="001D0A3D" w:rsidRPr="002253D8" w:rsidRDefault="001D0A3D" w:rsidP="002253D8">
            <w:pPr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b/>
                <w:sz w:val="16"/>
                <w:szCs w:val="18"/>
              </w:rPr>
              <w:t>3201</w:t>
            </w: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</w:rPr>
              <w:t>±36</w:t>
            </w: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C82E2B" w14:textId="2C662112" w:rsidR="001D0A3D" w:rsidRPr="002253D8" w:rsidRDefault="001D0A3D" w:rsidP="002253D8">
            <w:pPr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b/>
                <w:sz w:val="16"/>
                <w:szCs w:val="18"/>
              </w:rPr>
              <w:t>0.292</w:t>
            </w: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</w:rPr>
              <w:t>±0.004</w:t>
            </w: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A006A2" w14:textId="650F6A6E" w:rsidR="001D0A3D" w:rsidRPr="002253D8" w:rsidRDefault="001D0A3D" w:rsidP="002253D8">
            <w:pPr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</w:rPr>
              <w:t>901±51</w:t>
            </w: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2B349D" w14:textId="1B72F553" w:rsidR="001D0A3D" w:rsidRPr="002253D8" w:rsidRDefault="001D0A3D" w:rsidP="002253D8">
            <w:pPr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b/>
                <w:sz w:val="16"/>
                <w:szCs w:val="18"/>
              </w:rPr>
              <w:t>0.489</w:t>
            </w: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</w:rPr>
              <w:t>±0.001</w:t>
            </w: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a</w:t>
            </w:r>
          </w:p>
        </w:tc>
      </w:tr>
      <w:tr w:rsidR="001D0A3D" w:rsidRPr="002253D8" w14:paraId="7675B147" w14:textId="77777777" w:rsidTr="00110D1C">
        <w:tc>
          <w:tcPr>
            <w:tcW w:w="0" w:type="auto"/>
            <w:shd w:val="clear" w:color="auto" w:fill="auto"/>
          </w:tcPr>
          <w:p w14:paraId="59E53AEC" w14:textId="77777777" w:rsidR="001D0A3D" w:rsidRPr="002253D8" w:rsidRDefault="001D0A3D" w:rsidP="002253D8">
            <w:pPr>
              <w:rPr>
                <w:rFonts w:hAnsiTheme="minorHAnsi" w:cstheme="minorHAnsi"/>
                <w:b/>
                <w:i/>
                <w:sz w:val="16"/>
                <w:szCs w:val="18"/>
              </w:rPr>
            </w:pPr>
            <w:r w:rsidRPr="002253D8">
              <w:rPr>
                <w:rFonts w:hAnsiTheme="minorHAnsi" w:cstheme="minorHAnsi"/>
                <w:sz w:val="16"/>
                <w:szCs w:val="18"/>
              </w:rPr>
              <w:t>2-SandAECO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1263CC" w14:textId="38A9FBAC" w:rsidR="001D0A3D" w:rsidRPr="002253D8" w:rsidRDefault="001D0A3D" w:rsidP="002253D8">
            <w:pPr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b/>
                <w:sz w:val="16"/>
                <w:szCs w:val="18"/>
              </w:rPr>
              <w:t>3034</w:t>
            </w: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</w:rPr>
              <w:t>±84</w:t>
            </w: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8B70CF" w14:textId="67A44EC0" w:rsidR="001D0A3D" w:rsidRPr="002253D8" w:rsidRDefault="001D0A3D" w:rsidP="002253D8">
            <w:pPr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</w:rPr>
              <w:t>0.301±0.002</w:t>
            </w: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739E07" w14:textId="256E0A7F" w:rsidR="001D0A3D" w:rsidRPr="002253D8" w:rsidRDefault="001D0A3D" w:rsidP="002253D8">
            <w:pPr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b/>
                <w:sz w:val="16"/>
                <w:szCs w:val="18"/>
              </w:rPr>
              <w:t>1084</w:t>
            </w: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</w:rPr>
              <w:t>±52</w:t>
            </w: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822A71" w14:textId="09956F73" w:rsidR="001D0A3D" w:rsidRPr="002253D8" w:rsidRDefault="001D0A3D" w:rsidP="002253D8">
            <w:pPr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b/>
                <w:sz w:val="16"/>
                <w:szCs w:val="18"/>
              </w:rPr>
              <w:t>0.477</w:t>
            </w: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</w:rPr>
              <w:t>±0.004</w:t>
            </w: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b</w:t>
            </w:r>
          </w:p>
        </w:tc>
      </w:tr>
      <w:tr w:rsidR="001D0A3D" w:rsidRPr="002253D8" w14:paraId="3087F646" w14:textId="77777777" w:rsidTr="00110D1C">
        <w:tc>
          <w:tcPr>
            <w:tcW w:w="0" w:type="auto"/>
            <w:shd w:val="clear" w:color="auto" w:fill="auto"/>
          </w:tcPr>
          <w:p w14:paraId="1C1EDBA5" w14:textId="77777777" w:rsidR="001D0A3D" w:rsidRPr="002253D8" w:rsidRDefault="001D0A3D" w:rsidP="002253D8">
            <w:pPr>
              <w:rPr>
                <w:rFonts w:hAnsiTheme="minorHAnsi" w:cstheme="minorHAnsi"/>
                <w:b/>
                <w:i/>
                <w:sz w:val="16"/>
                <w:szCs w:val="18"/>
              </w:rPr>
            </w:pPr>
            <w:r w:rsidRPr="002253D8">
              <w:rPr>
                <w:rFonts w:hAnsiTheme="minorHAnsi" w:cstheme="minorHAnsi"/>
                <w:sz w:val="16"/>
                <w:szCs w:val="18"/>
              </w:rPr>
              <w:t>3-SandCONV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DCFD50" w14:textId="74A394F3" w:rsidR="001D0A3D" w:rsidRPr="002253D8" w:rsidRDefault="001D0A3D" w:rsidP="002253D8">
            <w:pPr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b/>
                <w:sz w:val="16"/>
                <w:szCs w:val="18"/>
              </w:rPr>
              <w:t>3406</w:t>
            </w: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</w:rPr>
              <w:t>±67</w:t>
            </w: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EEE4FE" w14:textId="10D16820" w:rsidR="001D0A3D" w:rsidRPr="002253D8" w:rsidRDefault="001D0A3D" w:rsidP="002253D8">
            <w:pPr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b/>
                <w:sz w:val="16"/>
                <w:szCs w:val="18"/>
              </w:rPr>
              <w:t>0.280</w:t>
            </w: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</w:rPr>
              <w:t>±0.006</w:t>
            </w: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D3B293" w14:textId="4C9447ED" w:rsidR="001D0A3D" w:rsidRPr="002253D8" w:rsidRDefault="001D0A3D" w:rsidP="002253D8">
            <w:pPr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sz w:val="16"/>
                <w:szCs w:val="18"/>
              </w:rPr>
              <w:t>969</w:t>
            </w:r>
            <w:r w:rsidRPr="002253D8">
              <w:rPr>
                <w:rFonts w:hAnsiTheme="minorHAnsi" w:cstheme="minorHAnsi"/>
                <w:color w:val="000000"/>
                <w:sz w:val="16"/>
                <w:szCs w:val="18"/>
              </w:rPr>
              <w:t>±35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768420" w14:textId="6F9820B1" w:rsidR="001D0A3D" w:rsidRPr="002253D8" w:rsidRDefault="001D0A3D" w:rsidP="002253D8">
            <w:pPr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sz w:val="16"/>
                <w:szCs w:val="18"/>
              </w:rPr>
              <w:t>0.486</w:t>
            </w:r>
            <w:r w:rsidRPr="002253D8">
              <w:rPr>
                <w:rFonts w:hAnsiTheme="minorHAnsi" w:cstheme="minorHAnsi"/>
                <w:color w:val="000000"/>
                <w:sz w:val="16"/>
                <w:szCs w:val="18"/>
              </w:rPr>
              <w:t>±0.001</w:t>
            </w:r>
          </w:p>
        </w:tc>
      </w:tr>
      <w:tr w:rsidR="001D0A3D" w:rsidRPr="002253D8" w14:paraId="77421E32" w14:textId="77777777" w:rsidTr="00110D1C">
        <w:tc>
          <w:tcPr>
            <w:tcW w:w="0" w:type="auto"/>
            <w:shd w:val="clear" w:color="auto" w:fill="auto"/>
          </w:tcPr>
          <w:p w14:paraId="6AFF9DD0" w14:textId="77777777" w:rsidR="001D0A3D" w:rsidRPr="002253D8" w:rsidRDefault="001D0A3D" w:rsidP="002253D8">
            <w:pPr>
              <w:rPr>
                <w:rFonts w:hAnsiTheme="minorHAnsi" w:cstheme="minorHAnsi"/>
                <w:b/>
                <w:i/>
                <w:sz w:val="16"/>
                <w:szCs w:val="18"/>
              </w:rPr>
            </w:pPr>
            <w:r w:rsidRPr="002253D8">
              <w:rPr>
                <w:rFonts w:hAnsiTheme="minorHAnsi" w:cstheme="minorHAnsi"/>
                <w:sz w:val="16"/>
                <w:szCs w:val="18"/>
              </w:rPr>
              <w:t>3-SandAECO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563237" w14:textId="1711AFF8" w:rsidR="001D0A3D" w:rsidRPr="002253D8" w:rsidRDefault="001D0A3D" w:rsidP="002253D8">
            <w:pPr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b/>
                <w:sz w:val="16"/>
                <w:szCs w:val="18"/>
              </w:rPr>
              <w:t>3175</w:t>
            </w: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</w:rPr>
              <w:t>±38</w:t>
            </w: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D15958" w14:textId="23546157" w:rsidR="001D0A3D" w:rsidRPr="002253D8" w:rsidRDefault="001D0A3D" w:rsidP="002253D8">
            <w:pPr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b/>
                <w:sz w:val="16"/>
                <w:szCs w:val="18"/>
              </w:rPr>
              <w:t>0.294</w:t>
            </w: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</w:rPr>
              <w:t>±0.005</w:t>
            </w: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5D7E6D" w14:textId="772711FB" w:rsidR="001D0A3D" w:rsidRPr="002253D8" w:rsidRDefault="001D0A3D" w:rsidP="002253D8">
            <w:pPr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sz w:val="16"/>
                <w:szCs w:val="18"/>
              </w:rPr>
              <w:t>987</w:t>
            </w:r>
            <w:r w:rsidRPr="002253D8">
              <w:rPr>
                <w:rFonts w:hAnsiTheme="minorHAnsi" w:cstheme="minorHAnsi"/>
                <w:color w:val="000000"/>
                <w:sz w:val="16"/>
                <w:szCs w:val="18"/>
              </w:rPr>
              <w:t>±23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C8064B" w14:textId="30E9C00C" w:rsidR="001D0A3D" w:rsidRPr="002253D8" w:rsidRDefault="001D0A3D" w:rsidP="002253D8">
            <w:pPr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sz w:val="16"/>
                <w:szCs w:val="18"/>
              </w:rPr>
              <w:t>0.483</w:t>
            </w:r>
            <w:r w:rsidRPr="002253D8">
              <w:rPr>
                <w:rFonts w:hAnsiTheme="minorHAnsi" w:cstheme="minorHAnsi"/>
                <w:color w:val="000000"/>
                <w:sz w:val="16"/>
                <w:szCs w:val="18"/>
              </w:rPr>
              <w:t>±0.002</w:t>
            </w:r>
          </w:p>
        </w:tc>
      </w:tr>
      <w:tr w:rsidR="001D0A3D" w:rsidRPr="002253D8" w14:paraId="10F6C4D1" w14:textId="77777777" w:rsidTr="00110D1C">
        <w:tc>
          <w:tcPr>
            <w:tcW w:w="0" w:type="auto"/>
            <w:shd w:val="clear" w:color="auto" w:fill="auto"/>
          </w:tcPr>
          <w:p w14:paraId="3E8D5887" w14:textId="77777777" w:rsidR="001D0A3D" w:rsidRPr="002253D8" w:rsidRDefault="001D0A3D" w:rsidP="002253D8">
            <w:pPr>
              <w:spacing w:before="120"/>
              <w:rPr>
                <w:rFonts w:hAnsiTheme="minorHAnsi" w:cstheme="minorHAnsi"/>
                <w:b/>
                <w:i/>
                <w:sz w:val="16"/>
                <w:szCs w:val="18"/>
              </w:rPr>
            </w:pPr>
            <w:r w:rsidRPr="002253D8">
              <w:rPr>
                <w:rFonts w:hAnsiTheme="minorHAnsi" w:cstheme="minorHAnsi"/>
                <w:sz w:val="16"/>
                <w:szCs w:val="18"/>
              </w:rPr>
              <w:t>1-SiltCONV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8A1054" w14:textId="1DFB5009" w:rsidR="001D0A3D" w:rsidRPr="002253D8" w:rsidRDefault="001D0A3D" w:rsidP="002253D8">
            <w:pPr>
              <w:spacing w:before="120"/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sz w:val="16"/>
                <w:szCs w:val="18"/>
              </w:rPr>
              <w:t>2879</w:t>
            </w:r>
            <w:r w:rsidRPr="002253D8">
              <w:rPr>
                <w:rFonts w:hAnsiTheme="minorHAnsi" w:cstheme="minorHAnsi"/>
                <w:color w:val="000000"/>
                <w:sz w:val="16"/>
                <w:szCs w:val="18"/>
              </w:rPr>
              <w:t>±188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A145D2" w14:textId="54BA5690" w:rsidR="001D0A3D" w:rsidRPr="002253D8" w:rsidRDefault="001D0A3D" w:rsidP="002253D8">
            <w:pPr>
              <w:spacing w:before="120"/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sz w:val="16"/>
                <w:szCs w:val="18"/>
              </w:rPr>
              <w:t>0.328</w:t>
            </w:r>
            <w:r w:rsidRPr="002253D8">
              <w:rPr>
                <w:rFonts w:hAnsiTheme="minorHAnsi" w:cstheme="minorHAnsi"/>
                <w:color w:val="000000"/>
                <w:sz w:val="16"/>
                <w:szCs w:val="18"/>
              </w:rPr>
              <w:t>±0.015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008B4B" w14:textId="0B97B572" w:rsidR="001D0A3D" w:rsidRPr="002253D8" w:rsidRDefault="001D0A3D" w:rsidP="002253D8">
            <w:pPr>
              <w:spacing w:before="120"/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</w:rPr>
              <w:t>764±39</w:t>
            </w: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EC756B" w14:textId="561895CD" w:rsidR="001D0A3D" w:rsidRPr="002253D8" w:rsidRDefault="001D0A3D" w:rsidP="002253D8">
            <w:pPr>
              <w:spacing w:before="120"/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</w:rPr>
              <w:t>0.491±0.004</w:t>
            </w: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a</w:t>
            </w:r>
          </w:p>
        </w:tc>
      </w:tr>
      <w:tr w:rsidR="001D0A3D" w:rsidRPr="002253D8" w14:paraId="507121F3" w14:textId="77777777" w:rsidTr="00110D1C">
        <w:tc>
          <w:tcPr>
            <w:tcW w:w="0" w:type="auto"/>
            <w:shd w:val="clear" w:color="auto" w:fill="auto"/>
          </w:tcPr>
          <w:p w14:paraId="65E9385A" w14:textId="77777777" w:rsidR="001D0A3D" w:rsidRPr="002253D8" w:rsidRDefault="001D0A3D" w:rsidP="002253D8">
            <w:pPr>
              <w:rPr>
                <w:rFonts w:hAnsiTheme="minorHAnsi" w:cstheme="minorHAnsi"/>
                <w:b/>
                <w:i/>
                <w:sz w:val="16"/>
                <w:szCs w:val="18"/>
              </w:rPr>
            </w:pPr>
            <w:r w:rsidRPr="002253D8">
              <w:rPr>
                <w:rFonts w:hAnsiTheme="minorHAnsi" w:cstheme="minorHAnsi"/>
                <w:sz w:val="16"/>
                <w:szCs w:val="18"/>
              </w:rPr>
              <w:t>1-SiltAECO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23B7E7" w14:textId="49BB3991" w:rsidR="001D0A3D" w:rsidRPr="002253D8" w:rsidRDefault="001D0A3D" w:rsidP="002253D8">
            <w:pPr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sz w:val="16"/>
                <w:szCs w:val="18"/>
              </w:rPr>
              <w:t>3028</w:t>
            </w:r>
            <w:r w:rsidRPr="002253D8">
              <w:rPr>
                <w:rFonts w:hAnsiTheme="minorHAnsi" w:cstheme="minorHAnsi"/>
                <w:color w:val="000000"/>
                <w:sz w:val="16"/>
                <w:szCs w:val="18"/>
              </w:rPr>
              <w:t>±115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52DF46" w14:textId="5FBDE981" w:rsidR="001D0A3D" w:rsidRPr="002253D8" w:rsidRDefault="001D0A3D" w:rsidP="002253D8">
            <w:pPr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color w:val="000000"/>
                <w:sz w:val="16"/>
                <w:szCs w:val="18"/>
              </w:rPr>
              <w:t>0.314±0.012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4C6FC5" w14:textId="13B3DD4C" w:rsidR="001D0A3D" w:rsidRPr="002253D8" w:rsidRDefault="001D0A3D" w:rsidP="002253D8">
            <w:pPr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</w:rPr>
              <w:t>922±49</w:t>
            </w: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68D59F" w14:textId="763D6181" w:rsidR="001D0A3D" w:rsidRPr="002253D8" w:rsidRDefault="001D0A3D" w:rsidP="002253D8">
            <w:pPr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</w:rPr>
              <w:t>0.483±0.001</w:t>
            </w: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b</w:t>
            </w:r>
          </w:p>
        </w:tc>
      </w:tr>
      <w:tr w:rsidR="001D0A3D" w:rsidRPr="002253D8" w14:paraId="4D022127" w14:textId="77777777" w:rsidTr="00110D1C">
        <w:tc>
          <w:tcPr>
            <w:tcW w:w="0" w:type="auto"/>
            <w:shd w:val="clear" w:color="auto" w:fill="auto"/>
          </w:tcPr>
          <w:p w14:paraId="1F3049BC" w14:textId="77777777" w:rsidR="001D0A3D" w:rsidRPr="002253D8" w:rsidRDefault="001D0A3D" w:rsidP="002253D8">
            <w:pPr>
              <w:rPr>
                <w:rFonts w:hAnsiTheme="minorHAnsi" w:cstheme="minorHAnsi"/>
                <w:b/>
                <w:i/>
                <w:sz w:val="16"/>
                <w:szCs w:val="18"/>
              </w:rPr>
            </w:pPr>
            <w:r w:rsidRPr="002253D8">
              <w:rPr>
                <w:rFonts w:hAnsiTheme="minorHAnsi" w:cstheme="minorHAnsi"/>
                <w:sz w:val="16"/>
                <w:szCs w:val="18"/>
              </w:rPr>
              <w:t>2-SiltCONV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897EB3" w14:textId="3D3E78CE" w:rsidR="001D0A3D" w:rsidRPr="002253D8" w:rsidRDefault="001D0A3D" w:rsidP="002253D8">
            <w:pPr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b/>
                <w:sz w:val="16"/>
                <w:szCs w:val="18"/>
              </w:rPr>
              <w:t>2673</w:t>
            </w: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</w:rPr>
              <w:t>±81</w:t>
            </w: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CE64DB" w14:textId="49991825" w:rsidR="001D0A3D" w:rsidRPr="002253D8" w:rsidRDefault="001D0A3D" w:rsidP="002253D8">
            <w:pPr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</w:rPr>
              <w:t>0.344±0.004</w:t>
            </w: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FFF881" w14:textId="11401FC2" w:rsidR="001D0A3D" w:rsidRPr="002253D8" w:rsidRDefault="001D0A3D" w:rsidP="002253D8">
            <w:pPr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</w:rPr>
              <w:t>750±62</w:t>
            </w: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ED499F" w14:textId="640F008F" w:rsidR="001D0A3D" w:rsidRPr="002253D8" w:rsidRDefault="001D0A3D" w:rsidP="002253D8">
            <w:pPr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color w:val="000000"/>
                <w:sz w:val="16"/>
                <w:szCs w:val="18"/>
              </w:rPr>
              <w:t>0.493±0.004</w:t>
            </w:r>
          </w:p>
        </w:tc>
      </w:tr>
      <w:tr w:rsidR="001D0A3D" w:rsidRPr="002253D8" w14:paraId="2D0BA511" w14:textId="77777777" w:rsidTr="00110D1C">
        <w:tc>
          <w:tcPr>
            <w:tcW w:w="0" w:type="auto"/>
            <w:shd w:val="clear" w:color="auto" w:fill="auto"/>
          </w:tcPr>
          <w:p w14:paraId="65BEBDC4" w14:textId="77777777" w:rsidR="001D0A3D" w:rsidRPr="002253D8" w:rsidRDefault="001D0A3D" w:rsidP="002253D8">
            <w:pPr>
              <w:rPr>
                <w:rFonts w:hAnsiTheme="minorHAnsi" w:cstheme="minorHAnsi"/>
                <w:b/>
                <w:i/>
                <w:sz w:val="16"/>
                <w:szCs w:val="18"/>
              </w:rPr>
            </w:pPr>
            <w:r w:rsidRPr="002253D8">
              <w:rPr>
                <w:rFonts w:hAnsiTheme="minorHAnsi" w:cstheme="minorHAnsi"/>
                <w:sz w:val="16"/>
                <w:szCs w:val="18"/>
              </w:rPr>
              <w:t>2-SiltAECO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82F7EB" w14:textId="34DFE44E" w:rsidR="001D0A3D" w:rsidRPr="002253D8" w:rsidRDefault="001D0A3D" w:rsidP="002253D8">
            <w:pPr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</w:rPr>
              <w:t>2968±75</w:t>
            </w: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6DEBE7" w14:textId="327C64B3" w:rsidR="001D0A3D" w:rsidRPr="002253D8" w:rsidRDefault="001D0A3D" w:rsidP="002253D8">
            <w:pPr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</w:rPr>
              <w:t>0.306±0.007</w:t>
            </w: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FFEE96" w14:textId="692FF1A7" w:rsidR="001D0A3D" w:rsidRPr="002253D8" w:rsidRDefault="001D0A3D" w:rsidP="002253D8">
            <w:pPr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</w:rPr>
              <w:t>946±25</w:t>
            </w: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70B91A" w14:textId="6F569092" w:rsidR="001D0A3D" w:rsidRPr="002253D8" w:rsidRDefault="001D0A3D" w:rsidP="002253D8">
            <w:pPr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color w:val="000000"/>
                <w:sz w:val="16"/>
                <w:szCs w:val="18"/>
              </w:rPr>
              <w:t>0.488±0.001</w:t>
            </w:r>
          </w:p>
        </w:tc>
      </w:tr>
      <w:tr w:rsidR="001D0A3D" w:rsidRPr="002253D8" w14:paraId="447E323B" w14:textId="77777777" w:rsidTr="00110D1C">
        <w:tc>
          <w:tcPr>
            <w:tcW w:w="0" w:type="auto"/>
            <w:shd w:val="clear" w:color="auto" w:fill="auto"/>
          </w:tcPr>
          <w:p w14:paraId="32C84662" w14:textId="77777777" w:rsidR="001D0A3D" w:rsidRPr="002253D8" w:rsidRDefault="001D0A3D" w:rsidP="002253D8">
            <w:pPr>
              <w:rPr>
                <w:rFonts w:hAnsiTheme="minorHAnsi" w:cstheme="minorHAnsi"/>
                <w:b/>
                <w:i/>
                <w:sz w:val="16"/>
                <w:szCs w:val="18"/>
              </w:rPr>
            </w:pPr>
            <w:r w:rsidRPr="002253D8">
              <w:rPr>
                <w:rFonts w:hAnsiTheme="minorHAnsi" w:cstheme="minorHAnsi"/>
                <w:sz w:val="16"/>
                <w:szCs w:val="18"/>
              </w:rPr>
              <w:t>3-SiltCONV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40E2D6" w14:textId="7FBAB6FE" w:rsidR="001D0A3D" w:rsidRPr="002253D8" w:rsidRDefault="001D0A3D" w:rsidP="002253D8">
            <w:pPr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b/>
                <w:sz w:val="16"/>
                <w:szCs w:val="18"/>
              </w:rPr>
              <w:t>2841</w:t>
            </w: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</w:rPr>
              <w:t>±51</w:t>
            </w: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4AFF49" w14:textId="664116EC" w:rsidR="001D0A3D" w:rsidRPr="002253D8" w:rsidRDefault="001D0A3D" w:rsidP="002253D8">
            <w:pPr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</w:rPr>
              <w:t>0.330±0.004</w:t>
            </w: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3081AA" w14:textId="6A194DC6" w:rsidR="001D0A3D" w:rsidRPr="002253D8" w:rsidRDefault="001D0A3D" w:rsidP="002253D8">
            <w:pPr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</w:rPr>
              <w:t>792±22</w:t>
            </w: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EB3133" w14:textId="67C9904D" w:rsidR="001D0A3D" w:rsidRPr="002253D8" w:rsidRDefault="001D0A3D" w:rsidP="002253D8">
            <w:pPr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</w:rPr>
              <w:t>0.496±0.001</w:t>
            </w: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a</w:t>
            </w:r>
          </w:p>
        </w:tc>
      </w:tr>
      <w:tr w:rsidR="001D0A3D" w:rsidRPr="002253D8" w14:paraId="01C90AA5" w14:textId="77777777" w:rsidTr="00110D1C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859EB3C" w14:textId="77777777" w:rsidR="001D0A3D" w:rsidRPr="002253D8" w:rsidRDefault="001D0A3D" w:rsidP="002253D8">
            <w:pPr>
              <w:spacing w:after="120"/>
              <w:rPr>
                <w:rFonts w:hAnsiTheme="minorHAnsi" w:cstheme="minorHAnsi"/>
                <w:b/>
                <w:i/>
                <w:sz w:val="16"/>
                <w:szCs w:val="18"/>
              </w:rPr>
            </w:pPr>
            <w:r w:rsidRPr="002253D8">
              <w:rPr>
                <w:rFonts w:hAnsiTheme="minorHAnsi" w:cstheme="minorHAnsi"/>
                <w:sz w:val="16"/>
                <w:szCs w:val="18"/>
              </w:rPr>
              <w:t>3-SiltAECO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2228D" w14:textId="7F3356EC" w:rsidR="001D0A3D" w:rsidRPr="002253D8" w:rsidRDefault="001D0A3D" w:rsidP="002253D8">
            <w:pPr>
              <w:spacing w:after="120"/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</w:rPr>
              <w:t>2996±71</w:t>
            </w: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47F8C" w14:textId="4FF850F7" w:rsidR="001D0A3D" w:rsidRPr="002253D8" w:rsidRDefault="001D0A3D" w:rsidP="002253D8">
            <w:pPr>
              <w:spacing w:after="120"/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</w:rPr>
              <w:t>0.305±0.004</w:t>
            </w: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DEF4E" w14:textId="0446ECE6" w:rsidR="001D0A3D" w:rsidRPr="002253D8" w:rsidRDefault="001D0A3D" w:rsidP="002253D8">
            <w:pPr>
              <w:spacing w:after="120"/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</w:rPr>
              <w:t>881±29</w:t>
            </w: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26E2E" w14:textId="2FFAECE0" w:rsidR="001D0A3D" w:rsidRPr="002253D8" w:rsidRDefault="001D0A3D" w:rsidP="002253D8">
            <w:pPr>
              <w:spacing w:after="120"/>
              <w:rPr>
                <w:rFonts w:hAnsiTheme="minorHAnsi" w:cstheme="minorHAnsi"/>
                <w:sz w:val="16"/>
                <w:szCs w:val="18"/>
              </w:rPr>
            </w:pP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</w:rPr>
              <w:t>0.488±0.003</w:t>
            </w:r>
            <w:r w:rsidRPr="002253D8">
              <w:rPr>
                <w:rFonts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b</w:t>
            </w:r>
          </w:p>
        </w:tc>
      </w:tr>
    </w:tbl>
    <w:p w14:paraId="7BFB43EB" w14:textId="7D34D905" w:rsidR="00CA0401" w:rsidRDefault="00CA0401" w:rsidP="00CA0401">
      <w:r>
        <w:t xml:space="preserve">Mean and standard deviation of the </w:t>
      </w:r>
      <w:r w:rsidR="009A1183">
        <w:t>alpha diversity indexes</w:t>
      </w:r>
      <w:r>
        <w:t xml:space="preserve"> for each management type (CONV=conventional and AECO=agroecological) in the six </w:t>
      </w:r>
      <w:r w:rsidR="00906289">
        <w:t>paired-</w:t>
      </w:r>
      <w:r>
        <w:t xml:space="preserve">fields (3 </w:t>
      </w:r>
      <w:r w:rsidR="00906289">
        <w:t>paired-fields</w:t>
      </w:r>
      <w:r>
        <w:t xml:space="preserve"> in each textural site: 1, 2 and 3). The management effect was assessed in the six </w:t>
      </w:r>
      <w:r w:rsidR="00906289">
        <w:t>paired-</w:t>
      </w:r>
      <w:r>
        <w:t>fields</w:t>
      </w:r>
      <w:r w:rsidR="00906289">
        <w:t xml:space="preserve"> </w:t>
      </w:r>
      <w:r>
        <w:t xml:space="preserve">separately using a pairwise test with the routine Permanova implemented in Primer6. Letters </w:t>
      </w:r>
      <w:r>
        <w:t>“</w:t>
      </w:r>
      <w:r>
        <w:t>a</w:t>
      </w:r>
      <w:r>
        <w:t>”</w:t>
      </w:r>
      <w:r>
        <w:t xml:space="preserve"> and </w:t>
      </w:r>
      <w:r>
        <w:t>“</w:t>
      </w:r>
      <w:r>
        <w:t>b</w:t>
      </w:r>
      <w:r>
        <w:t>”</w:t>
      </w:r>
      <w:r>
        <w:t xml:space="preserve"> represent the highest and the lowest values between the two management types</w:t>
      </w:r>
      <w:r w:rsidR="00906289">
        <w:t xml:space="preserve"> for each pair</w:t>
      </w:r>
      <w:r>
        <w:t xml:space="preserve">. </w:t>
      </w:r>
      <w:r w:rsidRPr="00DA02E7">
        <w:t>The significant tests are in bold.</w:t>
      </w:r>
    </w:p>
    <w:p w14:paraId="466A0D91" w14:textId="77777777" w:rsidR="002253D8" w:rsidRDefault="002253D8"/>
    <w:sectPr w:rsidR="002253D8" w:rsidSect="001D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09E"/>
    <w:rsid w:val="001D0366"/>
    <w:rsid w:val="001D0A3D"/>
    <w:rsid w:val="002253D8"/>
    <w:rsid w:val="00233F83"/>
    <w:rsid w:val="0030009E"/>
    <w:rsid w:val="003D2609"/>
    <w:rsid w:val="005A0A9B"/>
    <w:rsid w:val="005A14BC"/>
    <w:rsid w:val="008D0C5B"/>
    <w:rsid w:val="00906289"/>
    <w:rsid w:val="009A1183"/>
    <w:rsid w:val="00BA550E"/>
    <w:rsid w:val="00C034A6"/>
    <w:rsid w:val="00C50BC3"/>
    <w:rsid w:val="00CA0401"/>
    <w:rsid w:val="00CC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8FE30F"/>
  <w15:chartTrackingRefBased/>
  <w15:docId w15:val="{F96CC020-7DED-40CD-923D-F4330ADD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609"/>
    <w:rPr>
      <w:rFonts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2609"/>
    <w:pPr>
      <w:spacing w:after="0" w:line="240" w:lineRule="auto"/>
    </w:pPr>
    <w:rPr>
      <w:rFonts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3D26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Florine Degrune</dc:creator>
  <cp:keywords/>
  <dc:description/>
  <cp:lastModifiedBy>Florine Degrune</cp:lastModifiedBy>
  <cp:revision>2</cp:revision>
  <dcterms:created xsi:type="dcterms:W3CDTF">2019-06-26T09:44:00Z</dcterms:created>
  <dcterms:modified xsi:type="dcterms:W3CDTF">2019-06-26T09:44:00Z</dcterms:modified>
</cp:coreProperties>
</file>