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4C51" w14:textId="4E21E340" w:rsidR="003D2609" w:rsidRPr="00DA02E7" w:rsidRDefault="008C3ECD" w:rsidP="003D2609">
      <w:pPr>
        <w:pStyle w:val="Lgende"/>
        <w:keepNext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Supplementary Table </w:t>
      </w:r>
      <w:r w:rsidR="003A1C37">
        <w:rPr>
          <w:b/>
          <w:i w:val="0"/>
          <w:color w:val="auto"/>
        </w:rPr>
        <w:t>3</w:t>
      </w:r>
      <w:bookmarkStart w:id="0" w:name="_GoBack"/>
      <w:bookmarkEnd w:id="0"/>
      <w:r w:rsidR="003D2609" w:rsidRPr="00DA02E7">
        <w:rPr>
          <w:b/>
          <w:i w:val="0"/>
          <w:color w:val="auto"/>
        </w:rPr>
        <w:t>.  Descriptive statistics</w:t>
      </w:r>
      <w:r w:rsidR="00233F83" w:rsidRPr="00DA02E7">
        <w:rPr>
          <w:b/>
          <w:i w:val="0"/>
          <w:color w:val="auto"/>
        </w:rPr>
        <w:t xml:space="preserve"> of</w:t>
      </w:r>
      <w:r w:rsidR="003D2609" w:rsidRPr="00DA02E7">
        <w:rPr>
          <w:b/>
          <w:i w:val="0"/>
          <w:color w:val="auto"/>
        </w:rPr>
        <w:t xml:space="preserve"> soil chemical parameters </w:t>
      </w:r>
      <w:r w:rsidR="00233F83" w:rsidRPr="00DA02E7">
        <w:rPr>
          <w:b/>
          <w:i w:val="0"/>
          <w:color w:val="auto"/>
        </w:rPr>
        <w:t xml:space="preserve">by </w:t>
      </w:r>
      <w:r w:rsidR="002131EB">
        <w:rPr>
          <w:b/>
          <w:i w:val="0"/>
          <w:color w:val="auto"/>
        </w:rPr>
        <w:t>field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64"/>
        <w:gridCol w:w="764"/>
        <w:gridCol w:w="760"/>
        <w:gridCol w:w="712"/>
        <w:gridCol w:w="765"/>
        <w:gridCol w:w="906"/>
        <w:gridCol w:w="712"/>
        <w:gridCol w:w="712"/>
        <w:gridCol w:w="835"/>
        <w:gridCol w:w="764"/>
      </w:tblGrid>
      <w:tr w:rsidR="003D2609" w:rsidRPr="003D2609" w14:paraId="00772582" w14:textId="77777777" w:rsidTr="005D529F">
        <w:tc>
          <w:tcPr>
            <w:tcW w:w="0" w:type="auto"/>
            <w:tcBorders>
              <w:top w:val="single" w:sz="4" w:space="0" w:color="auto"/>
            </w:tcBorders>
          </w:tcPr>
          <w:p w14:paraId="50397047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6953E1E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7CD512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E06FB03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CD89C5F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CF3D323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C</w:t>
            </w:r>
            <w:r w:rsidRPr="00435165">
              <w:rPr>
                <w:rFonts w:hAnsiTheme="minorHAnsi" w:cstheme="minorHAnsi"/>
                <w:sz w:val="14"/>
                <w:szCs w:val="18"/>
                <w:vertAlign w:val="subscript"/>
              </w:rPr>
              <w:t>tot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0F7AB66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N</w:t>
            </w:r>
            <w:r w:rsidRPr="00435165">
              <w:rPr>
                <w:rFonts w:hAnsiTheme="minorHAnsi" w:cstheme="minorHAnsi"/>
                <w:sz w:val="14"/>
                <w:szCs w:val="18"/>
                <w:vertAlign w:val="subscript"/>
              </w:rPr>
              <w:t>tot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773F0C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C/N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BA84C6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84A2D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HWC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678571" w14:textId="7B30D6BE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CEC</w:t>
            </w:r>
          </w:p>
        </w:tc>
      </w:tr>
      <w:tr w:rsidR="003D2609" w:rsidRPr="003D2609" w14:paraId="3E9D54A8" w14:textId="77777777" w:rsidTr="005D529F">
        <w:tc>
          <w:tcPr>
            <w:tcW w:w="0" w:type="auto"/>
            <w:shd w:val="clear" w:color="auto" w:fill="auto"/>
          </w:tcPr>
          <w:p w14:paraId="75E69D74" w14:textId="77777777" w:rsidR="003D2609" w:rsidRPr="003D2609" w:rsidRDefault="003D2609" w:rsidP="005D529F">
            <w:pPr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351F2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B780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8401F" w14:textId="77777777" w:rsidR="003D2609" w:rsidRPr="003D2609" w:rsidRDefault="003D2609" w:rsidP="005D529F">
            <w:pPr>
              <w:rPr>
                <w:rFonts w:hAnsiTheme="minorHAnsi" w:cstheme="minorHAnsi"/>
                <w:b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092BE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A66AE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gC/kg soil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1F68F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g/kg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C7B28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5D71A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D7EB0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gC/kg soil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2052D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cmolc/kg</w:t>
            </w:r>
          </w:p>
        </w:tc>
      </w:tr>
      <w:tr w:rsidR="003D2609" w:rsidRPr="003D2609" w14:paraId="5D723586" w14:textId="77777777" w:rsidTr="005D529F">
        <w:tc>
          <w:tcPr>
            <w:tcW w:w="0" w:type="auto"/>
            <w:shd w:val="clear" w:color="auto" w:fill="auto"/>
          </w:tcPr>
          <w:p w14:paraId="34C58B8C" w14:textId="2AA67CEC" w:rsidR="003D2609" w:rsidRPr="003D2609" w:rsidRDefault="0036681B" w:rsidP="005D529F">
            <w:pPr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</w:pPr>
            <w:r>
              <w:rPr>
                <w:rFonts w:hAnsiTheme="minorHAnsi" w:cstheme="minorHAnsi"/>
                <w:b/>
                <w:sz w:val="14"/>
                <w:szCs w:val="18"/>
              </w:rPr>
              <w:t xml:space="preserve">Management x </w:t>
            </w:r>
            <w:r w:rsidR="002131EB">
              <w:rPr>
                <w:rFonts w:hAnsiTheme="minorHAnsi" w:cstheme="minorHAnsi"/>
                <w:b/>
                <w:sz w:val="14"/>
                <w:szCs w:val="18"/>
              </w:rPr>
              <w:t>field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73D86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4FF1FA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02FBC8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81FA28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66837B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CEF34D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58C73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DF2E5E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02BE91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55823E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</w:p>
        </w:tc>
      </w:tr>
      <w:tr w:rsidR="003D2609" w:rsidRPr="003D2609" w14:paraId="41627A2C" w14:textId="77777777" w:rsidTr="005D529F">
        <w:tc>
          <w:tcPr>
            <w:tcW w:w="0" w:type="auto"/>
            <w:shd w:val="clear" w:color="auto" w:fill="auto"/>
          </w:tcPr>
          <w:p w14:paraId="017C4DF2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b/>
                <w:i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1-SandCONV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6DE7C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9.0±</w:t>
            </w: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1FCEA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10.5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±1.9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04F07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10.2±0.8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4693D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105±10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6395D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15.1±2.4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3921B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0.15±0.01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8F03F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10.3±0.9</w:t>
            </w:r>
          </w:p>
        </w:tc>
        <w:tc>
          <w:tcPr>
            <w:tcW w:w="0" w:type="auto"/>
            <w:vAlign w:val="center"/>
          </w:tcPr>
          <w:p w14:paraId="094583F2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5.2±0.2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39356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0.34±0.03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81B78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10.0±0.6</w:t>
            </w:r>
          </w:p>
        </w:tc>
      </w:tr>
      <w:tr w:rsidR="003D2609" w:rsidRPr="003D2609" w14:paraId="61F49436" w14:textId="77777777" w:rsidTr="005D529F">
        <w:tc>
          <w:tcPr>
            <w:tcW w:w="0" w:type="auto"/>
            <w:shd w:val="clear" w:color="auto" w:fill="auto"/>
          </w:tcPr>
          <w:p w14:paraId="79F5D0EF" w14:textId="77777777" w:rsidR="003D2609" w:rsidRPr="003D2609" w:rsidRDefault="003D2609" w:rsidP="005D529F">
            <w:pPr>
              <w:rPr>
                <w:rFonts w:hAnsiTheme="minorHAnsi" w:cstheme="minorHAnsi"/>
                <w:b/>
                <w:i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1-SandAECO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D50B1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7.3±4.5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D777C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11.0±2.0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D9A13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7.2±0.2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CB66D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102±20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F402C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15.3±0.9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DCA40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0.15±0.007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4D33C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10.4±0.1</w:t>
            </w:r>
          </w:p>
        </w:tc>
        <w:tc>
          <w:tcPr>
            <w:tcW w:w="0" w:type="auto"/>
            <w:vAlign w:val="center"/>
          </w:tcPr>
          <w:p w14:paraId="42C8AAC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5.0±0.4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C18B7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0.39±0.06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CF37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9.4±0.2</w:t>
            </w:r>
          </w:p>
        </w:tc>
      </w:tr>
      <w:tr w:rsidR="003D2609" w:rsidRPr="003D2609" w14:paraId="29ED497C" w14:textId="77777777" w:rsidTr="005D529F">
        <w:tc>
          <w:tcPr>
            <w:tcW w:w="0" w:type="auto"/>
            <w:shd w:val="clear" w:color="auto" w:fill="auto"/>
          </w:tcPr>
          <w:p w14:paraId="7EE6CB1B" w14:textId="77777777" w:rsidR="003D2609" w:rsidRPr="003D2609" w:rsidRDefault="003D2609" w:rsidP="005D529F">
            <w:pPr>
              <w:rPr>
                <w:rFonts w:hAnsiTheme="minorHAnsi" w:cstheme="minorHAnsi"/>
                <w:b/>
                <w:i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2-SandCONV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AD5CC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8.2±0.6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8F136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12.5±0.9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A996E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7.0±</w:t>
            </w: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CF1B1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86±11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1003E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14.0±0.4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34EC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0.13±0.005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1CC5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10.9±0.3</w:t>
            </w:r>
          </w:p>
        </w:tc>
        <w:tc>
          <w:tcPr>
            <w:tcW w:w="0" w:type="auto"/>
            <w:vAlign w:val="center"/>
          </w:tcPr>
          <w:p w14:paraId="71E8C0F4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5.3±0.1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F3606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0.32±0.05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82E83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8.4±0.2</w:t>
            </w:r>
          </w:p>
        </w:tc>
      </w:tr>
      <w:tr w:rsidR="003D2609" w:rsidRPr="003D2609" w14:paraId="4DC6C2D6" w14:textId="77777777" w:rsidTr="005D529F">
        <w:tc>
          <w:tcPr>
            <w:tcW w:w="0" w:type="auto"/>
            <w:shd w:val="clear" w:color="auto" w:fill="auto"/>
          </w:tcPr>
          <w:p w14:paraId="0F28D11F" w14:textId="77777777" w:rsidR="003D2609" w:rsidRPr="003D2609" w:rsidRDefault="003D2609" w:rsidP="005D529F">
            <w:pPr>
              <w:rPr>
                <w:rFonts w:hAnsiTheme="minorHAnsi" w:cstheme="minorHAnsi"/>
                <w:b/>
                <w:i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2-SandAECO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B592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6.7±0.2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C7B3D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14.2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±3.3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AF8F3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6.6±1.2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3D64CF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80±6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12D92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15.5±3.5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E01BE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0.15±0.03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5CFB4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10.6±0.7</w:t>
            </w:r>
          </w:p>
        </w:tc>
        <w:tc>
          <w:tcPr>
            <w:tcW w:w="0" w:type="auto"/>
            <w:vAlign w:val="center"/>
          </w:tcPr>
          <w:p w14:paraId="231E2BFF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5.1±0.02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A9600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0.37±0.07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958F6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8.6±0.7</w:t>
            </w:r>
          </w:p>
        </w:tc>
      </w:tr>
      <w:tr w:rsidR="003D2609" w:rsidRPr="003D2609" w14:paraId="655600D7" w14:textId="77777777" w:rsidTr="005D529F">
        <w:tc>
          <w:tcPr>
            <w:tcW w:w="0" w:type="auto"/>
            <w:shd w:val="clear" w:color="auto" w:fill="auto"/>
          </w:tcPr>
          <w:p w14:paraId="5D2D741E" w14:textId="77777777" w:rsidR="003D2609" w:rsidRPr="003D2609" w:rsidRDefault="003D2609" w:rsidP="005D529F">
            <w:pPr>
              <w:rPr>
                <w:rFonts w:hAnsiTheme="minorHAnsi" w:cstheme="minorHAnsi"/>
                <w:b/>
                <w:i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3-SandCONV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C7DB6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8.6±2.5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F8EA7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13.8±3.8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066D9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5.3±0.7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665ED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67±4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11FCC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9.1±0.8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DA1C2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0.08±0.003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388B7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11.2±0.6</w:t>
            </w:r>
          </w:p>
        </w:tc>
        <w:tc>
          <w:tcPr>
            <w:tcW w:w="0" w:type="auto"/>
            <w:vAlign w:val="center"/>
          </w:tcPr>
          <w:p w14:paraId="27808410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5.6±0.2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71A68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0.21±0.05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CAAED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7.3±1.8</w:t>
            </w:r>
          </w:p>
        </w:tc>
      </w:tr>
      <w:tr w:rsidR="003D2609" w:rsidRPr="003D2609" w14:paraId="63BD9D14" w14:textId="77777777" w:rsidTr="005D529F">
        <w:tc>
          <w:tcPr>
            <w:tcW w:w="0" w:type="auto"/>
            <w:shd w:val="clear" w:color="auto" w:fill="auto"/>
          </w:tcPr>
          <w:p w14:paraId="2F6B2188" w14:textId="77777777" w:rsidR="003D2609" w:rsidRPr="003D2609" w:rsidRDefault="003D2609" w:rsidP="005D529F">
            <w:pPr>
              <w:rPr>
                <w:rFonts w:hAnsiTheme="minorHAnsi" w:cstheme="minorHAnsi"/>
                <w:b/>
                <w:i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3-SandAECO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227B0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7.2±0.7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95724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11.4±1.9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0CF81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6.8±0.5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5500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111±7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BA69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15.1±2.3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28901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0.14±0.02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ED442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10.7±0.5</w:t>
            </w:r>
          </w:p>
        </w:tc>
        <w:tc>
          <w:tcPr>
            <w:tcW w:w="0" w:type="auto"/>
            <w:vAlign w:val="center"/>
          </w:tcPr>
          <w:p w14:paraId="6E21F391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5.8±0.2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9EACD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0.30±0.05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18E51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8.7±0.5</w:t>
            </w:r>
          </w:p>
        </w:tc>
      </w:tr>
      <w:tr w:rsidR="003D2609" w:rsidRPr="003D2609" w14:paraId="748B1CD7" w14:textId="77777777" w:rsidTr="005D529F">
        <w:tc>
          <w:tcPr>
            <w:tcW w:w="0" w:type="auto"/>
            <w:shd w:val="clear" w:color="auto" w:fill="auto"/>
          </w:tcPr>
          <w:p w14:paraId="7C3FF894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b/>
                <w:i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1-SiltCONV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050AF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11.9±2.6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941A6D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18.6±2.2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67AB3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19.9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±1.4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DFA39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251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52FD7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12.9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±0.6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92611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0.14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D647A5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9.2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±0.4</w:t>
            </w:r>
          </w:p>
        </w:tc>
        <w:tc>
          <w:tcPr>
            <w:tcW w:w="0" w:type="auto"/>
            <w:vAlign w:val="center"/>
          </w:tcPr>
          <w:p w14:paraId="5F876D51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6.4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9973D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0.26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±0.03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BDEB1" w14:textId="77777777" w:rsidR="003D2609" w:rsidRPr="003D2609" w:rsidRDefault="003D2609" w:rsidP="005D529F">
            <w:pPr>
              <w:spacing w:before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17.6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±2.9</w:t>
            </w:r>
          </w:p>
        </w:tc>
      </w:tr>
      <w:tr w:rsidR="003D2609" w:rsidRPr="003D2609" w14:paraId="387051A7" w14:textId="77777777" w:rsidTr="005D529F">
        <w:tc>
          <w:tcPr>
            <w:tcW w:w="0" w:type="auto"/>
            <w:shd w:val="clear" w:color="auto" w:fill="auto"/>
          </w:tcPr>
          <w:p w14:paraId="17DE5DB8" w14:textId="77777777" w:rsidR="003D2609" w:rsidRPr="003D2609" w:rsidRDefault="003D2609" w:rsidP="005D529F">
            <w:pPr>
              <w:rPr>
                <w:rFonts w:hAnsiTheme="minorHAnsi" w:cstheme="minorHAnsi"/>
                <w:b/>
                <w:i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1-SiltAECO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E07D4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16.1±3.1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F1B6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15.4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±4.3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AC131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8.9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±1.6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243EC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368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4ADBF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18.3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±2.0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A395A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0.18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56F7AD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10.2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±0.1</w:t>
            </w:r>
          </w:p>
        </w:tc>
        <w:tc>
          <w:tcPr>
            <w:tcW w:w="0" w:type="auto"/>
            <w:vAlign w:val="center"/>
          </w:tcPr>
          <w:p w14:paraId="5F689AB6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6.9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237D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0.49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±0.08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25769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16.0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±1.2</w:t>
            </w:r>
          </w:p>
        </w:tc>
      </w:tr>
      <w:tr w:rsidR="003D2609" w:rsidRPr="003D2609" w14:paraId="1481D180" w14:textId="77777777" w:rsidTr="005D529F">
        <w:tc>
          <w:tcPr>
            <w:tcW w:w="0" w:type="auto"/>
            <w:shd w:val="clear" w:color="auto" w:fill="auto"/>
          </w:tcPr>
          <w:p w14:paraId="47F94CE8" w14:textId="77777777" w:rsidR="003D2609" w:rsidRPr="003D2609" w:rsidRDefault="003D2609" w:rsidP="005D529F">
            <w:pPr>
              <w:rPr>
                <w:rFonts w:hAnsiTheme="minorHAnsi" w:cstheme="minorHAnsi"/>
                <w:b/>
                <w:i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2-SiltCONV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846EF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sz w:val="14"/>
                <w:szCs w:val="18"/>
              </w:rPr>
              <w:t>10.5±0.8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612D1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17.5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±0.6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CCD84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15.2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±1.2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528E2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302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E171C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13.6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938B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0.15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±0.005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D13FAF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9.2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±0.1</w:t>
            </w:r>
          </w:p>
        </w:tc>
        <w:tc>
          <w:tcPr>
            <w:tcW w:w="0" w:type="auto"/>
            <w:vAlign w:val="center"/>
          </w:tcPr>
          <w:p w14:paraId="78851043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6.3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±0.2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DC590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0.26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0FC7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20.1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±1.2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</w:tr>
      <w:tr w:rsidR="003D2609" w:rsidRPr="003D2609" w14:paraId="6284B1F0" w14:textId="77777777" w:rsidTr="005D529F">
        <w:tc>
          <w:tcPr>
            <w:tcW w:w="0" w:type="auto"/>
            <w:shd w:val="clear" w:color="auto" w:fill="auto"/>
          </w:tcPr>
          <w:p w14:paraId="534EC96E" w14:textId="77777777" w:rsidR="003D2609" w:rsidRPr="003D2609" w:rsidRDefault="003D2609" w:rsidP="005D529F">
            <w:pPr>
              <w:rPr>
                <w:rFonts w:hAnsiTheme="minorHAnsi" w:cstheme="minorHAnsi"/>
                <w:b/>
                <w:i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2-SiltAECO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26811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24.2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±5.0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F0541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11.2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±1.5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9677A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5.2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±0.1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B39D7F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499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±156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DD360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12.6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2D33C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0.12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±0.002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519A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10.1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±0.7</w:t>
            </w:r>
          </w:p>
        </w:tc>
        <w:tc>
          <w:tcPr>
            <w:tcW w:w="0" w:type="auto"/>
            <w:vAlign w:val="center"/>
          </w:tcPr>
          <w:p w14:paraId="014D729E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7.3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±0.1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2D092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0.27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83B39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11.0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±0.1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</w:tr>
      <w:tr w:rsidR="003D2609" w:rsidRPr="003D2609" w14:paraId="63E51E9D" w14:textId="77777777" w:rsidTr="005D529F">
        <w:tc>
          <w:tcPr>
            <w:tcW w:w="0" w:type="auto"/>
            <w:shd w:val="clear" w:color="auto" w:fill="auto"/>
          </w:tcPr>
          <w:p w14:paraId="17AB3D89" w14:textId="77777777" w:rsidR="003D2609" w:rsidRPr="003D2609" w:rsidRDefault="003D2609" w:rsidP="005D529F">
            <w:pPr>
              <w:rPr>
                <w:rFonts w:hAnsiTheme="minorHAnsi" w:cstheme="minorHAnsi"/>
                <w:b/>
                <w:i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3-SiltCONV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47DCC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13.9±2.6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ACA75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13.6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±3.9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5D20F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12.2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±1.4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83E1F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469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41FB4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15.4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±0.8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0FA36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0.16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±0.004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B977A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9.9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±0.3</w:t>
            </w:r>
          </w:p>
        </w:tc>
        <w:tc>
          <w:tcPr>
            <w:tcW w:w="0" w:type="auto"/>
            <w:vAlign w:val="center"/>
          </w:tcPr>
          <w:p w14:paraId="27BEDD18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7.5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3496EB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0.33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E8DDC" w14:textId="77777777" w:rsidR="003D2609" w:rsidRPr="003D2609" w:rsidRDefault="003D2609" w:rsidP="005D529F">
            <w:pPr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16.3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±0.8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a</w:t>
            </w:r>
          </w:p>
        </w:tc>
      </w:tr>
      <w:tr w:rsidR="003D2609" w:rsidRPr="003D2609" w14:paraId="3E419F7A" w14:textId="77777777" w:rsidTr="005D529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7D46A3D" w14:textId="77777777" w:rsidR="003D2609" w:rsidRPr="003D2609" w:rsidRDefault="003D2609" w:rsidP="005D529F">
            <w:pPr>
              <w:spacing w:after="120"/>
              <w:rPr>
                <w:rFonts w:hAnsiTheme="minorHAnsi" w:cstheme="minorHAnsi"/>
                <w:b/>
                <w:i/>
                <w:sz w:val="14"/>
                <w:szCs w:val="18"/>
              </w:rPr>
            </w:pPr>
            <w:r w:rsidRPr="003D2609">
              <w:rPr>
                <w:rFonts w:hAnsiTheme="minorHAnsi" w:cstheme="minorHAnsi"/>
                <w:sz w:val="14"/>
                <w:szCs w:val="18"/>
              </w:rPr>
              <w:t>3-SiltAECO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C9401" w14:textId="77777777" w:rsidR="003D2609" w:rsidRPr="003D2609" w:rsidRDefault="003D2609" w:rsidP="005D529F">
            <w:pPr>
              <w:spacing w:after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19.0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±2.0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6CF25" w14:textId="77777777" w:rsidR="003D2609" w:rsidRPr="003D2609" w:rsidRDefault="003D2609" w:rsidP="005D529F">
            <w:pPr>
              <w:spacing w:after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9.3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±2.0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57DAF" w14:textId="77777777" w:rsidR="003D2609" w:rsidRPr="003D2609" w:rsidRDefault="003D2609" w:rsidP="005D529F">
            <w:pPr>
              <w:spacing w:after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5.1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±1.1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61BD" w14:textId="77777777" w:rsidR="003D2609" w:rsidRPr="003D2609" w:rsidRDefault="003D2609" w:rsidP="005D529F">
            <w:pPr>
              <w:spacing w:after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792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±389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96E38" w14:textId="77777777" w:rsidR="003D2609" w:rsidRPr="003D2609" w:rsidRDefault="003D2609" w:rsidP="005D529F">
            <w:pPr>
              <w:spacing w:after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11.1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±0.9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63D07" w14:textId="77777777" w:rsidR="003D2609" w:rsidRPr="003D2609" w:rsidRDefault="003D2609" w:rsidP="005D529F">
            <w:pPr>
              <w:spacing w:after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0.12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±0.004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FF17D" w14:textId="77777777" w:rsidR="003D2609" w:rsidRPr="003D2609" w:rsidRDefault="003D2609" w:rsidP="005D529F">
            <w:pPr>
              <w:spacing w:after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9.5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±1.0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8007E1" w14:textId="77777777" w:rsidR="003D2609" w:rsidRPr="003D2609" w:rsidRDefault="003D2609" w:rsidP="005D529F">
            <w:pPr>
              <w:spacing w:after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7.6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AF072" w14:textId="77777777" w:rsidR="003D2609" w:rsidRPr="003D2609" w:rsidRDefault="003D2609" w:rsidP="005D529F">
            <w:pPr>
              <w:spacing w:after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color w:val="000000"/>
                <w:sz w:val="14"/>
                <w:szCs w:val="18"/>
              </w:rPr>
              <w:t>0.25</w:t>
            </w:r>
            <w:r w:rsidRPr="003D2609">
              <w:rPr>
                <w:rFonts w:hAnsiTheme="minorHAnsi" w:cstheme="minorHAnsi"/>
                <w:sz w:val="14"/>
                <w:szCs w:val="18"/>
              </w:rPr>
              <w:t>±0.05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7179C" w14:textId="77777777" w:rsidR="003D2609" w:rsidRPr="003D2609" w:rsidRDefault="003D2609" w:rsidP="005D529F">
            <w:pPr>
              <w:spacing w:after="120"/>
              <w:rPr>
                <w:rFonts w:hAnsiTheme="minorHAnsi" w:cstheme="minorHAnsi"/>
                <w:sz w:val="14"/>
                <w:szCs w:val="18"/>
              </w:rPr>
            </w:pPr>
            <w:r w:rsidRPr="003D2609">
              <w:rPr>
                <w:rFonts w:hAnsiTheme="minorHAnsi" w:cstheme="minorHAnsi"/>
                <w:b/>
                <w:color w:val="000000"/>
                <w:sz w:val="14"/>
                <w:szCs w:val="18"/>
              </w:rPr>
              <w:t>9.7</w:t>
            </w:r>
            <w:r w:rsidRPr="003D2609">
              <w:rPr>
                <w:rFonts w:hAnsiTheme="minorHAnsi" w:cstheme="minorHAnsi"/>
                <w:b/>
                <w:sz w:val="14"/>
                <w:szCs w:val="18"/>
              </w:rPr>
              <w:t>±0.4</w:t>
            </w:r>
            <w:r w:rsidRPr="003D2609">
              <w:rPr>
                <w:rFonts w:hAnsiTheme="minorHAnsi" w:cstheme="minorHAnsi"/>
                <w:b/>
                <w:sz w:val="14"/>
                <w:szCs w:val="18"/>
                <w:vertAlign w:val="superscript"/>
              </w:rPr>
              <w:t>b</w:t>
            </w:r>
          </w:p>
        </w:tc>
      </w:tr>
    </w:tbl>
    <w:p w14:paraId="466A0D91" w14:textId="23CE6B78" w:rsidR="002253D8" w:rsidRDefault="002253D8"/>
    <w:p w14:paraId="40FDAFCA" w14:textId="19013D68" w:rsidR="00DA02E7" w:rsidRDefault="00DA02E7">
      <w:bookmarkStart w:id="1" w:name="_Hlk1581622"/>
      <w:r>
        <w:t xml:space="preserve">Mean and standard deviation of the soil physical and chemical parameters for each management type (CONV=conventional and AECO=agroecological) in the six </w:t>
      </w:r>
      <w:r w:rsidR="00C64D60">
        <w:t>paired-</w:t>
      </w:r>
      <w:r w:rsidR="002131EB">
        <w:t>fields</w:t>
      </w:r>
      <w:r>
        <w:t xml:space="preserve"> (3 </w:t>
      </w:r>
      <w:r w:rsidR="004D3780">
        <w:t>paired-fields</w:t>
      </w:r>
      <w:r>
        <w:t xml:space="preserve"> in each </w:t>
      </w:r>
      <w:r w:rsidR="002131EB">
        <w:t>site</w:t>
      </w:r>
      <w:r>
        <w:t>: 1, 2 and 3). The management effect was assessed in the six</w:t>
      </w:r>
      <w:r w:rsidR="004D3780">
        <w:t xml:space="preserve"> paired-</w:t>
      </w:r>
      <w:r w:rsidR="002131EB">
        <w:t>fields</w:t>
      </w:r>
      <w:r>
        <w:t xml:space="preserve"> separately using a pairwise test with the routine Permanova implemented in Primer6. Letters </w:t>
      </w:r>
      <w:r>
        <w:t>“</w:t>
      </w:r>
      <w:r>
        <w:t>a</w:t>
      </w:r>
      <w:r>
        <w:t>”</w:t>
      </w:r>
      <w:r>
        <w:t xml:space="preserve"> and </w:t>
      </w:r>
      <w:r>
        <w:t>“</w:t>
      </w:r>
      <w:r>
        <w:t>b</w:t>
      </w:r>
      <w:r>
        <w:t>”</w:t>
      </w:r>
      <w:r>
        <w:t xml:space="preserve"> represent the highest and the lowest values between the two management types</w:t>
      </w:r>
      <w:r w:rsidR="004D3780">
        <w:t xml:space="preserve"> for each pair</w:t>
      </w:r>
      <w:r>
        <w:t xml:space="preserve">. </w:t>
      </w:r>
      <w:r w:rsidRPr="00DA02E7">
        <w:t>The significant tests are in bold. P, K, Mg and Ca=exchangeable cations; C</w:t>
      </w:r>
      <w:r w:rsidRPr="00435165">
        <w:rPr>
          <w:vertAlign w:val="subscript"/>
        </w:rPr>
        <w:t>tot</w:t>
      </w:r>
      <w:r w:rsidRPr="00DA02E7">
        <w:t>= carbon total</w:t>
      </w:r>
      <w:r w:rsidR="004D3780">
        <w:t>;</w:t>
      </w:r>
      <w:r w:rsidR="004D3780" w:rsidRPr="004D3780">
        <w:t xml:space="preserve"> </w:t>
      </w:r>
      <w:r w:rsidR="004D3780" w:rsidRPr="00DA02E7">
        <w:t>N</w:t>
      </w:r>
      <w:r w:rsidR="004D3780" w:rsidRPr="00435165">
        <w:rPr>
          <w:vertAlign w:val="subscript"/>
        </w:rPr>
        <w:t>tot</w:t>
      </w:r>
      <w:r w:rsidR="004D3780" w:rsidRPr="00DA02E7">
        <w:t>=total nitrogen;</w:t>
      </w:r>
      <w:r>
        <w:t xml:space="preserve"> </w:t>
      </w:r>
      <w:r w:rsidRPr="00DA02E7">
        <w:t>C/N=</w:t>
      </w:r>
      <w:r w:rsidR="00435165">
        <w:t>carbon to nitrogen ratio</w:t>
      </w:r>
      <w:r w:rsidRPr="00DA02E7">
        <w:t>; HWC=hot water carbon; CEC=cation exchange capacity.</w:t>
      </w:r>
      <w:bookmarkEnd w:id="1"/>
    </w:p>
    <w:sectPr w:rsidR="00DA02E7" w:rsidSect="001D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9E"/>
    <w:rsid w:val="001D0366"/>
    <w:rsid w:val="001D0A3D"/>
    <w:rsid w:val="002131EB"/>
    <w:rsid w:val="002253D8"/>
    <w:rsid w:val="00233F83"/>
    <w:rsid w:val="002F4416"/>
    <w:rsid w:val="0030009E"/>
    <w:rsid w:val="0036681B"/>
    <w:rsid w:val="003A1C37"/>
    <w:rsid w:val="003D2609"/>
    <w:rsid w:val="004008A5"/>
    <w:rsid w:val="00435165"/>
    <w:rsid w:val="004D3780"/>
    <w:rsid w:val="004F2770"/>
    <w:rsid w:val="005A0A9B"/>
    <w:rsid w:val="008C3ECD"/>
    <w:rsid w:val="008D0C5B"/>
    <w:rsid w:val="00B556FE"/>
    <w:rsid w:val="00C16A79"/>
    <w:rsid w:val="00C64D60"/>
    <w:rsid w:val="00CB4688"/>
    <w:rsid w:val="00DA02E7"/>
    <w:rsid w:val="00DF38AB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FE30F"/>
  <w15:chartTrackingRefBased/>
  <w15:docId w15:val="{F96CC020-7DED-40CD-923D-F4330ADD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609"/>
    <w:rPr>
      <w:rFonts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2609"/>
    <w:pPr>
      <w:spacing w:after="0" w:line="240" w:lineRule="auto"/>
    </w:pPr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3D26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Degrune</dc:creator>
  <cp:keywords/>
  <dc:description/>
  <cp:lastModifiedBy>Florine Degrune</cp:lastModifiedBy>
  <cp:revision>2</cp:revision>
  <dcterms:created xsi:type="dcterms:W3CDTF">2019-06-26T09:39:00Z</dcterms:created>
  <dcterms:modified xsi:type="dcterms:W3CDTF">2019-06-26T09:39:00Z</dcterms:modified>
</cp:coreProperties>
</file>