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38" w:rsidRDefault="00470438" w:rsidP="00470438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896E1B" w:rsidRPr="00896E1B" w:rsidRDefault="00470438" w:rsidP="00896E1B">
      <w:pPr>
        <w:spacing w:line="240" w:lineRule="auto"/>
        <w:jc w:val="both"/>
        <w:rPr>
          <w:rFonts w:cs="Arial"/>
          <w:bCs/>
          <w:sz w:val="24"/>
          <w:szCs w:val="24"/>
          <w:lang w:val="en-US"/>
        </w:rPr>
      </w:pPr>
      <w:r w:rsidRPr="00896E1B">
        <w:rPr>
          <w:rFonts w:cs="Arial"/>
          <w:sz w:val="24"/>
          <w:szCs w:val="24"/>
          <w:lang w:val="en-US"/>
        </w:rPr>
        <w:t xml:space="preserve">Table S1. </w:t>
      </w:r>
      <w:r w:rsidR="002820FF" w:rsidRPr="00896E1B">
        <w:rPr>
          <w:rFonts w:cs="Arial"/>
          <w:b/>
          <w:bCs/>
          <w:sz w:val="24"/>
          <w:szCs w:val="24"/>
          <w:lang w:val="en-US"/>
        </w:rPr>
        <w:t xml:space="preserve">Effect of PTX and PTX-PNS treatments on HUVEC, A2058, and B16-BL6 </w:t>
      </w:r>
      <w:proofErr w:type="gramStart"/>
      <w:r w:rsidR="002820FF" w:rsidRPr="00896E1B">
        <w:rPr>
          <w:rFonts w:cs="Arial"/>
          <w:b/>
          <w:bCs/>
          <w:sz w:val="24"/>
          <w:szCs w:val="24"/>
          <w:lang w:val="en-US"/>
        </w:rPr>
        <w:t>on  cell</w:t>
      </w:r>
      <w:proofErr w:type="gramEnd"/>
      <w:r w:rsidR="002820FF" w:rsidRPr="00896E1B">
        <w:rPr>
          <w:rFonts w:cs="Arial"/>
          <w:b/>
          <w:bCs/>
          <w:sz w:val="24"/>
          <w:szCs w:val="24"/>
          <w:lang w:val="en-US"/>
        </w:rPr>
        <w:t xml:space="preserve"> viability assessed by crystal violet staining at 6h.</w:t>
      </w:r>
      <w:r w:rsidR="00153E27" w:rsidRPr="00896E1B">
        <w:rPr>
          <w:rFonts w:cs="Arial"/>
          <w:b/>
          <w:bCs/>
          <w:sz w:val="24"/>
          <w:szCs w:val="24"/>
          <w:lang w:val="en-US"/>
        </w:rPr>
        <w:t xml:space="preserve"> </w:t>
      </w:r>
      <w:r w:rsidR="00153E27" w:rsidRPr="00896E1B">
        <w:rPr>
          <w:rFonts w:cs="Arial"/>
          <w:bCs/>
          <w:sz w:val="24"/>
          <w:szCs w:val="24"/>
          <w:lang w:val="en-US"/>
        </w:rPr>
        <w:t xml:space="preserve">Cells were untreated (control) or treated </w:t>
      </w:r>
      <w:r w:rsidR="00153E27" w:rsidRPr="00896E1B">
        <w:rPr>
          <w:rFonts w:cs="Arial"/>
          <w:sz w:val="24"/>
          <w:szCs w:val="24"/>
          <w:lang w:val="en-US"/>
        </w:rPr>
        <w:t>with increasing concentrations of PTX (from 10</w:t>
      </w:r>
      <w:r w:rsidR="00153E27" w:rsidRPr="00896E1B">
        <w:rPr>
          <w:rFonts w:cs="Arial"/>
          <w:sz w:val="24"/>
          <w:szCs w:val="24"/>
          <w:vertAlign w:val="superscript"/>
          <w:lang w:val="en-US"/>
        </w:rPr>
        <w:t xml:space="preserve">-7 </w:t>
      </w:r>
      <w:r w:rsidR="00153E27" w:rsidRPr="00896E1B">
        <w:rPr>
          <w:rFonts w:cs="Arial"/>
          <w:sz w:val="24"/>
          <w:szCs w:val="24"/>
          <w:lang w:val="en-US"/>
        </w:rPr>
        <w:t>to 10</w:t>
      </w:r>
      <w:r w:rsidR="00153E27" w:rsidRPr="00896E1B">
        <w:rPr>
          <w:rFonts w:cs="Arial"/>
          <w:sz w:val="24"/>
          <w:szCs w:val="24"/>
          <w:vertAlign w:val="superscript"/>
          <w:lang w:val="en-US"/>
        </w:rPr>
        <w:t xml:space="preserve">-9 </w:t>
      </w:r>
      <w:r w:rsidR="00153E27" w:rsidRPr="00896E1B">
        <w:rPr>
          <w:rFonts w:cs="Arial"/>
          <w:sz w:val="24"/>
          <w:szCs w:val="24"/>
          <w:lang w:val="en-US"/>
        </w:rPr>
        <w:t>M</w:t>
      </w:r>
      <w:r w:rsidR="00153E27" w:rsidRPr="001A61C2">
        <w:rPr>
          <w:rFonts w:cs="Arial"/>
          <w:sz w:val="24"/>
          <w:szCs w:val="24"/>
          <w:lang w:val="en-US"/>
        </w:rPr>
        <w:t>)</w:t>
      </w:r>
      <w:r w:rsidR="00153E27" w:rsidRPr="00896E1B">
        <w:rPr>
          <w:rFonts w:cs="Arial"/>
          <w:sz w:val="24"/>
          <w:szCs w:val="24"/>
          <w:vertAlign w:val="superscript"/>
          <w:lang w:val="en-US"/>
        </w:rPr>
        <w:t xml:space="preserve"> </w:t>
      </w:r>
      <w:r w:rsidR="00153E27" w:rsidRPr="00896E1B">
        <w:rPr>
          <w:rFonts w:cs="Arial"/>
          <w:sz w:val="24"/>
          <w:szCs w:val="24"/>
          <w:lang w:val="en-US"/>
        </w:rPr>
        <w:t>or PTX-PNS (from 10</w:t>
      </w:r>
      <w:r w:rsidR="00153E27" w:rsidRPr="00896E1B">
        <w:rPr>
          <w:rFonts w:cs="Arial"/>
          <w:sz w:val="24"/>
          <w:szCs w:val="24"/>
          <w:vertAlign w:val="superscript"/>
          <w:lang w:val="en-US"/>
        </w:rPr>
        <w:t>-10</w:t>
      </w:r>
      <w:r w:rsidR="00153E27" w:rsidRPr="00896E1B">
        <w:rPr>
          <w:rFonts w:cs="Arial"/>
          <w:sz w:val="24"/>
          <w:szCs w:val="24"/>
          <w:lang w:val="en-US"/>
        </w:rPr>
        <w:t xml:space="preserve"> to 10</w:t>
      </w:r>
      <w:r w:rsidR="00153E27" w:rsidRPr="00896E1B">
        <w:rPr>
          <w:rFonts w:cs="Arial"/>
          <w:sz w:val="24"/>
          <w:szCs w:val="24"/>
          <w:vertAlign w:val="superscript"/>
          <w:lang w:val="en-US"/>
        </w:rPr>
        <w:t xml:space="preserve">-14 </w:t>
      </w:r>
      <w:r w:rsidR="00153E27" w:rsidRPr="00896E1B">
        <w:rPr>
          <w:rFonts w:cs="Arial"/>
          <w:sz w:val="24"/>
          <w:szCs w:val="24"/>
          <w:lang w:val="en-US"/>
        </w:rPr>
        <w:t>M</w:t>
      </w:r>
      <w:r w:rsidR="00153E27" w:rsidRPr="001A61C2">
        <w:rPr>
          <w:rFonts w:cs="Arial"/>
          <w:sz w:val="24"/>
          <w:szCs w:val="24"/>
          <w:lang w:val="en-US"/>
        </w:rPr>
        <w:t>)</w:t>
      </w:r>
      <w:r w:rsidR="00153E27" w:rsidRPr="00896E1B">
        <w:rPr>
          <w:rFonts w:cs="Arial"/>
          <w:sz w:val="24"/>
          <w:szCs w:val="24"/>
          <w:lang w:val="en-US"/>
        </w:rPr>
        <w:t>, and with PNS 10</w:t>
      </w:r>
      <w:r w:rsidR="00153E27" w:rsidRPr="00896E1B">
        <w:rPr>
          <w:rFonts w:cs="Arial"/>
          <w:sz w:val="24"/>
          <w:szCs w:val="24"/>
          <w:vertAlign w:val="superscript"/>
          <w:lang w:val="en-US"/>
        </w:rPr>
        <w:t xml:space="preserve">-10 </w:t>
      </w:r>
      <w:r w:rsidR="00153E27" w:rsidRPr="00896E1B">
        <w:rPr>
          <w:rFonts w:cs="Arial"/>
          <w:sz w:val="24"/>
          <w:szCs w:val="24"/>
          <w:lang w:val="en-US"/>
        </w:rPr>
        <w:t>M for</w:t>
      </w:r>
      <w:r w:rsidR="00153E27" w:rsidRPr="00896E1B">
        <w:rPr>
          <w:rFonts w:cs="Arial"/>
          <w:bCs/>
          <w:sz w:val="24"/>
          <w:szCs w:val="24"/>
          <w:lang w:val="en-US"/>
        </w:rPr>
        <w:t xml:space="preserve"> </w:t>
      </w:r>
      <w:r w:rsidR="00153E27" w:rsidRPr="00896E1B">
        <w:rPr>
          <w:rFonts w:cs="Arial"/>
          <w:sz w:val="24"/>
          <w:szCs w:val="24"/>
          <w:lang w:val="en-US"/>
        </w:rPr>
        <w:t xml:space="preserve">6 h. </w:t>
      </w:r>
      <w:r w:rsidR="00153E27" w:rsidRPr="00896E1B">
        <w:rPr>
          <w:color w:val="000000"/>
          <w:sz w:val="24"/>
          <w:szCs w:val="24"/>
          <w:lang w:val="en-US"/>
        </w:rPr>
        <w:t>The controls were normalized to 100% and the readings from treated cells were express</w:t>
      </w:r>
      <w:r w:rsidR="00896E1B" w:rsidRPr="00896E1B">
        <w:rPr>
          <w:color w:val="000000"/>
          <w:sz w:val="24"/>
          <w:szCs w:val="24"/>
          <w:lang w:val="en-US"/>
        </w:rPr>
        <w:t>ed as % of viability inhibition. They are the mean ± SD of f</w:t>
      </w:r>
      <w:r w:rsidR="00153E27" w:rsidRPr="00896E1B">
        <w:rPr>
          <w:color w:val="000000"/>
          <w:sz w:val="24"/>
          <w:szCs w:val="24"/>
          <w:lang w:val="en-US"/>
        </w:rPr>
        <w:t xml:space="preserve">our replicates </w:t>
      </w:r>
      <w:r w:rsidR="00896E1B" w:rsidRPr="00896E1B">
        <w:rPr>
          <w:rFonts w:cs="Arial"/>
          <w:bCs/>
          <w:sz w:val="24"/>
          <w:szCs w:val="24"/>
          <w:lang w:val="en-US"/>
        </w:rPr>
        <w:t>of 5 separated experiments</w:t>
      </w:r>
      <w:r w:rsidR="00896E1B">
        <w:rPr>
          <w:rFonts w:cs="Arial"/>
          <w:bCs/>
          <w:sz w:val="24"/>
          <w:szCs w:val="24"/>
          <w:lang w:val="en-US"/>
        </w:rPr>
        <w:t>.</w:t>
      </w:r>
    </w:p>
    <w:p w:rsidR="002D72E8" w:rsidRPr="00896E1B" w:rsidRDefault="002D72E8" w:rsidP="00470438">
      <w:pPr>
        <w:jc w:val="center"/>
        <w:rPr>
          <w:lang w:val="en-US"/>
        </w:rPr>
      </w:pPr>
    </w:p>
    <w:tbl>
      <w:tblPr>
        <w:tblStyle w:val="Sfondochiaro"/>
        <w:tblW w:w="6761" w:type="dxa"/>
        <w:jc w:val="center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50"/>
        <w:gridCol w:w="1651"/>
        <w:gridCol w:w="1651"/>
      </w:tblGrid>
      <w:tr w:rsidR="00406743" w:rsidRPr="00406743" w:rsidTr="00470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2D72E8" w:rsidRPr="00470438" w:rsidRDefault="002D72E8" w:rsidP="00470438">
            <w:pPr>
              <w:jc w:val="center"/>
              <w:rPr>
                <w:rFonts w:ascii="Calibri" w:eastAsia="Times New Roman" w:hAnsi="Calibri" w:cs="Times New Roman"/>
                <w:color w:val="000000"/>
                <w:lang w:val="en-US" w:eastAsia="it-IT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896E1B" w:rsidRPr="00406743" w:rsidRDefault="002D72E8" w:rsidP="00896E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  <w:t>HUVEC</w:t>
            </w:r>
          </w:p>
        </w:tc>
        <w:tc>
          <w:tcPr>
            <w:tcW w:w="16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2D72E8" w:rsidRPr="00406743" w:rsidRDefault="002D72E8" w:rsidP="00470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  <w:t>A2058</w:t>
            </w:r>
          </w:p>
        </w:tc>
        <w:tc>
          <w:tcPr>
            <w:tcW w:w="165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noWrap/>
            <w:hideMark/>
          </w:tcPr>
          <w:p w:rsidR="002D72E8" w:rsidRPr="00406743" w:rsidRDefault="002D72E8" w:rsidP="00470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  <w:t>B16</w:t>
            </w:r>
            <w:r w:rsidR="007D4933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  <w:t>-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sz w:val="28"/>
                <w:szCs w:val="28"/>
                <w:lang w:eastAsia="it-IT"/>
              </w:rPr>
              <w:t>BL6</w:t>
            </w:r>
          </w:p>
        </w:tc>
      </w:tr>
      <w:tr w:rsidR="00406743" w:rsidRPr="002D72E8" w:rsidTr="0047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  <w:t xml:space="preserve">PNS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-10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6</w:t>
            </w:r>
            <w:r>
              <w:rPr>
                <w:rFonts w:ascii="Calibri" w:hAnsi="Calibri"/>
                <w:color w:val="000000"/>
                <w:lang w:val="en-US"/>
              </w:rPr>
              <w:t xml:space="preserve">.4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3</w:t>
            </w:r>
            <w:r>
              <w:rPr>
                <w:rFonts w:ascii="Calibri" w:hAnsi="Calibri"/>
                <w:color w:val="000000"/>
                <w:lang w:val="en-US"/>
              </w:rPr>
              <w:t>.6</w:t>
            </w:r>
          </w:p>
        </w:tc>
        <w:tc>
          <w:tcPr>
            <w:tcW w:w="165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5.3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3.4</w:t>
            </w:r>
          </w:p>
        </w:tc>
        <w:tc>
          <w:tcPr>
            <w:tcW w:w="165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4.6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3.9</w:t>
            </w:r>
          </w:p>
        </w:tc>
      </w:tr>
      <w:tr w:rsidR="00406743" w:rsidRPr="002D72E8" w:rsidTr="00470438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PTX 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-7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noWrap/>
            <w:hideMark/>
          </w:tcPr>
          <w:p w:rsidR="00406743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 ± 7.3</w:t>
            </w:r>
          </w:p>
        </w:tc>
        <w:tc>
          <w:tcPr>
            <w:tcW w:w="1651" w:type="dxa"/>
            <w:noWrap/>
            <w:hideMark/>
          </w:tcPr>
          <w:p w:rsidR="00406743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13.2 ± 7.4</w:t>
            </w:r>
          </w:p>
        </w:tc>
        <w:tc>
          <w:tcPr>
            <w:tcW w:w="1651" w:type="dxa"/>
            <w:noWrap/>
            <w:hideMark/>
          </w:tcPr>
          <w:p w:rsidR="00406743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10.6 ± 2.7</w:t>
            </w:r>
          </w:p>
        </w:tc>
      </w:tr>
      <w:tr w:rsidR="00406743" w:rsidRPr="002D72E8" w:rsidTr="0047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PTX 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-8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14.2 ± 7.4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12.7 ± 7.4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4.5 ± 2.4</w:t>
            </w:r>
          </w:p>
        </w:tc>
      </w:tr>
      <w:tr w:rsidR="00406743" w:rsidRPr="002D72E8" w:rsidTr="00470438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PTX 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-9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noWrap/>
            <w:hideMark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8.</w:t>
            </w:r>
            <w:r>
              <w:rPr>
                <w:rFonts w:ascii="Calibri" w:hAnsi="Calibri"/>
                <w:color w:val="000000"/>
                <w:lang w:val="en-US"/>
              </w:rPr>
              <w:t xml:space="preserve">8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3</w:t>
            </w:r>
            <w:r>
              <w:rPr>
                <w:rFonts w:ascii="Calibri" w:hAnsi="Calibri"/>
                <w:color w:val="000000"/>
                <w:lang w:val="en-US"/>
              </w:rPr>
              <w:t>.9</w:t>
            </w:r>
          </w:p>
        </w:tc>
        <w:tc>
          <w:tcPr>
            <w:tcW w:w="1651" w:type="dxa"/>
            <w:noWrap/>
            <w:hideMark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4.1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3.7</w:t>
            </w:r>
          </w:p>
        </w:tc>
        <w:tc>
          <w:tcPr>
            <w:tcW w:w="1651" w:type="dxa"/>
            <w:noWrap/>
            <w:hideMark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2.9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2.0</w:t>
            </w:r>
          </w:p>
        </w:tc>
      </w:tr>
      <w:tr w:rsidR="00406743" w:rsidRPr="002D72E8" w:rsidTr="0047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  <w:t xml:space="preserve">PTX-PNS 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-10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16</w:t>
            </w:r>
            <w:r>
              <w:rPr>
                <w:rFonts w:ascii="Calibri" w:hAnsi="Calibri"/>
                <w:color w:val="000000"/>
                <w:lang w:val="en-US"/>
              </w:rPr>
              <w:t xml:space="preserve">.1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5</w:t>
            </w:r>
            <w:r>
              <w:rPr>
                <w:rFonts w:ascii="Calibri" w:hAnsi="Calibri"/>
                <w:color w:val="000000"/>
                <w:lang w:val="en-US"/>
              </w:rPr>
              <w:t>.1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14.5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6.9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10.1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3.2</w:t>
            </w:r>
          </w:p>
        </w:tc>
      </w:tr>
      <w:tr w:rsidR="00406743" w:rsidRPr="002D72E8" w:rsidTr="00470438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  <w:t xml:space="preserve">PTX-PNS 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-11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noWrap/>
            <w:hideMark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12</w:t>
            </w:r>
            <w:r>
              <w:rPr>
                <w:rFonts w:ascii="Calibri" w:hAnsi="Calibri"/>
                <w:color w:val="000000"/>
                <w:lang w:val="en-US"/>
              </w:rPr>
              <w:t xml:space="preserve">.6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4</w:t>
            </w:r>
            <w:r>
              <w:rPr>
                <w:rFonts w:ascii="Calibri" w:hAnsi="Calibri"/>
                <w:color w:val="000000"/>
                <w:lang w:val="en-US"/>
              </w:rPr>
              <w:t>.4</w:t>
            </w:r>
          </w:p>
        </w:tc>
        <w:tc>
          <w:tcPr>
            <w:tcW w:w="1651" w:type="dxa"/>
            <w:noWrap/>
            <w:hideMark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11.4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3.6</w:t>
            </w:r>
          </w:p>
        </w:tc>
        <w:tc>
          <w:tcPr>
            <w:tcW w:w="1651" w:type="dxa"/>
            <w:noWrap/>
            <w:hideMark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8.7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4.5</w:t>
            </w:r>
          </w:p>
        </w:tc>
      </w:tr>
      <w:tr w:rsidR="00406743" w:rsidRPr="002D72E8" w:rsidTr="0047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  <w:t xml:space="preserve">PTX-PNS 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-12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6</w:t>
            </w:r>
            <w:r>
              <w:rPr>
                <w:rFonts w:ascii="Calibri" w:hAnsi="Calibri"/>
                <w:color w:val="000000"/>
                <w:lang w:val="en-US"/>
              </w:rPr>
              <w:t xml:space="preserve">.2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3</w:t>
            </w:r>
            <w:r>
              <w:rPr>
                <w:rFonts w:ascii="Calibri" w:hAnsi="Calibri"/>
                <w:color w:val="000000"/>
                <w:lang w:val="en-US"/>
              </w:rPr>
              <w:t>.4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5.7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3.8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4.2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4.7</w:t>
            </w:r>
          </w:p>
        </w:tc>
      </w:tr>
      <w:tr w:rsidR="00406743" w:rsidRPr="002D72E8" w:rsidTr="00470438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  <w:t xml:space="preserve">PTX-PNS 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-13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noWrap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8</w:t>
            </w:r>
            <w:r>
              <w:rPr>
                <w:rFonts w:ascii="Calibri" w:hAnsi="Calibri"/>
                <w:color w:val="000000"/>
                <w:lang w:val="en-US"/>
              </w:rPr>
              <w:t xml:space="preserve">.8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5</w:t>
            </w:r>
            <w:r>
              <w:rPr>
                <w:rFonts w:ascii="Calibri" w:hAnsi="Calibri"/>
                <w:color w:val="000000"/>
                <w:lang w:val="en-US"/>
              </w:rPr>
              <w:t>.2</w:t>
            </w:r>
          </w:p>
        </w:tc>
        <w:tc>
          <w:tcPr>
            <w:tcW w:w="1651" w:type="dxa"/>
            <w:noWrap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6.4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4.6</w:t>
            </w:r>
          </w:p>
        </w:tc>
        <w:tc>
          <w:tcPr>
            <w:tcW w:w="1651" w:type="dxa"/>
            <w:noWrap/>
          </w:tcPr>
          <w:p w:rsidR="00406743" w:rsidRPr="002D72E8" w:rsidRDefault="00406743" w:rsidP="00470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7.2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3.4</w:t>
            </w:r>
          </w:p>
        </w:tc>
      </w:tr>
      <w:tr w:rsidR="00406743" w:rsidRPr="002D72E8" w:rsidTr="00470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406743" w:rsidRDefault="00406743" w:rsidP="00470438">
            <w:pPr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</w:pP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val="en-US" w:eastAsia="it-IT"/>
              </w:rPr>
              <w:t xml:space="preserve">PTX-PNS 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10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>-14</w:t>
            </w:r>
            <w:r>
              <w:rPr>
                <w:rFonts w:ascii="Calibri" w:eastAsia="Times New Roman" w:hAnsi="Calibri" w:cs="Times New Roman"/>
                <w:bCs w:val="0"/>
                <w:color w:val="000000"/>
                <w:vertAlign w:val="superscript"/>
                <w:lang w:eastAsia="it-IT"/>
              </w:rPr>
              <w:t xml:space="preserve"> </w:t>
            </w:r>
            <w:r w:rsidRPr="00406743">
              <w:rPr>
                <w:rFonts w:ascii="Calibri" w:eastAsia="Times New Roman" w:hAnsi="Calibri" w:cs="Times New Roman"/>
                <w:bCs w:val="0"/>
                <w:color w:val="000000"/>
                <w:lang w:eastAsia="it-IT"/>
              </w:rPr>
              <w:t>M</w:t>
            </w:r>
          </w:p>
        </w:tc>
        <w:tc>
          <w:tcPr>
            <w:tcW w:w="1650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 w:rsidRPr="002D72E8">
              <w:rPr>
                <w:rFonts w:ascii="Calibri" w:hAnsi="Calibri"/>
                <w:color w:val="000000"/>
                <w:lang w:val="en-US"/>
              </w:rPr>
              <w:t>7</w:t>
            </w:r>
            <w:r>
              <w:rPr>
                <w:rFonts w:ascii="Calibri" w:hAnsi="Calibri"/>
                <w:color w:val="000000"/>
                <w:lang w:val="en-US"/>
              </w:rPr>
              <w:t xml:space="preserve">.6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r w:rsidRPr="002D72E8">
              <w:rPr>
                <w:rFonts w:ascii="Calibri" w:hAnsi="Calibri"/>
                <w:color w:val="000000"/>
                <w:lang w:val="en-US"/>
              </w:rPr>
              <w:t>4</w:t>
            </w:r>
            <w:r>
              <w:rPr>
                <w:rFonts w:ascii="Calibri" w:hAnsi="Calibri"/>
                <w:color w:val="000000"/>
                <w:lang w:val="en-US"/>
              </w:rPr>
              <w:t>.7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6.5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3.1</w:t>
            </w:r>
          </w:p>
        </w:tc>
        <w:tc>
          <w:tcPr>
            <w:tcW w:w="1651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406743" w:rsidRPr="002D72E8" w:rsidRDefault="00406743" w:rsidP="00470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5.1 </w:t>
            </w:r>
            <w:r w:rsidRPr="002D72E8">
              <w:rPr>
                <w:rFonts w:ascii="Calibri" w:hAnsi="Calibri"/>
                <w:color w:val="000000"/>
                <w:lang w:val="en-US"/>
              </w:rPr>
              <w:t>±</w:t>
            </w:r>
            <w:r>
              <w:rPr>
                <w:rFonts w:ascii="Calibri" w:hAnsi="Calibri"/>
                <w:color w:val="000000"/>
                <w:lang w:val="en-US"/>
              </w:rPr>
              <w:t xml:space="preserve"> 4.4</w:t>
            </w:r>
          </w:p>
        </w:tc>
      </w:tr>
    </w:tbl>
    <w:p w:rsidR="002D72E8" w:rsidRPr="002D72E8" w:rsidRDefault="002D72E8" w:rsidP="00470438">
      <w:pPr>
        <w:jc w:val="center"/>
        <w:rPr>
          <w:lang w:val="en-US"/>
        </w:rPr>
      </w:pPr>
    </w:p>
    <w:p w:rsidR="00B0432C" w:rsidRPr="002D72E8" w:rsidRDefault="00B0432C" w:rsidP="00470438">
      <w:pPr>
        <w:jc w:val="center"/>
        <w:rPr>
          <w:lang w:val="en-US"/>
        </w:rPr>
      </w:pPr>
    </w:p>
    <w:sectPr w:rsidR="00B0432C" w:rsidRPr="002D72E8" w:rsidSect="004763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8"/>
    <w:rsid w:val="00153E27"/>
    <w:rsid w:val="001A61C2"/>
    <w:rsid w:val="002820FF"/>
    <w:rsid w:val="002D72E8"/>
    <w:rsid w:val="00406743"/>
    <w:rsid w:val="00470438"/>
    <w:rsid w:val="004F1225"/>
    <w:rsid w:val="005629A6"/>
    <w:rsid w:val="007D4933"/>
    <w:rsid w:val="00896E1B"/>
    <w:rsid w:val="009A10E2"/>
    <w:rsid w:val="00B0432C"/>
    <w:rsid w:val="00B2343A"/>
    <w:rsid w:val="00BC0843"/>
    <w:rsid w:val="00E9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977CC-7013-4714-BE99-43F04218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72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4067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element-citation">
    <w:name w:val="element-citation"/>
    <w:basedOn w:val="Carpredefinitoparagrafo"/>
    <w:rsid w:val="007D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Pizzimenti</dc:creator>
  <cp:keywords/>
  <dc:description/>
  <cp:lastModifiedBy>monica argenziano</cp:lastModifiedBy>
  <cp:revision>2</cp:revision>
  <cp:lastPrinted>2019-05-29T14:04:00Z</cp:lastPrinted>
  <dcterms:created xsi:type="dcterms:W3CDTF">2019-05-31T09:51:00Z</dcterms:created>
  <dcterms:modified xsi:type="dcterms:W3CDTF">2019-05-31T09:51:00Z</dcterms:modified>
</cp:coreProperties>
</file>