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F7B68" w14:textId="2598F357" w:rsidR="003323DA" w:rsidRPr="00E10EE6" w:rsidRDefault="00AA6E0C" w:rsidP="00AA6E0C">
      <w:pPr>
        <w:rPr>
          <w:rStyle w:val="PageNumber"/>
          <w:rFonts w:cs="Times New Roman"/>
          <w:b/>
        </w:rPr>
      </w:pPr>
      <w:bookmarkStart w:id="0" w:name="_GoBack"/>
      <w:bookmarkEnd w:id="0"/>
      <w:r w:rsidRPr="00AA6E0C">
        <w:rPr>
          <w:b/>
        </w:rPr>
        <w:t xml:space="preserve">Supplementary Data File </w:t>
      </w:r>
      <w:r w:rsidR="00CF5804" w:rsidRPr="00AA6E0C">
        <w:rPr>
          <w:rStyle w:val="PageNumber"/>
          <w:rFonts w:cs="Times New Roman"/>
          <w:b/>
        </w:rPr>
        <w:t>S1</w:t>
      </w:r>
      <w:r w:rsidR="003323DA" w:rsidRPr="00AA6E0C">
        <w:rPr>
          <w:rStyle w:val="PageNumber"/>
          <w:rFonts w:cs="Times New Roman"/>
          <w:b/>
        </w:rPr>
        <w:t>. M</w:t>
      </w:r>
      <w:r w:rsidR="00E10EE6">
        <w:rPr>
          <w:rStyle w:val="PageNumber"/>
          <w:rFonts w:cs="Times New Roman"/>
          <w:b/>
        </w:rPr>
        <w:t>athematical model to determine</w:t>
      </w:r>
      <w:r w:rsidR="003323DA" w:rsidRPr="00AA6E0C">
        <w:rPr>
          <w:rStyle w:val="PageNumber"/>
          <w:rFonts w:cs="Times New Roman"/>
          <w:b/>
        </w:rPr>
        <w:t xml:space="preserve"> the dynamics of PV of the </w:t>
      </w:r>
      <w:r w:rsidR="003323DA" w:rsidRPr="00AA6E0C">
        <w:rPr>
          <w:rStyle w:val="PageNumber"/>
          <w:rFonts w:cs="Times New Roman"/>
          <w:b/>
          <w:i/>
          <w:iCs/>
        </w:rPr>
        <w:t>lic2A</w:t>
      </w:r>
      <w:r w:rsidR="003323DA" w:rsidRPr="00AA6E0C">
        <w:rPr>
          <w:rStyle w:val="PageNumber"/>
          <w:rFonts w:cs="Times New Roman"/>
          <w:b/>
        </w:rPr>
        <w:t xml:space="preserve"> gene of </w:t>
      </w:r>
      <w:r w:rsidR="003323DA" w:rsidRPr="00AA6E0C">
        <w:rPr>
          <w:rStyle w:val="PageNumber"/>
          <w:rFonts w:cs="Times New Roman"/>
          <w:b/>
          <w:i/>
          <w:iCs/>
        </w:rPr>
        <w:t xml:space="preserve">H. </w:t>
      </w:r>
      <w:r w:rsidR="00E10EE6">
        <w:rPr>
          <w:rStyle w:val="PageNumber"/>
          <w:rFonts w:cs="Times New Roman"/>
          <w:b/>
          <w:i/>
          <w:iCs/>
        </w:rPr>
        <w:t>influenza</w:t>
      </w:r>
      <w:r w:rsidR="00E10EE6">
        <w:rPr>
          <w:rStyle w:val="PageNumber"/>
          <w:rFonts w:cs="Times New Roman"/>
          <w:b/>
          <w:iCs/>
        </w:rPr>
        <w:t xml:space="preserve"> for a range of mutation rates.</w:t>
      </w:r>
    </w:p>
    <w:p w14:paraId="4CFE3BB1" w14:textId="1D0B2590" w:rsidR="003323DA" w:rsidRPr="0058674E" w:rsidRDefault="003323DA" w:rsidP="00AA6E0C">
      <w:pPr>
        <w:pStyle w:val="SMHeading"/>
        <w:rPr>
          <w:b w:val="0"/>
          <w:lang w:val="en-GB"/>
        </w:rPr>
      </w:pPr>
      <w:r w:rsidRPr="0058674E">
        <w:rPr>
          <w:b w:val="0"/>
          <w:lang w:val="en-GB"/>
        </w:rPr>
        <w:t xml:space="preserve">The </w:t>
      </w:r>
      <w:r w:rsidRPr="0058674E">
        <w:rPr>
          <w:b w:val="0"/>
          <w:i/>
          <w:lang w:val="en-GB"/>
        </w:rPr>
        <w:t>lic2A</w:t>
      </w:r>
      <w:r w:rsidRPr="0058674E">
        <w:rPr>
          <w:b w:val="0"/>
          <w:lang w:val="en-GB"/>
        </w:rPr>
        <w:t xml:space="preserve"> gene of </w:t>
      </w:r>
      <w:r w:rsidRPr="0058674E">
        <w:rPr>
          <w:b w:val="0"/>
          <w:i/>
          <w:lang w:val="en-GB"/>
        </w:rPr>
        <w:t>H. influenzae</w:t>
      </w:r>
      <w:r w:rsidRPr="0058674E">
        <w:rPr>
          <w:b w:val="0"/>
          <w:lang w:val="en-GB"/>
        </w:rPr>
        <w:t xml:space="preserve"> is subject to phase variation (on/off switching) due to mutations in a 5’CAAT repeat tract present within the reading frame. In </w:t>
      </w:r>
      <w:r w:rsidRPr="0058674E">
        <w:rPr>
          <w:b w:val="0"/>
          <w:i/>
          <w:lang w:val="en-GB"/>
        </w:rPr>
        <w:t>H. influenzae</w:t>
      </w:r>
      <w:r w:rsidRPr="0058674E">
        <w:rPr>
          <w:b w:val="0"/>
          <w:lang w:val="en-GB"/>
        </w:rPr>
        <w:t xml:space="preserve"> strain Rd, the ON state of the gene correlates with sensitivity (S) to infection with bacteriophage HP1c1 while the OFF state is associated with resistance (R) to infection. In the absence of phage, the relative proportions of the R and S states will reach a steady state determined by the rates of switching i.e. ON-to-OFF and OFF-to-ON. However, the ON state of the gene is associated with resistance to serum mediated-killing of </w:t>
      </w:r>
      <w:r w:rsidRPr="0058674E">
        <w:rPr>
          <w:b w:val="0"/>
          <w:i/>
          <w:lang w:val="en-GB"/>
        </w:rPr>
        <w:t>H. influenzae</w:t>
      </w:r>
      <w:r w:rsidRPr="0058674E">
        <w:rPr>
          <w:b w:val="0"/>
          <w:lang w:val="en-GB"/>
        </w:rPr>
        <w:t xml:space="preserve">, so that in the absence of phage and the presence of serum there will be selection for the ON state of the gene. The degree of selection by serum components acting on </w:t>
      </w:r>
      <w:r w:rsidRPr="0058674E">
        <w:rPr>
          <w:b w:val="0"/>
          <w:i/>
          <w:lang w:val="en-GB"/>
        </w:rPr>
        <w:t>H. influenzae</w:t>
      </w:r>
      <w:r w:rsidRPr="0058674E">
        <w:rPr>
          <w:b w:val="0"/>
          <w:lang w:val="en-GB"/>
        </w:rPr>
        <w:t xml:space="preserve"> occurring within upper respiratory tract during normal host colonisation is unknown but is assumed to be weak. The relative proportions of the ON and OFF states of the </w:t>
      </w:r>
      <w:r w:rsidRPr="0058674E">
        <w:rPr>
          <w:b w:val="0"/>
          <w:i/>
          <w:lang w:val="en-GB"/>
        </w:rPr>
        <w:t>lic2A</w:t>
      </w:r>
      <w:r w:rsidRPr="0058674E">
        <w:rPr>
          <w:b w:val="0"/>
          <w:lang w:val="en-GB"/>
        </w:rPr>
        <w:t xml:space="preserve"> gene will therefore be determined by the combination of the switching rates and the level of selection.  The aim of this model was therefore to determine the relative proportions of the </w:t>
      </w:r>
      <w:r w:rsidR="00D21C58">
        <w:rPr>
          <w:b w:val="0"/>
          <w:lang w:val="en-GB"/>
        </w:rPr>
        <w:t>ON/</w:t>
      </w:r>
      <w:r w:rsidRPr="0058674E">
        <w:rPr>
          <w:b w:val="0"/>
          <w:lang w:val="en-GB"/>
        </w:rPr>
        <w:t xml:space="preserve">S and </w:t>
      </w:r>
      <w:r w:rsidR="00D21C58">
        <w:rPr>
          <w:b w:val="0"/>
          <w:lang w:val="en-GB"/>
        </w:rPr>
        <w:t>OFF/</w:t>
      </w:r>
      <w:r w:rsidRPr="0058674E">
        <w:rPr>
          <w:b w:val="0"/>
          <w:lang w:val="en-GB"/>
        </w:rPr>
        <w:t>R states for phage infection for a range of different PV rates and selection pressures for S, the phage-</w:t>
      </w:r>
      <w:r w:rsidR="00B633BA">
        <w:rPr>
          <w:b w:val="0"/>
          <w:lang w:val="en-GB"/>
        </w:rPr>
        <w:t>susceptible</w:t>
      </w:r>
      <w:r w:rsidRPr="0058674E">
        <w:rPr>
          <w:b w:val="0"/>
          <w:lang w:val="en-GB"/>
        </w:rPr>
        <w:t xml:space="preserve">, serum-resistance state, ON state of the </w:t>
      </w:r>
      <w:r w:rsidRPr="0058674E">
        <w:rPr>
          <w:b w:val="0"/>
          <w:i/>
          <w:lang w:val="en-GB"/>
        </w:rPr>
        <w:t>lic2A</w:t>
      </w:r>
      <w:r w:rsidRPr="0058674E">
        <w:rPr>
          <w:b w:val="0"/>
          <w:lang w:val="en-GB"/>
        </w:rPr>
        <w:t xml:space="preserve"> gene.</w:t>
      </w:r>
    </w:p>
    <w:p w14:paraId="5044D941" w14:textId="77777777" w:rsidR="003323DA" w:rsidRDefault="003323DA" w:rsidP="00AA6E0C">
      <w:pPr>
        <w:ind w:firstLine="720"/>
      </w:pPr>
    </w:p>
    <w:p w14:paraId="7C4F784A" w14:textId="0BFA1305" w:rsidR="003323DA" w:rsidRDefault="003323DA" w:rsidP="00AA6E0C">
      <w:pPr>
        <w:ind w:firstLine="720"/>
      </w:pPr>
      <w:r>
        <w:t xml:space="preserve">Switching rates for the </w:t>
      </w:r>
      <w:r w:rsidRPr="00DC4CE4">
        <w:rPr>
          <w:i/>
        </w:rPr>
        <w:t>lic2A</w:t>
      </w:r>
      <w:r>
        <w:t xml:space="preserve"> gene are taken from previously established switching rates </w:t>
      </w:r>
      <w:r>
        <w:fldChar w:fldCharType="begin" w:fldLock="1"/>
      </w:r>
      <w:r>
        <w:instrText>ADDIN CSL_CITATION { "citationItems" : [ { "id" : "ITEM-1", "itemData" : { "DOI" : "10.1128/JB.00815-06", "ISSN" : "0021-9193", "PMID" : "17098909", "abstract" : "Simple sequence repeats located within reading frames mediate phase-variable ON/OFF switches in gene expression by generating frameshifts. Multiple translation initiation codons in different reading frames are found upstream of most Haemophilus influenzae tetranucleotide repeat tracts, raising the possibility of multiple active reading frames and more than two levels of gene expression for these loci. Phase variation between three levels of gene expression (strong, weak, and none) was observed when lic2A was fused to a lacZ reporter gene. The lic2A 5' CAAT repeat tract is preceded by four 5' ATG codons (x, y, z1, and z2) in two reading frames. Each of these initiation codons was inactivated by site-directed mutagenesis. Strong expression from frame 1 was associated with x but not y. Weak expression from frame 2 was mainly dependent on the z2 codon, and there was no expression from frame 3. Using monoclonal antibodies specific for a digalactoside epitope of lipopolysaccharide whose synthesis requires Lic2A, two levels (strong and undetectable) of antibody reactivity were detected, suggesting that weak expression of lic2A is not discernible at the phenotypic level. Inactivation of the x initiation codon resulted in loss of strong expression of the digalactoside epitope and elevated killing by human serum. The failure to detect more than two phenotypes for lic2A, despite clear evidence of weak expression from the z1/z2 initiation codons, leaves open the question of whether or not multiple initiation codons are associated with more complex patterns of phenotypic variation rather than classical phase-variable switching between two phenotypes.", "author" : [ { "dropping-particle" : "", "family" : "Dixon", "given" : "Kevin", "non-dropping-particle" : "", "parse-names" : false, "suffix" : "" }, { "dropping-particle" : "", "family" : "Bayliss", "given" : "Christopher D", "non-dropping-particle" : "", "parse-names" : false, "suffix" : "" }, { "dropping-particle" : "", "family" : "Makepeace", "given" : "Katherine", "non-dropping-particle" : "", "parse-names" : false, "suffix" : "" }, { "dropping-particle" : "", "family" : "Moxon", "given" : "E Richard", "non-dropping-particle" : "", "parse-names" : false, "suffix" : "" }, { "dropping-particle" : "", "family" : "Hood", "given" : "Derek W.", "non-dropping-particle" : "", "parse-names" : false, "suffix" : "" } ], "container-title" : "Journal of bacteriology", "id" : "ITEM-1", "issue" : "2", "issued" : { "date-parts" : [ [ "2007", "1" ] ] }, "page" : "511-21", "title" : "Identification of the functional initiation codons of a phase-variable gene of Haemophilus influenzae, lic2A, with the potential for differential expression.", "type" : "article-journal", "volume" : "189" }, "uris" : [ "http://www.mendeley.com/documents/?uuid=1541f162-2afc-4def-9cb6-1928a3094e3e" ] } ], "mendeley" : { "formattedCitation" : "(1)", "plainTextFormattedCitation" : "(1)", "previouslyFormattedCitation" : "(1)" }, "properties" : {  }, "schema" : "https://github.com/citation-style-language/schema/raw/master/csl-citation.json" }</w:instrText>
      </w:r>
      <w:r>
        <w:fldChar w:fldCharType="separate"/>
      </w:r>
      <w:r w:rsidRPr="003C273A">
        <w:rPr>
          <w:noProof/>
        </w:rPr>
        <w:t>(1)</w:t>
      </w:r>
      <w:r>
        <w:fldChar w:fldCharType="end"/>
      </w:r>
      <w:r w:rsidR="00D21C58">
        <w:t xml:space="preserve"> where it was estimated that OFF-to-ON</w:t>
      </w:r>
      <w:r>
        <w:t xml:space="preserve"> switching of this gene occurred at a rate of 1.89*10</w:t>
      </w:r>
      <w:r w:rsidRPr="00DC4CE4">
        <w:rPr>
          <w:vertAlign w:val="superscript"/>
        </w:rPr>
        <w:t>-4</w:t>
      </w:r>
      <w:r w:rsidR="00D21C58">
        <w:t xml:space="preserve"> and ON-to-OFF</w:t>
      </w:r>
      <w:r>
        <w:t xml:space="preserve"> switching at 1.13*10</w:t>
      </w:r>
      <w:r w:rsidRPr="00DC4CE4">
        <w:rPr>
          <w:vertAlign w:val="superscript"/>
        </w:rPr>
        <w:t>-4</w:t>
      </w:r>
      <w:r>
        <w:t>. The carrying capacity for the upper respiratory tract is estimated at 10</w:t>
      </w:r>
      <w:r w:rsidRPr="00DC4CE4">
        <w:rPr>
          <w:vertAlign w:val="superscript"/>
        </w:rPr>
        <w:t>9</w:t>
      </w:r>
      <w:r>
        <w:t xml:space="preserve"> cfu. The bacterial population is assumed to turnover every hour with a generation time of one hour per division. </w:t>
      </w:r>
    </w:p>
    <w:p w14:paraId="0FC69B62" w14:textId="77777777" w:rsidR="003323DA" w:rsidRDefault="003323DA" w:rsidP="00AA6E0C">
      <w:pPr>
        <w:ind w:firstLine="720"/>
      </w:pPr>
    </w:p>
    <w:p w14:paraId="5143B2AD" w14:textId="5F38B970" w:rsidR="003323DA" w:rsidRPr="009A7BE4" w:rsidRDefault="003323DA" w:rsidP="00AA6E0C">
      <w:pPr>
        <w:ind w:firstLine="720"/>
      </w:pPr>
      <w:r w:rsidRPr="009A7BE4">
        <w:t xml:space="preserve">In the model, </w:t>
      </w:r>
      <w:r w:rsidRPr="00BF13F0">
        <w:rPr>
          <w:i/>
        </w:rPr>
        <w:t>S</w:t>
      </w:r>
      <w:r w:rsidRPr="009A7BE4">
        <w:t xml:space="preserve"> and </w:t>
      </w:r>
      <w:r w:rsidRPr="00BF13F0">
        <w:rPr>
          <w:i/>
        </w:rPr>
        <w:t>R</w:t>
      </w:r>
      <w:r w:rsidRPr="009A7BE4">
        <w:t xml:space="preserve"> are the densities of non-resistant (susceptible) and resistant bacteria</w:t>
      </w:r>
      <w:r w:rsidR="00D21C58">
        <w:t xml:space="preserve"> (cell/L</w:t>
      </w:r>
      <w:r>
        <w:t>)</w:t>
      </w:r>
      <w:r w:rsidRPr="009A7BE4">
        <w:t>, respectively. We assume for simplicity that the</w:t>
      </w:r>
      <w:r>
        <w:t xml:space="preserve"> length of the</w:t>
      </w:r>
      <w:r w:rsidRPr="009A7BE4">
        <w:t xml:space="preserve"> cell life cycle is constant. </w:t>
      </w:r>
      <w:r w:rsidRPr="00E42848">
        <w:t xml:space="preserve">The mortality rate of bacteria is suggested to be </w:t>
      </w:r>
      <w:r w:rsidR="0032750D">
        <w:t>concentration</w:t>
      </w:r>
      <w:r w:rsidRPr="00E42848">
        <w:t xml:space="preserve"> dependent.</w:t>
      </w:r>
      <w:r w:rsidRPr="009A7BE4">
        <w:t xml:space="preserve"> The densities of </w:t>
      </w:r>
      <w:r w:rsidRPr="009A7BE4">
        <w:rPr>
          <w:i/>
        </w:rPr>
        <w:t>S</w:t>
      </w:r>
      <w:r w:rsidRPr="009A7BE4">
        <w:t xml:space="preserve"> and </w:t>
      </w:r>
      <w:r w:rsidRPr="009A7BE4">
        <w:rPr>
          <w:i/>
        </w:rPr>
        <w:t>R</w:t>
      </w:r>
      <w:r w:rsidRPr="009A7BE4">
        <w:t xml:space="preserve"> at time t (measured in hours) will be given by </w:t>
      </w:r>
    </w:p>
    <w:p w14:paraId="2D2A79E8" w14:textId="77777777" w:rsidR="003323DA" w:rsidRDefault="003323DA" w:rsidP="00AA6E0C"/>
    <w:p w14:paraId="519371B4" w14:textId="77777777" w:rsidR="003323DA" w:rsidRPr="009A7BE4" w:rsidRDefault="00793FA8" w:rsidP="00AA6E0C">
      <w:r w:rsidRPr="00F97F02">
        <w:rPr>
          <w:noProof/>
          <w:position w:val="-10"/>
        </w:rPr>
        <w:object w:dxaOrig="6000" w:dyaOrig="340" w14:anchorId="486FC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4.5pt;height:18pt;mso-width-percent:0;mso-height-percent:0;mso-width-percent:0;mso-height-percent:0" o:ole="">
            <v:imagedata r:id="rId7" o:title=""/>
          </v:shape>
          <o:OLEObject Type="Embed" ProgID="Equation.3" ShapeID="_x0000_i1025" DrawAspect="Content" ObjectID="_1622637962" r:id="rId8"/>
        </w:object>
      </w:r>
      <w:r w:rsidR="003323DA" w:rsidRPr="009A7BE4">
        <w:t>,</w:t>
      </w:r>
    </w:p>
    <w:p w14:paraId="207DD79D" w14:textId="77777777" w:rsidR="003323DA" w:rsidRDefault="003323DA" w:rsidP="00AA6E0C"/>
    <w:p w14:paraId="16C577FB" w14:textId="77777777" w:rsidR="003323DA" w:rsidRPr="009A7BE4" w:rsidRDefault="00793FA8" w:rsidP="00AA6E0C">
      <w:r w:rsidRPr="009A7BE4">
        <w:rPr>
          <w:noProof/>
          <w:position w:val="-10"/>
        </w:rPr>
        <w:object w:dxaOrig="6340" w:dyaOrig="340" w14:anchorId="02D784B9">
          <v:shape id="_x0000_i1026" type="#_x0000_t75" alt="" style="width:323.25pt;height:18pt;mso-width-percent:0;mso-height-percent:0;mso-width-percent:0;mso-height-percent:0" o:ole="">
            <v:imagedata r:id="rId9" o:title=""/>
          </v:shape>
          <o:OLEObject Type="Embed" ProgID="Equation.3" ShapeID="_x0000_i1026" DrawAspect="Content" ObjectID="_1622637963" r:id="rId10"/>
        </w:object>
      </w:r>
      <w:r w:rsidR="003323DA" w:rsidRPr="009A7BE4">
        <w:t>,</w:t>
      </w:r>
    </w:p>
    <w:p w14:paraId="309898C6" w14:textId="77777777" w:rsidR="003323DA" w:rsidRDefault="003323DA" w:rsidP="00AA6E0C">
      <w:pPr>
        <w:autoSpaceDE w:val="0"/>
        <w:autoSpaceDN w:val="0"/>
        <w:adjustRightInd w:val="0"/>
      </w:pPr>
    </w:p>
    <w:p w14:paraId="6929AD6F" w14:textId="14EEC7DD" w:rsidR="003323DA" w:rsidRDefault="003323DA" w:rsidP="00AA6E0C">
      <w:pPr>
        <w:autoSpaceDE w:val="0"/>
        <w:autoSpaceDN w:val="0"/>
        <w:adjustRightInd w:val="0"/>
        <w:ind w:firstLine="720"/>
      </w:pPr>
      <w:r w:rsidRPr="009A7BE4">
        <w:t xml:space="preserve">where </w:t>
      </w:r>
      <w:r w:rsidRPr="009A7BE4">
        <w:rPr>
          <w:i/>
        </w:rPr>
        <w:t>b</w:t>
      </w:r>
      <w:r w:rsidRPr="009A7BE4">
        <w:t>=2</w:t>
      </w:r>
      <w:r>
        <w:t xml:space="preserve"> is</w:t>
      </w:r>
      <w:r w:rsidRPr="009A7BE4">
        <w:t xml:space="preserve"> the number of cells obtained after each division;</w:t>
      </w:r>
      <w:r>
        <w:t xml:space="preserve"> </w:t>
      </w:r>
      <w:r w:rsidRPr="001720E4">
        <w:rPr>
          <w:i/>
        </w:rPr>
        <w:t>K</w:t>
      </w:r>
      <w:r>
        <w:t>=10</w:t>
      </w:r>
      <w:r>
        <w:rPr>
          <w:vertAlign w:val="superscript"/>
        </w:rPr>
        <w:t>9</w:t>
      </w:r>
      <w:r>
        <w:t xml:space="preserve"> is </w:t>
      </w:r>
      <w:r w:rsidRPr="00E7234C">
        <w:t xml:space="preserve">the carrying capacity (the total maximal number of bacteria that the environment can carry); </w:t>
      </w:r>
      <w:r w:rsidRPr="00E7234C">
        <w:rPr>
          <w:i/>
        </w:rPr>
        <w:t xml:space="preserve">α </w:t>
      </w:r>
      <w:r>
        <w:t xml:space="preserve">is the probability of transition </w:t>
      </w:r>
      <w:r w:rsidRPr="00E7234C">
        <w:rPr>
          <w:i/>
        </w:rPr>
        <w:t>S</w:t>
      </w:r>
      <w:r>
        <w:t xml:space="preserve"> →</w:t>
      </w:r>
      <w:r w:rsidRPr="00E7234C">
        <w:rPr>
          <w:i/>
        </w:rPr>
        <w:t>R</w:t>
      </w:r>
      <w:r>
        <w:t xml:space="preserve"> </w:t>
      </w:r>
      <w:r w:rsidR="007C7E0B">
        <w:t xml:space="preserve">(ON-to-OFF) </w:t>
      </w:r>
      <w:r>
        <w:t>per cell division</w:t>
      </w:r>
      <w:r w:rsidRPr="00E7234C">
        <w:t xml:space="preserve">, </w:t>
      </w:r>
      <w:r w:rsidRPr="00E7234C">
        <w:rPr>
          <w:i/>
        </w:rPr>
        <w:t xml:space="preserve">β </w:t>
      </w:r>
      <w:r>
        <w:t xml:space="preserve">is the probability of transition </w:t>
      </w:r>
      <w:r>
        <w:rPr>
          <w:i/>
        </w:rPr>
        <w:t>R</w:t>
      </w:r>
      <w:r>
        <w:t xml:space="preserve"> →</w:t>
      </w:r>
      <w:r>
        <w:rPr>
          <w:i/>
        </w:rPr>
        <w:t>S</w:t>
      </w:r>
      <w:r>
        <w:t xml:space="preserve"> </w:t>
      </w:r>
      <w:r w:rsidR="007C7E0B">
        <w:t xml:space="preserve">(OFF-to-ON) </w:t>
      </w:r>
      <w:r>
        <w:t xml:space="preserve">per cell division. The parameter m shows a drop in the fitness of </w:t>
      </w:r>
      <w:r w:rsidRPr="00F97F02">
        <w:rPr>
          <w:i/>
        </w:rPr>
        <w:t>R</w:t>
      </w:r>
      <w:r>
        <w:t xml:space="preserve"> with respect to that of </w:t>
      </w:r>
      <w:r w:rsidRPr="00F97F02">
        <w:rPr>
          <w:i/>
        </w:rPr>
        <w:t>S</w:t>
      </w:r>
      <w:r>
        <w:t xml:space="preserve"> due to extra mortality of </w:t>
      </w:r>
      <w:r w:rsidRPr="00F97F02">
        <w:rPr>
          <w:i/>
        </w:rPr>
        <w:t>R</w:t>
      </w:r>
      <w:r>
        <w:t xml:space="preserve"> (we call it selection). We consider that 0&lt; 1– </w:t>
      </w:r>
      <w:r w:rsidRPr="00305775">
        <w:rPr>
          <w:i/>
        </w:rPr>
        <w:t>m</w:t>
      </w:r>
      <w:r>
        <w:rPr>
          <w:i/>
        </w:rPr>
        <w:t xml:space="preserve"> </w:t>
      </w:r>
      <w:r>
        <w:t>&lt;&lt;1, i.e. m is smaller but rather close to unity. In other words, the fitness coefficients of resistant and non-resistant bacteria are close to each other.</w:t>
      </w:r>
    </w:p>
    <w:p w14:paraId="7EEF5C6E" w14:textId="77777777" w:rsidR="003323DA" w:rsidRDefault="003323DA" w:rsidP="00AA6E0C">
      <w:pPr>
        <w:autoSpaceDE w:val="0"/>
        <w:autoSpaceDN w:val="0"/>
        <w:adjustRightInd w:val="0"/>
        <w:ind w:firstLine="720"/>
      </w:pPr>
    </w:p>
    <w:p w14:paraId="3FB9D163" w14:textId="77777777" w:rsidR="003323DA" w:rsidRPr="0058674E" w:rsidRDefault="003323DA" w:rsidP="00AA6E0C">
      <w:pPr>
        <w:autoSpaceDE w:val="0"/>
        <w:autoSpaceDN w:val="0"/>
        <w:adjustRightInd w:val="0"/>
        <w:ind w:firstLine="720"/>
        <w:rPr>
          <w:vertAlign w:val="superscript"/>
        </w:rPr>
      </w:pPr>
      <w:r w:rsidRPr="00E7234C">
        <w:t xml:space="preserve">We start computation from the condition that </w:t>
      </w:r>
      <w:r w:rsidRPr="00F97F02">
        <w:rPr>
          <w:i/>
        </w:rPr>
        <w:t>S</w:t>
      </w:r>
      <w:r w:rsidRPr="00E7234C">
        <w:t>(0)=10</w:t>
      </w:r>
      <w:r>
        <w:t xml:space="preserve"> cell/l</w:t>
      </w:r>
      <w:r w:rsidRPr="00E7234C">
        <w:t xml:space="preserve">; </w:t>
      </w:r>
      <w:r w:rsidRPr="00F97F02">
        <w:rPr>
          <w:i/>
        </w:rPr>
        <w:t>R</w:t>
      </w:r>
      <w:r w:rsidRPr="00E7234C">
        <w:t>(0)=0.</w:t>
      </w:r>
      <w:r w:rsidRPr="009A7BE4">
        <w:t xml:space="preserve">  </w:t>
      </w:r>
    </w:p>
    <w:p w14:paraId="56A28C52" w14:textId="77777777" w:rsidR="003323DA" w:rsidRDefault="003323DA" w:rsidP="00AA6E0C">
      <w:pPr>
        <w:ind w:firstLine="720"/>
      </w:pPr>
    </w:p>
    <w:p w14:paraId="34EDF8F6" w14:textId="491366F4" w:rsidR="003323DA" w:rsidRDefault="003323DA" w:rsidP="00AA6E0C">
      <w:pPr>
        <w:ind w:firstLine="720"/>
      </w:pPr>
      <w:r>
        <w:lastRenderedPageBreak/>
        <w:t xml:space="preserve">One can see from Fig. </w:t>
      </w:r>
      <w:r w:rsidR="008E0EAB">
        <w:t>6</w:t>
      </w:r>
      <w:r>
        <w:t xml:space="preserve"> that for the same ratio between the probabilities of switching the final proportion of R {</w:t>
      </w:r>
      <w:r w:rsidRPr="00F97F02">
        <w:rPr>
          <w:i/>
        </w:rPr>
        <w:t>R</w:t>
      </w:r>
      <w:r w:rsidRPr="009A7BE4">
        <w:t>/(</w:t>
      </w:r>
      <w:r w:rsidRPr="00F97F02">
        <w:rPr>
          <w:i/>
        </w:rPr>
        <w:t>R</w:t>
      </w:r>
      <w:r w:rsidRPr="009A7BE4">
        <w:t>+</w:t>
      </w:r>
      <w:r w:rsidRPr="00F97F02">
        <w:rPr>
          <w:i/>
        </w:rPr>
        <w:t>S</w:t>
      </w:r>
      <w:r w:rsidRPr="009A7BE4">
        <w:t>)</w:t>
      </w:r>
      <w:r>
        <w:t xml:space="preserve">} in a population would strongly depend on fitness. The actual predicted switching rates would result in 1% and 30% of the cells being in the phage resistant state for weak (m=0.99) versus no selection respectively. For fast mutation rates (higher rates of </w:t>
      </w:r>
      <w:r w:rsidRPr="00E7234C">
        <w:rPr>
          <w:i/>
        </w:rPr>
        <w:t>α</w:t>
      </w:r>
      <w:r>
        <w:rPr>
          <w:i/>
        </w:rPr>
        <w:t xml:space="preserve">, </w:t>
      </w:r>
      <w:r w:rsidRPr="00E7234C">
        <w:rPr>
          <w:i/>
        </w:rPr>
        <w:t>β</w:t>
      </w:r>
      <w:r>
        <w:t xml:space="preserve">), low level selection (m=0.999) would result in 9% phage resistant variants, however low switching rates combined with low levels of selection would drive the levels of this phage-resistant state to ~0.1% (m=0.999). </w:t>
      </w:r>
    </w:p>
    <w:p w14:paraId="2874C0AC" w14:textId="77777777" w:rsidR="003323DA" w:rsidRDefault="003323DA" w:rsidP="00AA6E0C">
      <w:pPr>
        <w:ind w:firstLine="720"/>
      </w:pPr>
    </w:p>
    <w:p w14:paraId="22104F04" w14:textId="77777777" w:rsidR="003323DA" w:rsidRDefault="003323DA" w:rsidP="00AA6E0C">
      <w:pPr>
        <w:ind w:firstLine="720"/>
      </w:pPr>
      <w:r w:rsidRPr="009A7BE4">
        <w:t xml:space="preserve">We can </w:t>
      </w:r>
      <w:r>
        <w:t xml:space="preserve">also </w:t>
      </w:r>
      <w:r w:rsidRPr="009A7BE4">
        <w:t>calculate the equilibrium ratio of resistant bacteria in the system</w:t>
      </w:r>
      <w:r>
        <w:t xml:space="preserve"> </w:t>
      </w:r>
      <w:r w:rsidRPr="00F97F02">
        <w:rPr>
          <w:i/>
        </w:rPr>
        <w:t>R</w:t>
      </w:r>
      <w:r w:rsidRPr="009A7BE4">
        <w:t>/(</w:t>
      </w:r>
      <w:r w:rsidRPr="00F97F02">
        <w:rPr>
          <w:i/>
        </w:rPr>
        <w:t>R</w:t>
      </w:r>
      <w:r w:rsidRPr="009A7BE4">
        <w:t>+</w:t>
      </w:r>
      <w:r w:rsidRPr="00F97F02">
        <w:rPr>
          <w:i/>
        </w:rPr>
        <w:t>S</w:t>
      </w:r>
      <w:r w:rsidRPr="009A7BE4">
        <w:t>)</w:t>
      </w:r>
      <w:r>
        <w:t xml:space="preserve"> analytically using</w:t>
      </w:r>
      <w:r w:rsidRPr="009A7BE4">
        <w:t xml:space="preserve"> the condition that </w:t>
      </w:r>
      <w:r w:rsidRPr="000B7A67">
        <w:rPr>
          <w:i/>
        </w:rPr>
        <w:t>S</w:t>
      </w:r>
      <w:r w:rsidRPr="009A7BE4">
        <w:t>(</w:t>
      </w:r>
      <w:r w:rsidRPr="000B7A67">
        <w:rPr>
          <w:i/>
        </w:rPr>
        <w:t>t</w:t>
      </w:r>
      <w:r w:rsidRPr="009A7BE4">
        <w:t>+1)=</w:t>
      </w:r>
      <w:r w:rsidRPr="000B7A67">
        <w:rPr>
          <w:i/>
        </w:rPr>
        <w:t>S</w:t>
      </w:r>
      <w:r w:rsidRPr="009A7BE4">
        <w:t>(t)</w:t>
      </w:r>
      <w:r>
        <w:t>=</w:t>
      </w:r>
      <w:r w:rsidRPr="000B7A67">
        <w:rPr>
          <w:i/>
        </w:rPr>
        <w:t>S</w:t>
      </w:r>
      <w:r w:rsidRPr="009A7BE4">
        <w:t xml:space="preserve">; </w:t>
      </w:r>
      <w:r w:rsidRPr="000B7A67">
        <w:rPr>
          <w:i/>
        </w:rPr>
        <w:t>R</w:t>
      </w:r>
      <w:r w:rsidRPr="009A7BE4">
        <w:t>(</w:t>
      </w:r>
      <w:r w:rsidRPr="000B7A67">
        <w:rPr>
          <w:i/>
        </w:rPr>
        <w:t>t</w:t>
      </w:r>
      <w:r w:rsidRPr="009A7BE4">
        <w:t>+1)=</w:t>
      </w:r>
      <w:r w:rsidRPr="000B7A67">
        <w:rPr>
          <w:i/>
        </w:rPr>
        <w:t>R</w:t>
      </w:r>
      <w:r w:rsidRPr="009A7BE4">
        <w:t>(</w:t>
      </w:r>
      <w:r w:rsidRPr="000B7A67">
        <w:rPr>
          <w:i/>
        </w:rPr>
        <w:t>t</w:t>
      </w:r>
      <w:r w:rsidRPr="009A7BE4">
        <w:t>)</w:t>
      </w:r>
      <w:r>
        <w:t>=</w:t>
      </w:r>
      <w:r w:rsidRPr="000B7A67">
        <w:rPr>
          <w:i/>
        </w:rPr>
        <w:t>R</w:t>
      </w:r>
      <w:r>
        <w:t>. We obtain</w:t>
      </w:r>
    </w:p>
    <w:p w14:paraId="66B41FB2" w14:textId="77777777" w:rsidR="003323DA" w:rsidRPr="009A7BE4" w:rsidRDefault="003323DA" w:rsidP="00AA6E0C">
      <w:pPr>
        <w:ind w:firstLine="720"/>
      </w:pPr>
      <w:r>
        <w:t xml:space="preserve"> </w:t>
      </w:r>
    </w:p>
    <w:p w14:paraId="2730E84D" w14:textId="77777777" w:rsidR="003323DA" w:rsidRDefault="00793FA8" w:rsidP="00AA6E0C">
      <w:r w:rsidRPr="009F5EF0">
        <w:rPr>
          <w:noProof/>
          <w:position w:val="-28"/>
        </w:rPr>
        <w:object w:dxaOrig="4360" w:dyaOrig="660" w14:anchorId="210B6914">
          <v:shape id="_x0000_i1027" type="#_x0000_t75" alt="" style="width:222pt;height:32.25pt;mso-width-percent:0;mso-height-percent:0;mso-width-percent:0;mso-height-percent:0" o:ole="">
            <v:imagedata r:id="rId11" o:title=""/>
          </v:shape>
          <o:OLEObject Type="Embed" ProgID="Equation.3" ShapeID="_x0000_i1027" DrawAspect="Content" ObjectID="_1622637964" r:id="rId12"/>
        </w:object>
      </w:r>
      <w:r w:rsidR="003323DA" w:rsidRPr="009A7BE4">
        <w:t>,</w:t>
      </w:r>
    </w:p>
    <w:p w14:paraId="1A4C9663" w14:textId="77777777" w:rsidR="003323DA" w:rsidRDefault="003323DA" w:rsidP="00AA6E0C"/>
    <w:p w14:paraId="0732013A" w14:textId="77777777" w:rsidR="003323DA" w:rsidRDefault="003323DA" w:rsidP="00AA6E0C">
      <w:r>
        <w:t xml:space="preserve">We denote </w:t>
      </w:r>
      <w:r w:rsidRPr="009F5EF0">
        <w:rPr>
          <w:i/>
        </w:rPr>
        <w:sym w:font="Symbol" w:char="F065"/>
      </w:r>
      <w:r>
        <w:t>=</w:t>
      </w:r>
      <w:r w:rsidRPr="009F5EF0">
        <w:rPr>
          <w:i/>
        </w:rPr>
        <w:t>S</w:t>
      </w:r>
      <w:r>
        <w:t>/</w:t>
      </w:r>
      <w:r w:rsidRPr="009F5EF0">
        <w:rPr>
          <w:i/>
        </w:rPr>
        <w:t>R</w:t>
      </w:r>
      <w:r>
        <w:t xml:space="preserve"> and obtain.</w:t>
      </w:r>
    </w:p>
    <w:p w14:paraId="2465B675" w14:textId="77777777" w:rsidR="003323DA" w:rsidRDefault="003323DA" w:rsidP="00AA6E0C"/>
    <w:p w14:paraId="6D157CAB" w14:textId="77777777" w:rsidR="003323DA" w:rsidRDefault="00793FA8" w:rsidP="00AA6E0C">
      <w:r w:rsidRPr="00AA053F">
        <w:rPr>
          <w:noProof/>
          <w:position w:val="-28"/>
        </w:rPr>
        <w:object w:dxaOrig="1840" w:dyaOrig="660" w14:anchorId="4DCADCC3">
          <v:shape id="_x0000_i1028" type="#_x0000_t75" alt="" style="width:93.75pt;height:32.25pt;mso-width-percent:0;mso-height-percent:0;mso-width-percent:0;mso-height-percent:0" o:ole="">
            <v:imagedata r:id="rId13" o:title=""/>
          </v:shape>
          <o:OLEObject Type="Embed" ProgID="Equation.3" ShapeID="_x0000_i1028" DrawAspect="Content" ObjectID="_1622637965" r:id="rId14"/>
        </w:object>
      </w:r>
    </w:p>
    <w:p w14:paraId="6C5CA7FA" w14:textId="77777777" w:rsidR="003323DA" w:rsidRDefault="003323DA" w:rsidP="00AA6E0C">
      <w:pPr>
        <w:outlineLvl w:val="0"/>
      </w:pPr>
    </w:p>
    <w:p w14:paraId="39A50567" w14:textId="77777777" w:rsidR="003323DA" w:rsidRDefault="003323DA" w:rsidP="00AA6E0C">
      <w:pPr>
        <w:outlineLvl w:val="0"/>
      </w:pPr>
      <w:r>
        <w:t xml:space="preserve">For the value of </w:t>
      </w:r>
      <w:r w:rsidRPr="00A122B0">
        <w:rPr>
          <w:rFonts w:ascii="Symbol" w:hAnsi="Symbol"/>
          <w:i/>
        </w:rPr>
        <w:t></w:t>
      </w:r>
      <w:r w:rsidRPr="007B1053">
        <w:t xml:space="preserve"> </w:t>
      </w:r>
      <w:r>
        <w:t xml:space="preserve">(epsilon), we </w:t>
      </w:r>
      <w:r w:rsidRPr="007B1053">
        <w:t>arrive to the following quadratic equation</w:t>
      </w:r>
    </w:p>
    <w:p w14:paraId="0ACD0355" w14:textId="77777777" w:rsidR="003323DA" w:rsidRDefault="003323DA" w:rsidP="00AA6E0C">
      <w:pPr>
        <w:outlineLvl w:val="0"/>
      </w:pPr>
    </w:p>
    <w:p w14:paraId="76058F38" w14:textId="77777777" w:rsidR="003323DA" w:rsidRDefault="00793FA8" w:rsidP="00AA6E0C">
      <w:r w:rsidRPr="005E0B8F">
        <w:rPr>
          <w:noProof/>
          <w:position w:val="-10"/>
        </w:rPr>
        <w:object w:dxaOrig="3320" w:dyaOrig="420" w14:anchorId="7A841408">
          <v:shape id="_x0000_i1029" type="#_x0000_t75" alt="" style="width:169.5pt;height:19.5pt;mso-width-percent:0;mso-height-percent:0;mso-width-percent:0;mso-height-percent:0" o:ole="">
            <v:imagedata r:id="rId15" o:title=""/>
          </v:shape>
          <o:OLEObject Type="Embed" ProgID="Equation.3" ShapeID="_x0000_i1029" DrawAspect="Content" ObjectID="_1622637966" r:id="rId16"/>
        </w:object>
      </w:r>
      <w:r w:rsidR="003323DA">
        <w:t>.</w:t>
      </w:r>
    </w:p>
    <w:p w14:paraId="4E545227" w14:textId="77777777" w:rsidR="003323DA" w:rsidRDefault="003323DA" w:rsidP="00AA6E0C"/>
    <w:p w14:paraId="13E070EC" w14:textId="77777777" w:rsidR="003323DA" w:rsidRDefault="003323DA" w:rsidP="00AA6E0C">
      <w:r>
        <w:t>One can see that the above equation always has a unique positive solution.</w:t>
      </w:r>
    </w:p>
    <w:p w14:paraId="2458BD8A" w14:textId="77777777" w:rsidR="003323DA" w:rsidRDefault="003323DA" w:rsidP="00AA6E0C">
      <w:r>
        <w:t xml:space="preserve">The value of </w:t>
      </w:r>
      <w:r w:rsidRPr="00DA3E9E">
        <w:rPr>
          <w:i/>
        </w:rPr>
        <w:sym w:font="Symbol" w:char="F065"/>
      </w:r>
      <w:r>
        <w:t xml:space="preserve"> and </w:t>
      </w:r>
      <w:r w:rsidRPr="00DA3E9E">
        <w:rPr>
          <w:i/>
        </w:rPr>
        <w:t>η</w:t>
      </w:r>
      <w:r>
        <w:t>=</w:t>
      </w:r>
      <w:r w:rsidRPr="00F97F02">
        <w:rPr>
          <w:i/>
        </w:rPr>
        <w:t>R</w:t>
      </w:r>
      <w:r w:rsidRPr="009A7BE4">
        <w:t>/(</w:t>
      </w:r>
      <w:r w:rsidRPr="00F97F02">
        <w:rPr>
          <w:i/>
        </w:rPr>
        <w:t>R</w:t>
      </w:r>
      <w:r w:rsidRPr="009A7BE4">
        <w:t>+</w:t>
      </w:r>
      <w:r w:rsidRPr="00F97F02">
        <w:rPr>
          <w:i/>
        </w:rPr>
        <w:t>S</w:t>
      </w:r>
      <w:r w:rsidRPr="009A7BE4">
        <w:t>)</w:t>
      </w:r>
      <w:r>
        <w:t xml:space="preserve"> are related via </w:t>
      </w:r>
      <w:r w:rsidRPr="00DA3E9E">
        <w:rPr>
          <w:i/>
        </w:rPr>
        <w:t>η</w:t>
      </w:r>
      <w:r>
        <w:t>=</w:t>
      </w:r>
      <w:r w:rsidRPr="00062E07">
        <w:t>1</w:t>
      </w:r>
      <w:r w:rsidRPr="009A7BE4">
        <w:t>/(</w:t>
      </w:r>
      <w:r>
        <w:t>1</w:t>
      </w:r>
      <w:r w:rsidRPr="009A7BE4">
        <w:t xml:space="preserve"> +</w:t>
      </w:r>
      <w:r w:rsidRPr="00DA3E9E">
        <w:rPr>
          <w:i/>
        </w:rPr>
        <w:sym w:font="Symbol" w:char="F065"/>
      </w:r>
      <w:r w:rsidRPr="009A7BE4">
        <w:t>)</w:t>
      </w:r>
      <w:r>
        <w:t>.</w:t>
      </w:r>
    </w:p>
    <w:p w14:paraId="7B6C2C9F" w14:textId="77777777" w:rsidR="003323DA" w:rsidRDefault="003323DA" w:rsidP="00AA6E0C"/>
    <w:p w14:paraId="7FF8D9A0" w14:textId="77777777" w:rsidR="003323DA" w:rsidRPr="003C273A" w:rsidRDefault="003323DA" w:rsidP="00AA6E0C">
      <w:pPr>
        <w:rPr>
          <w:b/>
        </w:rPr>
      </w:pPr>
      <w:r w:rsidRPr="003C273A">
        <w:rPr>
          <w:b/>
        </w:rPr>
        <w:t>Supplemental references</w:t>
      </w:r>
    </w:p>
    <w:p w14:paraId="08C1D7B9" w14:textId="77777777" w:rsidR="003323DA" w:rsidRDefault="003323DA" w:rsidP="00AA6E0C"/>
    <w:p w14:paraId="0F7D8CC8" w14:textId="77777777" w:rsidR="003323DA" w:rsidRPr="003C273A" w:rsidRDefault="003323DA" w:rsidP="00AA6E0C">
      <w:pPr>
        <w:widowControl w:val="0"/>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Pr="003C273A">
        <w:rPr>
          <w:noProof/>
        </w:rPr>
        <w:t xml:space="preserve">1. </w:t>
      </w:r>
      <w:r w:rsidRPr="003C273A">
        <w:rPr>
          <w:noProof/>
        </w:rPr>
        <w:tab/>
        <w:t>Dixon K, Bayliss CD, Makepeace K, Moxon ER, Hood DW. 2007. Identification of the functional initiation codons of a phase-variable gene of Haemophilus influenzae, lic2A, with the potential for differential expression. J Bacteriol 189:511–21.</w:t>
      </w:r>
    </w:p>
    <w:p w14:paraId="5E8E8D73" w14:textId="77777777" w:rsidR="003323DA" w:rsidRPr="00D855DD" w:rsidRDefault="003323DA" w:rsidP="00AA6E0C">
      <w:r>
        <w:fldChar w:fldCharType="end"/>
      </w:r>
    </w:p>
    <w:p w14:paraId="1DD568D8" w14:textId="77777777" w:rsidR="003323DA" w:rsidRDefault="003323DA" w:rsidP="00AA6E0C">
      <w:pPr>
        <w:widowControl w:val="0"/>
        <w:ind w:left="640" w:hanging="640"/>
        <w:rPr>
          <w:rStyle w:val="PageNumber"/>
          <w:rFonts w:cs="Times New Roman"/>
        </w:rPr>
      </w:pPr>
    </w:p>
    <w:p w14:paraId="1F23E7CF" w14:textId="77777777" w:rsidR="00B659FE" w:rsidRDefault="00B659FE" w:rsidP="00AA6E0C">
      <w:pPr>
        <w:widowControl w:val="0"/>
        <w:ind w:left="640" w:hanging="640"/>
        <w:rPr>
          <w:rStyle w:val="PageNumber"/>
          <w:rFonts w:cs="Times New Roman"/>
        </w:rPr>
      </w:pPr>
    </w:p>
    <w:p w14:paraId="3F80B2A9" w14:textId="77777777" w:rsidR="00B659FE" w:rsidRDefault="00B659FE" w:rsidP="00AA6E0C">
      <w:pPr>
        <w:widowControl w:val="0"/>
        <w:ind w:left="640" w:hanging="640"/>
        <w:rPr>
          <w:rStyle w:val="PageNumber"/>
          <w:rFonts w:cs="Times New Roman"/>
        </w:rPr>
      </w:pPr>
    </w:p>
    <w:p w14:paraId="4752DBA7" w14:textId="77777777" w:rsidR="003323DA" w:rsidRPr="00001886" w:rsidRDefault="003323DA" w:rsidP="00AA6E0C"/>
    <w:sectPr w:rsidR="003323DA" w:rsidRPr="00001886" w:rsidSect="005B03C3">
      <w:footerReference w:type="default" r:id="rId17"/>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74F6E" w14:textId="77777777" w:rsidR="007702FF" w:rsidRDefault="007702FF">
      <w:r>
        <w:separator/>
      </w:r>
    </w:p>
  </w:endnote>
  <w:endnote w:type="continuationSeparator" w:id="0">
    <w:p w14:paraId="6AEB86E4" w14:textId="77777777" w:rsidR="007702FF" w:rsidRDefault="0077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4B12" w14:textId="77777777" w:rsidR="00215905" w:rsidRDefault="00215905">
    <w:pPr>
      <w:pStyle w:val="Footer"/>
      <w:tabs>
        <w:tab w:val="clear" w:pos="8640"/>
        <w:tab w:val="right" w:pos="8620"/>
      </w:tabs>
      <w:jc w:val="center"/>
    </w:pPr>
    <w:r>
      <w:fldChar w:fldCharType="begin"/>
    </w:r>
    <w:r>
      <w:instrText xml:space="preserve"> PAGE </w:instrText>
    </w:r>
    <w:r>
      <w:fldChar w:fldCharType="separate"/>
    </w:r>
    <w:r w:rsidR="007C7E0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D2357" w14:textId="77777777" w:rsidR="007702FF" w:rsidRDefault="007702FF">
      <w:r>
        <w:separator/>
      </w:r>
    </w:p>
  </w:footnote>
  <w:footnote w:type="continuationSeparator" w:id="0">
    <w:p w14:paraId="535096E3" w14:textId="77777777" w:rsidR="007702FF" w:rsidRDefault="00770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86"/>
    <w:rsid w:val="00001886"/>
    <w:rsid w:val="00015708"/>
    <w:rsid w:val="00017AC1"/>
    <w:rsid w:val="00025AC1"/>
    <w:rsid w:val="000338A3"/>
    <w:rsid w:val="00064FC3"/>
    <w:rsid w:val="000663BA"/>
    <w:rsid w:val="000E2491"/>
    <w:rsid w:val="00106E10"/>
    <w:rsid w:val="00111D84"/>
    <w:rsid w:val="0012219D"/>
    <w:rsid w:val="00125DD9"/>
    <w:rsid w:val="001277A2"/>
    <w:rsid w:val="00132212"/>
    <w:rsid w:val="00154361"/>
    <w:rsid w:val="001767CD"/>
    <w:rsid w:val="001923AC"/>
    <w:rsid w:val="001A45CE"/>
    <w:rsid w:val="001D0C10"/>
    <w:rsid w:val="001D4F4A"/>
    <w:rsid w:val="00212054"/>
    <w:rsid w:val="002136E4"/>
    <w:rsid w:val="00215905"/>
    <w:rsid w:val="00226B82"/>
    <w:rsid w:val="00250601"/>
    <w:rsid w:val="00262B5A"/>
    <w:rsid w:val="00271574"/>
    <w:rsid w:val="002923EB"/>
    <w:rsid w:val="002A4FC0"/>
    <w:rsid w:val="002A5EBE"/>
    <w:rsid w:val="002F0FC0"/>
    <w:rsid w:val="002F540A"/>
    <w:rsid w:val="00304E08"/>
    <w:rsid w:val="003248D9"/>
    <w:rsid w:val="0032750D"/>
    <w:rsid w:val="003323DA"/>
    <w:rsid w:val="00341040"/>
    <w:rsid w:val="00362DBB"/>
    <w:rsid w:val="003A2485"/>
    <w:rsid w:val="003D041C"/>
    <w:rsid w:val="003D6923"/>
    <w:rsid w:val="00426831"/>
    <w:rsid w:val="00432F3B"/>
    <w:rsid w:val="00434193"/>
    <w:rsid w:val="004715F6"/>
    <w:rsid w:val="00474558"/>
    <w:rsid w:val="004E56E2"/>
    <w:rsid w:val="004E5FF3"/>
    <w:rsid w:val="0050659F"/>
    <w:rsid w:val="00507EC9"/>
    <w:rsid w:val="00520AC5"/>
    <w:rsid w:val="0053033E"/>
    <w:rsid w:val="0056266B"/>
    <w:rsid w:val="005673C9"/>
    <w:rsid w:val="00591C97"/>
    <w:rsid w:val="005A2988"/>
    <w:rsid w:val="005B03C3"/>
    <w:rsid w:val="005B57F5"/>
    <w:rsid w:val="005C6A4E"/>
    <w:rsid w:val="005E3990"/>
    <w:rsid w:val="005E60FC"/>
    <w:rsid w:val="005F4774"/>
    <w:rsid w:val="005F6804"/>
    <w:rsid w:val="005F6F8B"/>
    <w:rsid w:val="006051DD"/>
    <w:rsid w:val="006079E7"/>
    <w:rsid w:val="006517C2"/>
    <w:rsid w:val="00652982"/>
    <w:rsid w:val="00672E2F"/>
    <w:rsid w:val="00690547"/>
    <w:rsid w:val="00691D0A"/>
    <w:rsid w:val="006A69D4"/>
    <w:rsid w:val="006B47F5"/>
    <w:rsid w:val="006C0B46"/>
    <w:rsid w:val="006E7DD0"/>
    <w:rsid w:val="00701238"/>
    <w:rsid w:val="00727B8C"/>
    <w:rsid w:val="00736540"/>
    <w:rsid w:val="00750EDB"/>
    <w:rsid w:val="007702FF"/>
    <w:rsid w:val="00782AED"/>
    <w:rsid w:val="00793FA8"/>
    <w:rsid w:val="007B1B84"/>
    <w:rsid w:val="007B344F"/>
    <w:rsid w:val="007C7E0B"/>
    <w:rsid w:val="007D5168"/>
    <w:rsid w:val="00823F32"/>
    <w:rsid w:val="008A3FA7"/>
    <w:rsid w:val="008D766C"/>
    <w:rsid w:val="008E0EAB"/>
    <w:rsid w:val="008F22B6"/>
    <w:rsid w:val="00903108"/>
    <w:rsid w:val="00936E9D"/>
    <w:rsid w:val="00966583"/>
    <w:rsid w:val="00982980"/>
    <w:rsid w:val="009C33AA"/>
    <w:rsid w:val="009D291D"/>
    <w:rsid w:val="009E7220"/>
    <w:rsid w:val="009F058F"/>
    <w:rsid w:val="00A17FDB"/>
    <w:rsid w:val="00A372D1"/>
    <w:rsid w:val="00A61C3F"/>
    <w:rsid w:val="00A72FAE"/>
    <w:rsid w:val="00AA6E0C"/>
    <w:rsid w:val="00AC6119"/>
    <w:rsid w:val="00AE1E2F"/>
    <w:rsid w:val="00B12CE6"/>
    <w:rsid w:val="00B20C8A"/>
    <w:rsid w:val="00B21089"/>
    <w:rsid w:val="00B41B87"/>
    <w:rsid w:val="00B52F7D"/>
    <w:rsid w:val="00B633BA"/>
    <w:rsid w:val="00B659FE"/>
    <w:rsid w:val="00B758B9"/>
    <w:rsid w:val="00B92078"/>
    <w:rsid w:val="00BA1F78"/>
    <w:rsid w:val="00BE2C5B"/>
    <w:rsid w:val="00BF10E8"/>
    <w:rsid w:val="00BF3EC6"/>
    <w:rsid w:val="00BF5969"/>
    <w:rsid w:val="00BF73BE"/>
    <w:rsid w:val="00C0386B"/>
    <w:rsid w:val="00C21D23"/>
    <w:rsid w:val="00C316DE"/>
    <w:rsid w:val="00C851ED"/>
    <w:rsid w:val="00CB2DB8"/>
    <w:rsid w:val="00CF5804"/>
    <w:rsid w:val="00D21C58"/>
    <w:rsid w:val="00D527EA"/>
    <w:rsid w:val="00D71C44"/>
    <w:rsid w:val="00D92A52"/>
    <w:rsid w:val="00DA1FF7"/>
    <w:rsid w:val="00DB2F60"/>
    <w:rsid w:val="00DF2745"/>
    <w:rsid w:val="00E01BAF"/>
    <w:rsid w:val="00E10EE6"/>
    <w:rsid w:val="00E17CE3"/>
    <w:rsid w:val="00E2040F"/>
    <w:rsid w:val="00E22FB9"/>
    <w:rsid w:val="00E26493"/>
    <w:rsid w:val="00E325FC"/>
    <w:rsid w:val="00E66601"/>
    <w:rsid w:val="00E95FAC"/>
    <w:rsid w:val="00EA39E5"/>
    <w:rsid w:val="00EA5FF3"/>
    <w:rsid w:val="00EB1AB1"/>
    <w:rsid w:val="00EC0CE9"/>
    <w:rsid w:val="00ED60CE"/>
    <w:rsid w:val="00F14E91"/>
    <w:rsid w:val="00F23031"/>
    <w:rsid w:val="00F31C90"/>
    <w:rsid w:val="00F346F9"/>
    <w:rsid w:val="00F37348"/>
    <w:rsid w:val="00F432B0"/>
    <w:rsid w:val="00F67FC0"/>
    <w:rsid w:val="00F74CF1"/>
    <w:rsid w:val="00FA1F11"/>
    <w:rsid w:val="00FA1F2F"/>
    <w:rsid w:val="00FB0084"/>
    <w:rsid w:val="00FC5490"/>
    <w:rsid w:val="00FE2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6426"/>
  <w15:chartTrackingRefBased/>
  <w15:docId w15:val="{A63735E4-F309-B948-91B9-8C92B63F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01886"/>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styleId="Heading1">
    <w:name w:val="heading 1"/>
    <w:basedOn w:val="Normal"/>
    <w:next w:val="Normal"/>
    <w:link w:val="Heading1Char"/>
    <w:uiPriority w:val="9"/>
    <w:qFormat/>
    <w:rsid w:val="00001886"/>
    <w:pPr>
      <w:keepNext/>
      <w:keepLines/>
      <w:spacing w:before="24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886"/>
    <w:rPr>
      <w:rFonts w:ascii="Calibri Light" w:eastAsia="Times New Roman" w:hAnsi="Calibri Light" w:cs="Times New Roman"/>
      <w:color w:val="2F5496"/>
      <w:sz w:val="32"/>
      <w:szCs w:val="32"/>
      <w:u w:color="000000"/>
      <w:bdr w:val="nil"/>
      <w:lang w:val="en-US"/>
    </w:rPr>
  </w:style>
  <w:style w:type="character" w:styleId="Hyperlink">
    <w:name w:val="Hyperlink"/>
    <w:rsid w:val="00001886"/>
    <w:rPr>
      <w:u w:val="single"/>
    </w:rPr>
  </w:style>
  <w:style w:type="paragraph" w:customStyle="1" w:styleId="HeaderFooter">
    <w:name w:val="Header &amp; Footer"/>
    <w:rsid w:val="00001886"/>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n-US"/>
    </w:rPr>
  </w:style>
  <w:style w:type="paragraph" w:styleId="Footer">
    <w:name w:val="footer"/>
    <w:link w:val="FooterChar"/>
    <w:rsid w:val="00001886"/>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lang w:val="en-US"/>
    </w:rPr>
  </w:style>
  <w:style w:type="character" w:customStyle="1" w:styleId="FooterChar">
    <w:name w:val="Footer Char"/>
    <w:basedOn w:val="DefaultParagraphFont"/>
    <w:link w:val="Footer"/>
    <w:rsid w:val="00001886"/>
    <w:rPr>
      <w:rFonts w:ascii="Times New Roman" w:eastAsia="Arial Unicode MS" w:hAnsi="Times New Roman" w:cs="Arial Unicode MS"/>
      <w:color w:val="000000"/>
      <w:u w:color="000000"/>
      <w:bdr w:val="nil"/>
      <w:lang w:val="en-US"/>
    </w:rPr>
  </w:style>
  <w:style w:type="character" w:styleId="PageNumber">
    <w:name w:val="page number"/>
    <w:rsid w:val="00001886"/>
    <w:rPr>
      <w:lang w:val="en-US"/>
    </w:rPr>
  </w:style>
  <w:style w:type="paragraph" w:customStyle="1" w:styleId="Paragraph">
    <w:name w:val="Paragraph"/>
    <w:rsid w:val="00001886"/>
    <w:pPr>
      <w:pBdr>
        <w:top w:val="nil"/>
        <w:left w:val="nil"/>
        <w:bottom w:val="nil"/>
        <w:right w:val="nil"/>
        <w:between w:val="nil"/>
        <w:bar w:val="nil"/>
      </w:pBdr>
      <w:spacing w:before="120"/>
      <w:ind w:firstLine="720"/>
    </w:pPr>
    <w:rPr>
      <w:rFonts w:ascii="Times New Roman" w:eastAsia="Arial Unicode MS" w:hAnsi="Times New Roman" w:cs="Arial Unicode MS"/>
      <w:color w:val="000000"/>
      <w:u w:color="000000"/>
      <w:bdr w:val="nil"/>
      <w:lang w:val="en-US"/>
    </w:rPr>
  </w:style>
  <w:style w:type="paragraph" w:customStyle="1" w:styleId="SMText">
    <w:name w:val="SM Text"/>
    <w:rsid w:val="00001886"/>
    <w:pPr>
      <w:pBdr>
        <w:top w:val="nil"/>
        <w:left w:val="nil"/>
        <w:bottom w:val="nil"/>
        <w:right w:val="nil"/>
        <w:between w:val="nil"/>
        <w:bar w:val="nil"/>
      </w:pBdr>
      <w:ind w:firstLine="480"/>
    </w:pPr>
    <w:rPr>
      <w:rFonts w:ascii="Times New Roman" w:eastAsia="Arial Unicode MS" w:hAnsi="Times New Roman" w:cs="Arial Unicode MS"/>
      <w:color w:val="000000"/>
      <w:u w:color="000000"/>
      <w:bdr w:val="nil"/>
      <w:lang w:val="en-US"/>
    </w:rPr>
  </w:style>
  <w:style w:type="paragraph" w:customStyle="1" w:styleId="SMcaption">
    <w:name w:val="SM caption"/>
    <w:qFormat/>
    <w:rsid w:val="00001886"/>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styleId="BalloonText">
    <w:name w:val="Balloon Text"/>
    <w:basedOn w:val="Normal"/>
    <w:link w:val="BalloonTextChar"/>
    <w:uiPriority w:val="99"/>
    <w:semiHidden/>
    <w:unhideWhenUsed/>
    <w:rsid w:val="00001886"/>
    <w:rPr>
      <w:rFonts w:cs="Times New Roman"/>
      <w:sz w:val="18"/>
      <w:szCs w:val="18"/>
    </w:rPr>
  </w:style>
  <w:style w:type="character" w:customStyle="1" w:styleId="BalloonTextChar">
    <w:name w:val="Balloon Text Char"/>
    <w:basedOn w:val="DefaultParagraphFont"/>
    <w:link w:val="BalloonText"/>
    <w:uiPriority w:val="99"/>
    <w:semiHidden/>
    <w:rsid w:val="00001886"/>
    <w:rPr>
      <w:rFonts w:ascii="Times New Roman" w:eastAsia="Arial Unicode MS" w:hAnsi="Times New Roman" w:cs="Times New Roman"/>
      <w:color w:val="000000"/>
      <w:sz w:val="18"/>
      <w:szCs w:val="18"/>
      <w:u w:color="000000"/>
      <w:bdr w:val="nil"/>
      <w:lang w:val="en-US"/>
    </w:rPr>
  </w:style>
  <w:style w:type="character" w:styleId="CommentReference">
    <w:name w:val="annotation reference"/>
    <w:uiPriority w:val="99"/>
    <w:semiHidden/>
    <w:unhideWhenUsed/>
    <w:rsid w:val="00001886"/>
    <w:rPr>
      <w:sz w:val="18"/>
      <w:szCs w:val="18"/>
    </w:rPr>
  </w:style>
  <w:style w:type="paragraph" w:styleId="CommentText">
    <w:name w:val="annotation text"/>
    <w:basedOn w:val="Normal"/>
    <w:link w:val="CommentTextChar"/>
    <w:uiPriority w:val="99"/>
    <w:semiHidden/>
    <w:unhideWhenUsed/>
    <w:rsid w:val="00001886"/>
  </w:style>
  <w:style w:type="character" w:customStyle="1" w:styleId="CommentTextChar">
    <w:name w:val="Comment Text Char"/>
    <w:basedOn w:val="DefaultParagraphFont"/>
    <w:link w:val="CommentText"/>
    <w:uiPriority w:val="99"/>
    <w:semiHidden/>
    <w:rsid w:val="00001886"/>
    <w:rPr>
      <w:rFonts w:ascii="Times New Roman" w:eastAsia="Arial Unicode MS" w:hAnsi="Times New Roman" w:cs="Arial Unicode MS"/>
      <w:color w:val="000000"/>
      <w:u w:color="000000"/>
      <w:bdr w:val="nil"/>
      <w:lang w:val="en-US"/>
    </w:rPr>
  </w:style>
  <w:style w:type="paragraph" w:styleId="CommentSubject">
    <w:name w:val="annotation subject"/>
    <w:basedOn w:val="CommentText"/>
    <w:next w:val="CommentText"/>
    <w:link w:val="CommentSubjectChar"/>
    <w:uiPriority w:val="99"/>
    <w:semiHidden/>
    <w:unhideWhenUsed/>
    <w:rsid w:val="00001886"/>
    <w:rPr>
      <w:b/>
      <w:bCs/>
      <w:sz w:val="20"/>
      <w:szCs w:val="20"/>
    </w:rPr>
  </w:style>
  <w:style w:type="character" w:customStyle="1" w:styleId="CommentSubjectChar">
    <w:name w:val="Comment Subject Char"/>
    <w:basedOn w:val="CommentTextChar"/>
    <w:link w:val="CommentSubject"/>
    <w:uiPriority w:val="99"/>
    <w:semiHidden/>
    <w:rsid w:val="00001886"/>
    <w:rPr>
      <w:rFonts w:ascii="Times New Roman" w:eastAsia="Arial Unicode MS" w:hAnsi="Times New Roman" w:cs="Arial Unicode MS"/>
      <w:b/>
      <w:bCs/>
      <w:color w:val="000000"/>
      <w:sz w:val="20"/>
      <w:szCs w:val="20"/>
      <w:u w:color="000000"/>
      <w:bdr w:val="nil"/>
      <w:lang w:val="en-US"/>
    </w:rPr>
  </w:style>
  <w:style w:type="paragraph" w:styleId="Revision">
    <w:name w:val="Revision"/>
    <w:hidden/>
    <w:uiPriority w:val="99"/>
    <w:semiHidden/>
    <w:rsid w:val="00001886"/>
    <w:rPr>
      <w:rFonts w:ascii="Times New Roman" w:eastAsia="Arial Unicode MS" w:hAnsi="Times New Roman" w:cs="Arial Unicode MS"/>
      <w:color w:val="000000"/>
      <w:u w:color="000000"/>
      <w:bdr w:val="nil"/>
      <w:lang w:val="en-US"/>
    </w:rPr>
  </w:style>
  <w:style w:type="paragraph" w:customStyle="1" w:styleId="SMHeading">
    <w:name w:val="SM Heading"/>
    <w:basedOn w:val="Heading1"/>
    <w:qFormat/>
    <w:rsid w:val="00001886"/>
    <w:pPr>
      <w:keepLines w:val="0"/>
      <w:pBdr>
        <w:top w:val="none" w:sz="0" w:space="0" w:color="auto"/>
        <w:left w:val="none" w:sz="0" w:space="0" w:color="auto"/>
        <w:bottom w:val="none" w:sz="0" w:space="0" w:color="auto"/>
        <w:right w:val="none" w:sz="0" w:space="0" w:color="auto"/>
        <w:between w:val="none" w:sz="0" w:space="0" w:color="auto"/>
        <w:bar w:val="none" w:sz="0" w:color="auto"/>
      </w:pBdr>
      <w:spacing w:after="60"/>
    </w:pPr>
    <w:rPr>
      <w:rFonts w:ascii="Times New Roman" w:hAnsi="Times New Roman"/>
      <w:b/>
      <w:bCs/>
      <w:color w:val="auto"/>
      <w:kern w:val="32"/>
      <w:sz w:val="24"/>
      <w:szCs w:val="24"/>
      <w:bdr w:val="none" w:sz="0" w:space="0" w:color="auto"/>
    </w:rPr>
  </w:style>
  <w:style w:type="character" w:styleId="LineNumber">
    <w:name w:val="line number"/>
    <w:uiPriority w:val="99"/>
    <w:semiHidden/>
    <w:unhideWhenUsed/>
    <w:rsid w:val="00001886"/>
  </w:style>
  <w:style w:type="paragraph" w:styleId="DocumentMap">
    <w:name w:val="Document Map"/>
    <w:basedOn w:val="Normal"/>
    <w:link w:val="DocumentMapChar"/>
    <w:uiPriority w:val="99"/>
    <w:semiHidden/>
    <w:unhideWhenUsed/>
    <w:rsid w:val="00001886"/>
    <w:rPr>
      <w:rFonts w:cs="Times New Roman"/>
    </w:rPr>
  </w:style>
  <w:style w:type="character" w:customStyle="1" w:styleId="DocumentMapChar">
    <w:name w:val="Document Map Char"/>
    <w:basedOn w:val="DefaultParagraphFont"/>
    <w:link w:val="DocumentMap"/>
    <w:uiPriority w:val="99"/>
    <w:semiHidden/>
    <w:rsid w:val="00001886"/>
    <w:rPr>
      <w:rFonts w:ascii="Times New Roman" w:eastAsia="Arial Unicode MS" w:hAnsi="Times New Roman" w:cs="Times New Roman"/>
      <w:color w:val="000000"/>
      <w:u w:color="000000"/>
      <w:bdr w:val="nil"/>
      <w:lang w:val="en-US"/>
    </w:rPr>
  </w:style>
  <w:style w:type="paragraph" w:styleId="NormalWeb">
    <w:name w:val="Normal (Web)"/>
    <w:basedOn w:val="Normal"/>
    <w:uiPriority w:val="99"/>
    <w:semiHidden/>
    <w:unhideWhenUsed/>
    <w:rsid w:val="009C33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cs="Times New Roman"/>
      <w:color w:val="auto"/>
      <w:bdr w:val="none" w:sz="0" w:space="0" w:color="auto"/>
      <w:lang w:val="en-GB" w:eastAsia="en-GB"/>
    </w:rPr>
  </w:style>
  <w:style w:type="paragraph" w:styleId="ListParagraph">
    <w:name w:val="List Paragraph"/>
    <w:basedOn w:val="Normal"/>
    <w:uiPriority w:val="34"/>
    <w:qFormat/>
    <w:rsid w:val="00736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C46E-E652-42F0-9CE8-F2C17E85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Turkington</dc:creator>
  <cp:keywords/>
  <dc:description/>
  <cp:lastModifiedBy>Giorgia Aprile</cp:lastModifiedBy>
  <cp:revision>2</cp:revision>
  <dcterms:created xsi:type="dcterms:W3CDTF">2019-06-21T15:00:00Z</dcterms:created>
  <dcterms:modified xsi:type="dcterms:W3CDTF">2019-06-21T15:00:00Z</dcterms:modified>
</cp:coreProperties>
</file>