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16077" w14:textId="5B5B5B57" w:rsidR="00153509" w:rsidRPr="00153509" w:rsidRDefault="00153509" w:rsidP="00153509">
      <w:pPr>
        <w:rPr>
          <w:b/>
          <w:bCs/>
          <w:noProof/>
        </w:rPr>
      </w:pPr>
      <w:r w:rsidRPr="00153509">
        <w:rPr>
          <w:b/>
          <w:bCs/>
          <w:noProof/>
        </w:rPr>
        <w:t>Supplementary Material</w:t>
      </w:r>
      <w:bookmarkStart w:id="0" w:name="_GoBack"/>
      <w:bookmarkEnd w:id="0"/>
    </w:p>
    <w:p w14:paraId="50A5DFB0" w14:textId="5242897D" w:rsidR="00153509" w:rsidRDefault="00153509" w:rsidP="00153509">
      <w:pPr>
        <w:spacing w:line="480" w:lineRule="auto"/>
        <w:contextualSpacing/>
        <w:jc w:val="both"/>
        <w:outlineLvl w:val="0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29C2429B" wp14:editId="1FB36750">
            <wp:extent cx="5340699" cy="4564298"/>
            <wp:effectExtent l="0" t="0" r="0" b="8255"/>
            <wp:docPr id="1" name="Picture 1" descr="A picture containing indoor, table, w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302" cy="456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8CA0" w14:textId="4C5AC0DE" w:rsidR="00153509" w:rsidRPr="00972D9F" w:rsidRDefault="00153509" w:rsidP="00153509">
      <w:pPr>
        <w:spacing w:line="480" w:lineRule="auto"/>
        <w:contextualSpacing/>
        <w:jc w:val="both"/>
        <w:outlineLvl w:val="0"/>
        <w:rPr>
          <w:bCs/>
          <w:szCs w:val="24"/>
        </w:rPr>
      </w:pPr>
      <w:r w:rsidRPr="00972D9F">
        <w:rPr>
          <w:b/>
          <w:bCs/>
          <w:szCs w:val="24"/>
        </w:rPr>
        <w:t>Figure S1</w:t>
      </w:r>
      <w:r w:rsidRPr="00972D9F">
        <w:rPr>
          <w:b/>
          <w:bCs/>
          <w:szCs w:val="24"/>
        </w:rPr>
        <w:tab/>
      </w:r>
      <w:r w:rsidRPr="00972D9F">
        <w:rPr>
          <w:bCs/>
          <w:szCs w:val="24"/>
        </w:rPr>
        <w:t xml:space="preserve">Images of i-Ex and FRi-ExNC water solutions after storing at room temperature for different time periods. The suspension of FRi-ExNC (iEx: 0.5 mg/ml) remained clear until </w:t>
      </w:r>
      <w:r>
        <w:rPr>
          <w:bCs/>
          <w:szCs w:val="24"/>
        </w:rPr>
        <w:t>d</w:t>
      </w:r>
      <w:r w:rsidRPr="00972D9F">
        <w:rPr>
          <w:bCs/>
          <w:szCs w:val="24"/>
        </w:rPr>
        <w:t xml:space="preserve">ay </w:t>
      </w:r>
      <w:r w:rsidRPr="00972D9F">
        <w:rPr>
          <w:bCs/>
          <w:szCs w:val="24"/>
        </w:rPr>
        <w:t>7, but i-Ex alone aggregated, became turbid and precipitated, as shown by arrows.</w:t>
      </w:r>
    </w:p>
    <w:p w14:paraId="63AEADB7" w14:textId="408F1A6A" w:rsidR="00153509" w:rsidRDefault="00153509" w:rsidP="00153509">
      <w:pPr>
        <w:spacing w:line="480" w:lineRule="auto"/>
        <w:contextualSpacing/>
        <w:jc w:val="both"/>
        <w:outlineLvl w:val="0"/>
        <w:rPr>
          <w:b/>
          <w:bCs/>
          <w:szCs w:val="24"/>
        </w:rPr>
      </w:pPr>
    </w:p>
    <w:p w14:paraId="4CF530BE" w14:textId="755BD9DD" w:rsidR="00153509" w:rsidRDefault="00153509" w:rsidP="00153509">
      <w:pPr>
        <w:spacing w:line="480" w:lineRule="auto"/>
        <w:contextualSpacing/>
        <w:jc w:val="both"/>
        <w:outlineLvl w:val="0"/>
        <w:rPr>
          <w:b/>
          <w:bCs/>
          <w:szCs w:val="24"/>
        </w:rPr>
      </w:pPr>
    </w:p>
    <w:p w14:paraId="5FC1E241" w14:textId="3DE2C009" w:rsidR="00153509" w:rsidRPr="00972D9F" w:rsidRDefault="00153509" w:rsidP="00153509">
      <w:pPr>
        <w:spacing w:line="480" w:lineRule="auto"/>
        <w:contextualSpacing/>
        <w:jc w:val="both"/>
        <w:outlineLvl w:val="0"/>
        <w:rPr>
          <w:b/>
          <w:bCs/>
          <w:szCs w:val="24"/>
        </w:rPr>
      </w:pPr>
      <w:r>
        <w:rPr>
          <w:b/>
          <w:bCs/>
          <w:noProof/>
          <w:szCs w:val="24"/>
        </w:rPr>
        <w:lastRenderedPageBreak/>
        <w:drawing>
          <wp:inline distT="0" distB="0" distL="0" distR="0" wp14:anchorId="3EEE004C" wp14:editId="70214B0E">
            <wp:extent cx="5617029" cy="3662370"/>
            <wp:effectExtent l="0" t="0" r="3175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257" cy="36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2C48" w14:textId="48494568" w:rsidR="00153509" w:rsidRDefault="00153509" w:rsidP="00153509">
      <w:pPr>
        <w:spacing w:line="480" w:lineRule="auto"/>
        <w:contextualSpacing/>
        <w:jc w:val="both"/>
        <w:outlineLvl w:val="0"/>
        <w:rPr>
          <w:bCs/>
          <w:szCs w:val="24"/>
          <w:lang w:eastAsia="zh-CN"/>
        </w:rPr>
      </w:pPr>
      <w:r w:rsidRPr="00972D9F">
        <w:rPr>
          <w:b/>
          <w:bCs/>
          <w:szCs w:val="24"/>
          <w:lang w:eastAsia="zh-CN"/>
        </w:rPr>
        <w:t>Figure S2</w:t>
      </w:r>
      <w:r w:rsidRPr="00972D9F">
        <w:rPr>
          <w:bCs/>
          <w:szCs w:val="24"/>
          <w:lang w:eastAsia="zh-CN"/>
        </w:rPr>
        <w:tab/>
        <w:t xml:space="preserve">Viability of HeLa cells treated with i-ExNC and FRi-ExNC for 24 h with/without 10 µm free folate (mean </w:t>
      </w:r>
      <w:r w:rsidRPr="00972D9F">
        <w:rPr>
          <w:bCs/>
          <w:szCs w:val="24"/>
          <w:lang w:eastAsia="zh-CN"/>
        </w:rPr>
        <w:sym w:font="Symbol" w:char="F0B1"/>
      </w:r>
      <w:r w:rsidRPr="00972D9F">
        <w:rPr>
          <w:bCs/>
          <w:szCs w:val="24"/>
          <w:lang w:eastAsia="zh-CN"/>
        </w:rPr>
        <w:t xml:space="preserve"> s.e.m., n = 5), *P</w:t>
      </w:r>
      <w:r w:rsidRPr="00972D9F">
        <w:rPr>
          <w:bCs/>
          <w:szCs w:val="24"/>
          <w:lang w:eastAsia="zh-CN"/>
        </w:rPr>
        <w:sym w:font="Symbol" w:char="F03C"/>
      </w:r>
      <w:r w:rsidRPr="00972D9F">
        <w:rPr>
          <w:bCs/>
          <w:szCs w:val="24"/>
          <w:lang w:eastAsia="zh-CN"/>
        </w:rPr>
        <w:t>0.05 (Student’s t-test). Stronger cytotoxicity of FRi-ExNC without the addition of folate indicates its favorable tumor-targeting ability towards folic acid receptor-expressing cancer cells.</w:t>
      </w:r>
    </w:p>
    <w:p w14:paraId="3DF88138" w14:textId="01822467" w:rsidR="00153509" w:rsidRDefault="00153509" w:rsidP="00153509">
      <w:pPr>
        <w:spacing w:line="480" w:lineRule="auto"/>
        <w:contextualSpacing/>
        <w:jc w:val="both"/>
        <w:outlineLvl w:val="0"/>
        <w:rPr>
          <w:bCs/>
          <w:szCs w:val="24"/>
          <w:lang w:eastAsia="zh-CN"/>
        </w:rPr>
      </w:pPr>
    </w:p>
    <w:p w14:paraId="78BB3BD6" w14:textId="345C1000" w:rsidR="00153509" w:rsidRPr="00972D9F" w:rsidRDefault="00153509" w:rsidP="00153509">
      <w:pPr>
        <w:spacing w:line="480" w:lineRule="auto"/>
        <w:contextualSpacing/>
        <w:jc w:val="both"/>
        <w:outlineLvl w:val="0"/>
        <w:rPr>
          <w:bCs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 wp14:anchorId="4ADE8F8A" wp14:editId="2736A5F5">
            <wp:extent cx="5787851" cy="369650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851" cy="369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A816" w14:textId="76897314" w:rsidR="00153509" w:rsidRDefault="00153509" w:rsidP="00153509">
      <w:pPr>
        <w:pStyle w:val="EndNoteBibliography"/>
        <w:spacing w:before="120" w:after="240" w:line="480" w:lineRule="auto"/>
        <w:contextualSpacing/>
        <w:jc w:val="both"/>
        <w:rPr>
          <w:rFonts w:ascii="Times New Roman" w:hAnsi="Times New Roman" w:cs="Times New Roman"/>
          <w:noProof w:val="0"/>
          <w:sz w:val="24"/>
          <w:szCs w:val="24"/>
        </w:rPr>
      </w:pPr>
      <w:r w:rsidRPr="00972D9F">
        <w:rPr>
          <w:rFonts w:ascii="Times New Roman" w:hAnsi="Times New Roman" w:cs="Times New Roman"/>
          <w:b/>
          <w:bCs/>
          <w:noProof w:val="0"/>
          <w:sz w:val="24"/>
          <w:szCs w:val="24"/>
        </w:rPr>
        <w:t xml:space="preserve">Figure </w:t>
      </w:r>
      <w:r w:rsidRPr="003E252C">
        <w:rPr>
          <w:rFonts w:ascii="Times New Roman" w:hAnsi="Times New Roman"/>
          <w:b/>
          <w:bCs/>
          <w:noProof w:val="0"/>
          <w:sz w:val="24"/>
          <w:szCs w:val="24"/>
        </w:rPr>
        <w:t>S3</w:t>
      </w:r>
      <w:r w:rsidRPr="00972D9F">
        <w:rPr>
          <w:rFonts w:ascii="Times New Roman" w:hAnsi="Times New Roman" w:cs="Times New Roman"/>
          <w:b/>
          <w:bCs/>
          <w:noProof w:val="0"/>
          <w:sz w:val="24"/>
          <w:szCs w:val="24"/>
        </w:rPr>
        <w:tab/>
      </w:r>
      <w:r w:rsidRPr="00972D9F">
        <w:rPr>
          <w:rFonts w:ascii="Times New Roman" w:hAnsi="Times New Roman" w:cs="Times New Roman"/>
          <w:noProof w:val="0"/>
          <w:sz w:val="24"/>
          <w:szCs w:val="24"/>
        </w:rPr>
        <w:t>Fluorescence microscopy imaging of HeLa cells treated with FRi-ExNC (labeled with Nile Red)  for 6 h.</w:t>
      </w:r>
      <w:r w:rsidRPr="00972D9F">
        <w:rPr>
          <w:rFonts w:ascii="Times New Roman" w:hAnsi="Times New Roman" w:cs="Times New Roman"/>
          <w:bCs/>
          <w:noProof w:val="0"/>
          <w:sz w:val="24"/>
          <w:szCs w:val="24"/>
        </w:rPr>
        <w:t xml:space="preserve"> The internalization of  </w:t>
      </w:r>
      <w:r w:rsidRPr="00972D9F">
        <w:rPr>
          <w:rFonts w:ascii="Times New Roman" w:hAnsi="Times New Roman" w:cs="Times New Roman"/>
          <w:noProof w:val="0"/>
          <w:sz w:val="24"/>
          <w:szCs w:val="24"/>
        </w:rPr>
        <w:t xml:space="preserve">FRi-ExNC was inhibited by co-incubation with </w:t>
      </w:r>
      <w:r>
        <w:rPr>
          <w:rFonts w:ascii="Times New Roman" w:hAnsi="Times New Roman" w:cs="Times New Roman"/>
          <w:noProof w:val="0"/>
          <w:sz w:val="24"/>
          <w:szCs w:val="24"/>
        </w:rPr>
        <w:t xml:space="preserve">a </w:t>
      </w:r>
      <w:r w:rsidRPr="00972D9F">
        <w:rPr>
          <w:rFonts w:ascii="Times New Roman" w:hAnsi="Times New Roman" w:cs="Times New Roman"/>
          <w:noProof w:val="0"/>
          <w:sz w:val="24"/>
          <w:szCs w:val="24"/>
        </w:rPr>
        <w:t xml:space="preserve">free folate, indicating the successful modification of FRi-ExNC and </w:t>
      </w:r>
      <w:r>
        <w:rPr>
          <w:rFonts w:ascii="Times New Roman" w:hAnsi="Times New Roman" w:cs="Times New Roman"/>
          <w:noProof w:val="0"/>
          <w:sz w:val="24"/>
          <w:szCs w:val="24"/>
        </w:rPr>
        <w:t xml:space="preserve">the </w:t>
      </w:r>
      <w:r w:rsidRPr="00972D9F">
        <w:rPr>
          <w:rFonts w:ascii="Times New Roman" w:hAnsi="Times New Roman" w:cs="Times New Roman"/>
          <w:bCs/>
          <w:noProof w:val="0"/>
          <w:sz w:val="24"/>
          <w:szCs w:val="24"/>
        </w:rPr>
        <w:t>folic acid receptor</w:t>
      </w:r>
      <w:r w:rsidRPr="00972D9F">
        <w:rPr>
          <w:rFonts w:ascii="Times New Roman" w:hAnsi="Times New Roman" w:cs="Times New Roman"/>
          <w:noProof w:val="0"/>
          <w:sz w:val="24"/>
          <w:szCs w:val="24"/>
        </w:rPr>
        <w:t xml:space="preserve">-targeting effect. </w:t>
      </w:r>
      <w:bookmarkStart w:id="1" w:name="OLE_LINK13"/>
      <w:bookmarkStart w:id="2" w:name="OLE_LINK14"/>
      <w:r>
        <w:rPr>
          <w:rFonts w:ascii="Times New Roman" w:hAnsi="Times New Roman" w:cs="Times New Roman"/>
          <w:noProof w:val="0"/>
          <w:sz w:val="24"/>
          <w:szCs w:val="24"/>
        </w:rPr>
        <w:t>The n</w:t>
      </w:r>
      <w:r w:rsidRPr="00972D9F">
        <w:rPr>
          <w:rFonts w:ascii="Times New Roman" w:hAnsi="Times New Roman" w:cs="Times New Roman"/>
          <w:noProof w:val="0"/>
          <w:sz w:val="24"/>
          <w:szCs w:val="24"/>
        </w:rPr>
        <w:t xml:space="preserve">ucleus </w:t>
      </w:r>
      <w:r w:rsidRPr="00972D9F">
        <w:rPr>
          <w:rFonts w:ascii="Times New Roman" w:hAnsi="Times New Roman" w:cs="Times New Roman"/>
          <w:noProof w:val="0"/>
          <w:sz w:val="24"/>
          <w:szCs w:val="24"/>
        </w:rPr>
        <w:t>was stained with Hoechst</w:t>
      </w:r>
      <w:bookmarkEnd w:id="1"/>
      <w:bookmarkEnd w:id="2"/>
      <w:r w:rsidRPr="00972D9F">
        <w:rPr>
          <w:rFonts w:ascii="Times New Roman" w:hAnsi="Times New Roman" w:cs="Times New Roman"/>
          <w:noProof w:val="0"/>
          <w:sz w:val="24"/>
          <w:szCs w:val="24"/>
        </w:rPr>
        <w:t>.</w:t>
      </w:r>
    </w:p>
    <w:p w14:paraId="1210C69F" w14:textId="28A07B15" w:rsidR="00153509" w:rsidRDefault="00153509" w:rsidP="00153509">
      <w:pPr>
        <w:pStyle w:val="EndNoteBibliography"/>
        <w:spacing w:before="120" w:after="240" w:line="480" w:lineRule="auto"/>
        <w:contextualSpacing/>
        <w:jc w:val="both"/>
        <w:rPr>
          <w:rFonts w:ascii="Times New Roman" w:hAnsi="Times New Roman" w:cs="Times New Roman"/>
          <w:noProof w:val="0"/>
          <w:sz w:val="24"/>
          <w:szCs w:val="24"/>
        </w:rPr>
      </w:pPr>
    </w:p>
    <w:p w14:paraId="2F9EACBF" w14:textId="7B6E9D9B" w:rsidR="00153509" w:rsidRPr="00972D9F" w:rsidRDefault="00153509" w:rsidP="00153509">
      <w:pPr>
        <w:pStyle w:val="EndNoteBibliography"/>
        <w:spacing w:before="120" w:after="240" w:line="480" w:lineRule="auto"/>
        <w:contextualSpacing/>
        <w:jc w:val="both"/>
        <w:rPr>
          <w:rFonts w:ascii="Times New Roman" w:hAnsi="Times New Roman" w:cs="Times New Roman"/>
          <w:bCs/>
          <w:noProof w:val="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drawing>
          <wp:inline distT="0" distB="0" distL="0" distR="0" wp14:anchorId="5DA12F6E" wp14:editId="3D4D1C46">
            <wp:extent cx="5591908" cy="4011262"/>
            <wp:effectExtent l="0" t="0" r="0" b="8890"/>
            <wp:docPr id="4" name="Picture 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429" cy="40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3D57" w14:textId="77777777" w:rsidR="00153509" w:rsidRPr="00972D9F" w:rsidRDefault="00153509" w:rsidP="00153509">
      <w:pPr>
        <w:spacing w:line="480" w:lineRule="auto"/>
        <w:contextualSpacing/>
        <w:jc w:val="both"/>
        <w:rPr>
          <w:bCs/>
          <w:color w:val="000000" w:themeColor="text1"/>
          <w:szCs w:val="24"/>
          <w:lang w:eastAsia="zh-CN"/>
        </w:rPr>
      </w:pPr>
      <w:r w:rsidRPr="00972D9F">
        <w:rPr>
          <w:b/>
          <w:bCs/>
          <w:szCs w:val="24"/>
        </w:rPr>
        <w:t>Figure S4</w:t>
      </w:r>
      <w:r w:rsidRPr="00972D9F">
        <w:rPr>
          <w:b/>
          <w:bCs/>
          <w:szCs w:val="24"/>
        </w:rPr>
        <w:tab/>
      </w:r>
      <w:r w:rsidRPr="00972D9F">
        <w:rPr>
          <w:bCs/>
          <w:szCs w:val="24"/>
        </w:rPr>
        <w:t>(A</w:t>
      </w:r>
      <w:bookmarkStart w:id="3" w:name="OLE_LINK15"/>
      <w:bookmarkStart w:id="4" w:name="OLE_LINK16"/>
      <w:r w:rsidRPr="00972D9F">
        <w:rPr>
          <w:bCs/>
          <w:szCs w:val="24"/>
        </w:rPr>
        <w:t xml:space="preserve">) </w:t>
      </w:r>
      <w:r w:rsidRPr="00972D9F">
        <w:rPr>
          <w:szCs w:val="24"/>
        </w:rPr>
        <w:t xml:space="preserve">Immunostaining of </w:t>
      </w:r>
      <w:bookmarkEnd w:id="3"/>
      <w:bookmarkEnd w:id="4"/>
      <w:r w:rsidRPr="00972D9F">
        <w:rPr>
          <w:szCs w:val="24"/>
        </w:rPr>
        <w:t xml:space="preserve">HeLa cells showing </w:t>
      </w:r>
      <w:r>
        <w:rPr>
          <w:szCs w:val="24"/>
        </w:rPr>
        <w:t xml:space="preserve">a </w:t>
      </w:r>
      <w:r w:rsidRPr="00972D9F">
        <w:rPr>
          <w:szCs w:val="24"/>
        </w:rPr>
        <w:t xml:space="preserve">decrease in </w:t>
      </w:r>
      <w:r>
        <w:rPr>
          <w:szCs w:val="24"/>
        </w:rPr>
        <w:t xml:space="preserve">the </w:t>
      </w:r>
      <w:r w:rsidRPr="00972D9F">
        <w:rPr>
          <w:szCs w:val="24"/>
        </w:rPr>
        <w:t xml:space="preserve">number of Ki-67-positive cells following i-ExNC and FRi-ExNC treatments.  </w:t>
      </w:r>
      <w:r>
        <w:rPr>
          <w:szCs w:val="24"/>
        </w:rPr>
        <w:t>The n</w:t>
      </w:r>
      <w:r w:rsidRPr="00972D9F">
        <w:rPr>
          <w:szCs w:val="24"/>
        </w:rPr>
        <w:t xml:space="preserve">ucleus </w:t>
      </w:r>
      <w:r w:rsidRPr="00972D9F">
        <w:rPr>
          <w:szCs w:val="24"/>
        </w:rPr>
        <w:t>was stained with Hoechst.</w:t>
      </w:r>
      <w:r w:rsidRPr="00972D9F">
        <w:rPr>
          <w:bCs/>
          <w:szCs w:val="24"/>
        </w:rPr>
        <w:t xml:space="preserve">  (B) </w:t>
      </w:r>
      <w:r w:rsidRPr="00972D9F">
        <w:rPr>
          <w:szCs w:val="24"/>
        </w:rPr>
        <w:t>Quantitation from at least 200 cells is shown on the right</w:t>
      </w:r>
      <w:r w:rsidRPr="00972D9F">
        <w:rPr>
          <w:bCs/>
          <w:szCs w:val="24"/>
          <w:lang w:eastAsia="zh-CN"/>
        </w:rPr>
        <w:t xml:space="preserve"> </w:t>
      </w:r>
      <w:r w:rsidRPr="00972D9F">
        <w:rPr>
          <w:szCs w:val="24"/>
        </w:rPr>
        <w:t xml:space="preserve">(mean </w:t>
      </w:r>
      <w:r w:rsidRPr="00972D9F">
        <w:rPr>
          <w:szCs w:val="24"/>
        </w:rPr>
        <w:sym w:font="Symbol" w:char="F0B1"/>
      </w:r>
      <w:r w:rsidRPr="00972D9F">
        <w:rPr>
          <w:szCs w:val="24"/>
        </w:rPr>
        <w:t xml:space="preserve"> s.e.m., n = 3), **P</w:t>
      </w:r>
      <w:r w:rsidRPr="00972D9F">
        <w:rPr>
          <w:szCs w:val="24"/>
        </w:rPr>
        <w:sym w:font="Symbol" w:char="F03C"/>
      </w:r>
      <w:r w:rsidRPr="00972D9F">
        <w:rPr>
          <w:szCs w:val="24"/>
        </w:rPr>
        <w:t>0.01, ***P</w:t>
      </w:r>
      <w:r w:rsidRPr="00972D9F">
        <w:rPr>
          <w:szCs w:val="24"/>
        </w:rPr>
        <w:sym w:font="Symbol" w:char="F03C"/>
      </w:r>
      <w:r w:rsidRPr="00972D9F">
        <w:rPr>
          <w:szCs w:val="24"/>
        </w:rPr>
        <w:t xml:space="preserve">0.001 (Student’s t-test). FRi-ExNC group showing the largest reduction. (C) TUNEL assay and (D) immunostaining for cleaved-caspase 3 in control and nanocomplex-treated HeLa cells show that FRi-ExNC induced </w:t>
      </w:r>
      <w:r>
        <w:rPr>
          <w:szCs w:val="24"/>
        </w:rPr>
        <w:t xml:space="preserve">a </w:t>
      </w:r>
      <w:r w:rsidRPr="00972D9F">
        <w:rPr>
          <w:szCs w:val="24"/>
        </w:rPr>
        <w:t>greater apoptosis than i-ExNC.  C</w:t>
      </w:r>
      <w:r w:rsidRPr="00972D9F">
        <w:rPr>
          <w:bCs/>
          <w:szCs w:val="24"/>
          <w:lang w:eastAsia="zh-CN"/>
        </w:rPr>
        <w:t xml:space="preserve">ells were treated with </w:t>
      </w:r>
      <w:r>
        <w:rPr>
          <w:bCs/>
          <w:szCs w:val="24"/>
          <w:lang w:eastAsia="zh-CN"/>
        </w:rPr>
        <w:t xml:space="preserve">an </w:t>
      </w:r>
      <w:r w:rsidRPr="00972D9F">
        <w:rPr>
          <w:bCs/>
          <w:szCs w:val="24"/>
          <w:lang w:eastAsia="zh-CN"/>
        </w:rPr>
        <w:t>equivalent dose of i-Ex (10 µg ml</w:t>
      </w:r>
      <w:r w:rsidRPr="00972D9F">
        <w:rPr>
          <w:bCs/>
          <w:szCs w:val="24"/>
          <w:vertAlign w:val="superscript"/>
          <w:lang w:eastAsia="zh-CN"/>
        </w:rPr>
        <w:t>−1</w:t>
      </w:r>
      <w:r w:rsidRPr="00972D9F">
        <w:rPr>
          <w:bCs/>
          <w:szCs w:val="24"/>
          <w:lang w:eastAsia="zh-CN"/>
        </w:rPr>
        <w:t>) for 24 h.</w:t>
      </w:r>
    </w:p>
    <w:p w14:paraId="54010B03" w14:textId="77777777" w:rsidR="001251F4" w:rsidRDefault="001251F4"/>
    <w:sectPr w:rsidR="001251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09"/>
    <w:rsid w:val="001251F4"/>
    <w:rsid w:val="0015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DC589"/>
  <w15:chartTrackingRefBased/>
  <w15:docId w15:val="{9A674D6E-3663-4B82-A0E4-E6365E9C4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509"/>
    <w:pPr>
      <w:spacing w:before="120" w:after="240" w:line="240" w:lineRule="auto"/>
    </w:pPr>
    <w:rPr>
      <w:rFonts w:ascii="Times New Roman" w:eastAsiaTheme="minorEastAsia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35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35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0"/>
    <w:rsid w:val="00153509"/>
    <w:pPr>
      <w:spacing w:before="0" w:after="160"/>
    </w:pPr>
    <w:rPr>
      <w:rFonts w:ascii="Calibri" w:hAnsi="Calibri" w:cs="Calibri"/>
      <w:noProof/>
      <w:sz w:val="22"/>
      <w:lang w:eastAsia="zh-CN"/>
    </w:rPr>
  </w:style>
  <w:style w:type="character" w:customStyle="1" w:styleId="EndNoteBibliography0">
    <w:name w:val="EndNote Bibliography 字符"/>
    <w:basedOn w:val="DefaultParagraphFont"/>
    <w:link w:val="EndNoteBibliography"/>
    <w:rsid w:val="00153509"/>
    <w:rPr>
      <w:rFonts w:ascii="Calibri" w:eastAsiaTheme="minorEastAsia" w:hAnsi="Calibri" w:cs="Calibri"/>
      <w:noProof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1535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535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Christodoulou</dc:creator>
  <cp:keywords/>
  <dc:description/>
  <cp:lastModifiedBy>Catriona Christodoulou</cp:lastModifiedBy>
  <cp:revision>1</cp:revision>
  <dcterms:created xsi:type="dcterms:W3CDTF">2019-06-20T10:10:00Z</dcterms:created>
  <dcterms:modified xsi:type="dcterms:W3CDTF">2019-06-20T10:13:00Z</dcterms:modified>
</cp:coreProperties>
</file>