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D8C44" w14:textId="77777777" w:rsidR="009E5693" w:rsidRPr="00B629AC" w:rsidRDefault="009E5693" w:rsidP="009E5693">
      <w:pPr>
        <w:spacing w:after="200"/>
        <w:rPr>
          <w:rFonts w:eastAsia="Calibri" w:cs="Times New Roman"/>
          <w:b/>
          <w:sz w:val="24"/>
          <w:szCs w:val="24"/>
        </w:rPr>
      </w:pPr>
      <w:r w:rsidRPr="00B629AC">
        <w:rPr>
          <w:rFonts w:eastAsia="Calibri" w:cs="Times New Roman"/>
          <w:b/>
          <w:sz w:val="24"/>
          <w:szCs w:val="24"/>
        </w:rPr>
        <w:t>Supplementary Material</w:t>
      </w:r>
    </w:p>
    <w:p w14:paraId="11FAE44C" w14:textId="77777777" w:rsidR="009E5693" w:rsidRPr="00B629AC" w:rsidRDefault="009E5693" w:rsidP="009E5693">
      <w:pPr>
        <w:spacing w:after="200"/>
        <w:rPr>
          <w:rFonts w:eastAsia="Calibri" w:cs="Times New Roman"/>
          <w:b/>
          <w:sz w:val="24"/>
          <w:szCs w:val="24"/>
        </w:rPr>
      </w:pPr>
      <w:r w:rsidRPr="00B629AC">
        <w:rPr>
          <w:rFonts w:eastAsia="Calibri" w:cs="Times New Roman"/>
          <w:b/>
          <w:sz w:val="24"/>
          <w:szCs w:val="24"/>
        </w:rPr>
        <w:t>Bycatch of loggerhead turtle (</w:t>
      </w:r>
      <w:r w:rsidRPr="00B629AC">
        <w:rPr>
          <w:rFonts w:eastAsia="Calibri" w:cs="Times New Roman"/>
          <w:b/>
          <w:i/>
          <w:sz w:val="24"/>
          <w:szCs w:val="24"/>
        </w:rPr>
        <w:t xml:space="preserve">Caretta </w:t>
      </w:r>
      <w:proofErr w:type="spellStart"/>
      <w:r w:rsidRPr="00B629AC">
        <w:rPr>
          <w:rFonts w:eastAsia="Calibri" w:cs="Times New Roman"/>
          <w:b/>
          <w:i/>
          <w:sz w:val="24"/>
          <w:szCs w:val="24"/>
        </w:rPr>
        <w:t>caretta</w:t>
      </w:r>
      <w:proofErr w:type="spellEnd"/>
      <w:r w:rsidRPr="00B629AC">
        <w:rPr>
          <w:rFonts w:eastAsia="Calibri" w:cs="Times New Roman"/>
          <w:b/>
          <w:sz w:val="24"/>
          <w:szCs w:val="24"/>
        </w:rPr>
        <w:t>) in the Italian Adriatic pelagic</w:t>
      </w:r>
      <w:r w:rsidR="000868AD" w:rsidRPr="00B629AC">
        <w:rPr>
          <w:rFonts w:eastAsia="Calibri" w:cs="Times New Roman"/>
          <w:b/>
          <w:sz w:val="24"/>
          <w:szCs w:val="24"/>
        </w:rPr>
        <w:t xml:space="preserve"> pair</w:t>
      </w:r>
      <w:r w:rsidRPr="00B629AC">
        <w:rPr>
          <w:rFonts w:eastAsia="Calibri" w:cs="Times New Roman"/>
          <w:b/>
          <w:sz w:val="24"/>
          <w:szCs w:val="24"/>
        </w:rPr>
        <w:t xml:space="preserve"> trawl fishery</w:t>
      </w:r>
    </w:p>
    <w:p w14:paraId="6114F80C" w14:textId="77777777" w:rsidR="009E5693" w:rsidRPr="00B629AC" w:rsidRDefault="009E5693" w:rsidP="009E5693">
      <w:pPr>
        <w:spacing w:after="200"/>
        <w:rPr>
          <w:rFonts w:eastAsia="Calibri" w:cs="Times New Roman"/>
          <w:sz w:val="24"/>
          <w:szCs w:val="24"/>
          <w:vertAlign w:val="superscript"/>
          <w:lang w:val="it-IT"/>
        </w:rPr>
      </w:pPr>
      <w:r w:rsidRPr="00B629AC">
        <w:rPr>
          <w:rFonts w:eastAsia="Calibri" w:cs="Times New Roman"/>
          <w:sz w:val="24"/>
          <w:szCs w:val="24"/>
          <w:lang w:val="it-IT"/>
        </w:rPr>
        <w:t>Jacopo Pulcinella</w:t>
      </w:r>
      <w:r w:rsidRPr="00B629AC">
        <w:rPr>
          <w:rFonts w:eastAsia="Calibri" w:cs="Times New Roman"/>
          <w:sz w:val="24"/>
          <w:szCs w:val="24"/>
          <w:vertAlign w:val="superscript"/>
          <w:lang w:val="it-IT"/>
        </w:rPr>
        <w:t>1*</w:t>
      </w:r>
      <w:r w:rsidRPr="00B629AC">
        <w:rPr>
          <w:rFonts w:eastAsia="Calibri" w:cs="Times New Roman"/>
          <w:sz w:val="24"/>
          <w:szCs w:val="24"/>
          <w:lang w:val="it-IT"/>
        </w:rPr>
        <w:t>, Sara Bonanomi</w:t>
      </w:r>
      <w:r w:rsidRPr="00B629AC">
        <w:rPr>
          <w:rFonts w:eastAsia="Calibri" w:cs="Times New Roman"/>
          <w:sz w:val="24"/>
          <w:szCs w:val="24"/>
          <w:vertAlign w:val="superscript"/>
          <w:lang w:val="it-IT"/>
        </w:rPr>
        <w:t>1*</w:t>
      </w:r>
      <w:r w:rsidRPr="00B629AC">
        <w:rPr>
          <w:rFonts w:eastAsia="Calibri" w:cs="Times New Roman"/>
          <w:sz w:val="24"/>
          <w:szCs w:val="24"/>
          <w:lang w:val="it-IT"/>
        </w:rPr>
        <w:t>, Alessandro Colombelli</w:t>
      </w:r>
      <w:r w:rsidRPr="00B629AC">
        <w:rPr>
          <w:rFonts w:eastAsia="Calibri" w:cs="Times New Roman"/>
          <w:sz w:val="24"/>
          <w:szCs w:val="24"/>
          <w:vertAlign w:val="superscript"/>
          <w:lang w:val="it-IT"/>
        </w:rPr>
        <w:t>1</w:t>
      </w:r>
      <w:r w:rsidRPr="00B629AC">
        <w:rPr>
          <w:rFonts w:eastAsia="Calibri" w:cs="Times New Roman"/>
          <w:sz w:val="24"/>
          <w:szCs w:val="24"/>
          <w:lang w:val="it-IT"/>
        </w:rPr>
        <w:t>, Caterina Maria Fortuna</w:t>
      </w:r>
      <w:r w:rsidRPr="00B629AC">
        <w:rPr>
          <w:rFonts w:eastAsia="Calibri" w:cs="Times New Roman"/>
          <w:sz w:val="24"/>
          <w:szCs w:val="24"/>
          <w:vertAlign w:val="superscript"/>
          <w:lang w:val="it-IT"/>
        </w:rPr>
        <w:t>2</w:t>
      </w:r>
      <w:r w:rsidRPr="00B629AC">
        <w:rPr>
          <w:rFonts w:eastAsia="Calibri" w:cs="Times New Roman"/>
          <w:sz w:val="24"/>
          <w:szCs w:val="24"/>
          <w:lang w:val="it-IT"/>
        </w:rPr>
        <w:t>, Fabrizio Moro</w:t>
      </w:r>
      <w:r w:rsidRPr="00B629AC">
        <w:rPr>
          <w:rFonts w:eastAsia="Calibri" w:cs="Times New Roman"/>
          <w:sz w:val="24"/>
          <w:szCs w:val="24"/>
          <w:vertAlign w:val="superscript"/>
          <w:lang w:val="it-IT"/>
        </w:rPr>
        <w:t>1</w:t>
      </w:r>
      <w:r w:rsidRPr="00B629AC">
        <w:rPr>
          <w:rFonts w:eastAsia="Calibri" w:cs="Times New Roman"/>
          <w:sz w:val="24"/>
          <w:szCs w:val="24"/>
          <w:lang w:val="it-IT"/>
        </w:rPr>
        <w:t>, Antonello Sala</w:t>
      </w:r>
      <w:r w:rsidRPr="00B629AC">
        <w:rPr>
          <w:rFonts w:eastAsia="Calibri" w:cs="Times New Roman"/>
          <w:sz w:val="24"/>
          <w:szCs w:val="24"/>
          <w:vertAlign w:val="superscript"/>
          <w:lang w:val="it-IT"/>
        </w:rPr>
        <w:t>1</w:t>
      </w:r>
    </w:p>
    <w:p w14:paraId="7C7CC64A" w14:textId="77777777" w:rsidR="009E5693" w:rsidRPr="00B629AC" w:rsidRDefault="009E5693" w:rsidP="009E5693">
      <w:pPr>
        <w:spacing w:after="200"/>
        <w:rPr>
          <w:rFonts w:eastAsia="Calibri" w:cs="Times New Roman"/>
          <w:sz w:val="24"/>
          <w:szCs w:val="24"/>
        </w:rPr>
      </w:pPr>
      <w:r w:rsidRPr="00B629AC">
        <w:rPr>
          <w:rFonts w:eastAsia="Calibri" w:cs="Times New Roman"/>
          <w:sz w:val="24"/>
          <w:szCs w:val="24"/>
        </w:rPr>
        <w:t xml:space="preserve">1 Italian National Research Council (CNR), Institute of Marine Biological Resources and Biotechnologies (IRBIM), Largo Fiera </w:t>
      </w:r>
      <w:proofErr w:type="spellStart"/>
      <w:r w:rsidRPr="00B629AC">
        <w:rPr>
          <w:rFonts w:eastAsia="Calibri" w:cs="Times New Roman"/>
          <w:sz w:val="24"/>
          <w:szCs w:val="24"/>
        </w:rPr>
        <w:t>della</w:t>
      </w:r>
      <w:proofErr w:type="spellEnd"/>
      <w:r w:rsidRPr="00B629AC">
        <w:rPr>
          <w:rFonts w:eastAsia="Calibri" w:cs="Times New Roman"/>
          <w:sz w:val="24"/>
          <w:szCs w:val="24"/>
        </w:rPr>
        <w:t xml:space="preserve"> </w:t>
      </w:r>
      <w:proofErr w:type="spellStart"/>
      <w:r w:rsidRPr="00B629AC">
        <w:rPr>
          <w:rFonts w:eastAsia="Calibri" w:cs="Times New Roman"/>
          <w:sz w:val="24"/>
          <w:szCs w:val="24"/>
        </w:rPr>
        <w:t>Pesca</w:t>
      </w:r>
      <w:proofErr w:type="spellEnd"/>
      <w:r w:rsidRPr="00B629AC">
        <w:rPr>
          <w:rFonts w:eastAsia="Calibri" w:cs="Times New Roman"/>
          <w:sz w:val="24"/>
          <w:szCs w:val="24"/>
        </w:rPr>
        <w:t xml:space="preserve"> 1, 60125 Ancona, Italy</w:t>
      </w:r>
    </w:p>
    <w:p w14:paraId="59CFEE3B" w14:textId="77777777" w:rsidR="009E5693" w:rsidRPr="00B629AC" w:rsidRDefault="009E5693" w:rsidP="009E5693">
      <w:pPr>
        <w:spacing w:after="200"/>
        <w:rPr>
          <w:rFonts w:eastAsia="Calibri" w:cs="Times New Roman"/>
          <w:sz w:val="24"/>
          <w:szCs w:val="24"/>
        </w:rPr>
      </w:pPr>
      <w:r w:rsidRPr="00B629AC">
        <w:rPr>
          <w:rFonts w:eastAsia="Calibri" w:cs="Times New Roman"/>
          <w:sz w:val="24"/>
          <w:szCs w:val="24"/>
        </w:rPr>
        <w:t xml:space="preserve">2 Italian National Institute for Environmental Protection and Research (ISPRA), via Vitaliano </w:t>
      </w:r>
      <w:proofErr w:type="spellStart"/>
      <w:r w:rsidRPr="00B629AC">
        <w:rPr>
          <w:rFonts w:eastAsia="Calibri" w:cs="Times New Roman"/>
          <w:sz w:val="24"/>
          <w:szCs w:val="24"/>
        </w:rPr>
        <w:t>Brancati</w:t>
      </w:r>
      <w:proofErr w:type="spellEnd"/>
      <w:r w:rsidRPr="00B629AC">
        <w:rPr>
          <w:rFonts w:eastAsia="Calibri" w:cs="Times New Roman"/>
          <w:sz w:val="24"/>
          <w:szCs w:val="24"/>
        </w:rPr>
        <w:t xml:space="preserve"> 60, 00144 Rome, Italy</w:t>
      </w:r>
    </w:p>
    <w:p w14:paraId="18F33643" w14:textId="77777777" w:rsidR="009E5693" w:rsidRPr="00B629AC" w:rsidRDefault="009E5693" w:rsidP="009E5693">
      <w:pPr>
        <w:spacing w:after="200"/>
        <w:rPr>
          <w:rFonts w:eastAsia="Calibri" w:cs="Times New Roman"/>
          <w:sz w:val="24"/>
          <w:szCs w:val="24"/>
        </w:rPr>
      </w:pPr>
      <w:r w:rsidRPr="00B629AC">
        <w:rPr>
          <w:rFonts w:eastAsia="Calibri" w:cs="Times New Roman"/>
          <w:sz w:val="24"/>
          <w:szCs w:val="24"/>
        </w:rPr>
        <w:t xml:space="preserve">* These authors contributed equally to this work. </w:t>
      </w:r>
    </w:p>
    <w:p w14:paraId="4575603D" w14:textId="77777777" w:rsidR="009E5693" w:rsidRDefault="009E5693" w:rsidP="009E5693">
      <w:pPr>
        <w:spacing w:after="200"/>
        <w:rPr>
          <w:rFonts w:eastAsia="Calibri" w:cs="Times New Roman"/>
        </w:rPr>
        <w:sectPr w:rsidR="009E5693" w:rsidSect="00D64519">
          <w:pgSz w:w="11906" w:h="16838" w:code="9"/>
          <w:pgMar w:top="1418" w:right="1134" w:bottom="1134" w:left="1134" w:header="709" w:footer="709" w:gutter="0"/>
          <w:cols w:space="708"/>
          <w:docGrid w:linePitch="360"/>
        </w:sectPr>
      </w:pPr>
      <w:r w:rsidRPr="00B629AC">
        <w:rPr>
          <w:rFonts w:eastAsia="Calibri" w:cs="Times New Roman"/>
          <w:sz w:val="24"/>
          <w:szCs w:val="24"/>
        </w:rPr>
        <w:t xml:space="preserve">Correspondence and requests for materials should be addressed to: </w:t>
      </w:r>
      <w:hyperlink r:id="rId4" w:history="1">
        <w:r w:rsidRPr="00B629AC">
          <w:rPr>
            <w:rStyle w:val="Hyperlink"/>
            <w:rFonts w:eastAsia="Calibri" w:cs="Times New Roman"/>
            <w:sz w:val="24"/>
            <w:szCs w:val="24"/>
          </w:rPr>
          <w:t>jacopo.pulcinella@irbim.cnr.it</w:t>
        </w:r>
      </w:hyperlink>
      <w:r w:rsidRPr="00472C27">
        <w:rPr>
          <w:rFonts w:eastAsia="Calibri" w:cs="Times New Roman"/>
        </w:rPr>
        <w:t xml:space="preserve"> </w:t>
      </w:r>
    </w:p>
    <w:p w14:paraId="42F9CAF8" w14:textId="77777777" w:rsidR="009E5693" w:rsidRPr="00B629AC" w:rsidRDefault="009E5693" w:rsidP="009E5693">
      <w:pPr>
        <w:rPr>
          <w:rFonts w:cs="Times New Roman"/>
          <w:sz w:val="24"/>
          <w:szCs w:val="24"/>
        </w:rPr>
      </w:pPr>
      <w:r w:rsidRPr="00B629AC">
        <w:rPr>
          <w:rFonts w:cs="Times New Roman"/>
          <w:sz w:val="24"/>
          <w:szCs w:val="24"/>
        </w:rPr>
        <w:lastRenderedPageBreak/>
        <w:t>This document includes:</w:t>
      </w:r>
    </w:p>
    <w:p w14:paraId="03EC5886" w14:textId="77777777" w:rsidR="00F61B7E" w:rsidRPr="00B629AC" w:rsidRDefault="009E5693">
      <w:pPr>
        <w:rPr>
          <w:b/>
          <w:sz w:val="24"/>
          <w:szCs w:val="24"/>
        </w:rPr>
      </w:pPr>
      <w:r w:rsidRPr="00B629AC">
        <w:rPr>
          <w:b/>
          <w:sz w:val="24"/>
          <w:szCs w:val="24"/>
        </w:rPr>
        <w:t>Supplementary Figure 1</w:t>
      </w:r>
    </w:p>
    <w:p w14:paraId="1D0CCAA6" w14:textId="77777777" w:rsidR="009E5693" w:rsidRPr="00B629AC" w:rsidRDefault="009E5693" w:rsidP="009E5693">
      <w:pPr>
        <w:rPr>
          <w:b/>
          <w:sz w:val="24"/>
          <w:szCs w:val="24"/>
        </w:rPr>
      </w:pPr>
      <w:r w:rsidRPr="00B629AC">
        <w:rPr>
          <w:b/>
          <w:sz w:val="24"/>
          <w:szCs w:val="24"/>
        </w:rPr>
        <w:t>Supplementary Figure 2</w:t>
      </w:r>
    </w:p>
    <w:p w14:paraId="0EC6FE1A" w14:textId="77777777" w:rsidR="009E5693" w:rsidRPr="00B629AC" w:rsidRDefault="009E5693">
      <w:pPr>
        <w:rPr>
          <w:b/>
          <w:sz w:val="24"/>
          <w:szCs w:val="24"/>
        </w:rPr>
      </w:pPr>
      <w:r w:rsidRPr="00B629AC">
        <w:rPr>
          <w:b/>
          <w:sz w:val="24"/>
          <w:szCs w:val="24"/>
        </w:rPr>
        <w:t>Supplementary Figure 3</w:t>
      </w:r>
    </w:p>
    <w:p w14:paraId="030EDCFA" w14:textId="77777777" w:rsidR="001E3FE1" w:rsidRPr="00B629AC" w:rsidRDefault="001E3FE1">
      <w:pPr>
        <w:rPr>
          <w:b/>
          <w:sz w:val="24"/>
          <w:szCs w:val="24"/>
        </w:rPr>
      </w:pPr>
      <w:r w:rsidRPr="00B629AC">
        <w:rPr>
          <w:b/>
          <w:sz w:val="24"/>
          <w:szCs w:val="24"/>
        </w:rPr>
        <w:t>Supplementary Figure 4</w:t>
      </w:r>
    </w:p>
    <w:p w14:paraId="6C4018C4" w14:textId="77777777" w:rsidR="002E31EE" w:rsidRPr="002E31EE" w:rsidRDefault="002E31EE" w:rsidP="002E31EE">
      <w:pPr>
        <w:spacing w:after="0" w:line="240" w:lineRule="auto"/>
        <w:jc w:val="left"/>
        <w:rPr>
          <w:rFonts w:eastAsia="Times New Roman" w:cs="Times New Roman"/>
          <w:sz w:val="24"/>
          <w:szCs w:val="24"/>
          <w:lang w:val="it-IT" w:eastAsia="it-IT"/>
        </w:rPr>
      </w:pPr>
      <w:r w:rsidRPr="002E31EE">
        <w:rPr>
          <w:rFonts w:ascii="Arial" w:eastAsia="Times New Roman" w:hAnsi="Arial" w:cs="Arial"/>
          <w:noProof/>
          <w:color w:val="000000"/>
          <w:lang w:val="it-IT" w:eastAsia="it-IT"/>
        </w:rPr>
        <w:drawing>
          <wp:inline distT="0" distB="0" distL="0" distR="0" wp14:anchorId="1678133F" wp14:editId="178715EE">
            <wp:extent cx="3961870" cy="5546618"/>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BaXhCjI5zi59zmX56PF1GN7OzvXN0Z_TbfDrnwaCv0hoDWyqVvYsm0PRAdVDQ_jd9JO_QazBjxmcf72HUuvMZkmEvGbtiwXYSq6vIP_fUGF1pxf2IIibAPZ4pTOwRd3k456QWpjR"/>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961870" cy="5546618"/>
                    </a:xfrm>
                    <a:prstGeom prst="rect">
                      <a:avLst/>
                    </a:prstGeom>
                    <a:noFill/>
                    <a:ln>
                      <a:noFill/>
                    </a:ln>
                  </pic:spPr>
                </pic:pic>
              </a:graphicData>
            </a:graphic>
          </wp:inline>
        </w:drawing>
      </w:r>
    </w:p>
    <w:p w14:paraId="72030F03" w14:textId="77777777" w:rsidR="002E31EE" w:rsidRPr="00B629AC" w:rsidRDefault="002E31EE" w:rsidP="002E31EE">
      <w:pPr>
        <w:rPr>
          <w:rFonts w:eastAsia="Times New Roman" w:cs="Times New Roman"/>
          <w:sz w:val="24"/>
          <w:szCs w:val="24"/>
          <w:lang w:eastAsia="it-IT"/>
        </w:rPr>
      </w:pPr>
      <w:r w:rsidRPr="00B629AC">
        <w:rPr>
          <w:b/>
          <w:sz w:val="24"/>
          <w:szCs w:val="24"/>
        </w:rPr>
        <w:t xml:space="preserve">Supplementary Figure 1. </w:t>
      </w:r>
      <w:r w:rsidRPr="00B629AC">
        <w:rPr>
          <w:color w:val="000000"/>
          <w:sz w:val="24"/>
          <w:szCs w:val="24"/>
        </w:rPr>
        <w:t>Generalized additive model-derived effects of covariates used to model the presence/absence of loggerhead turtles in the north</w:t>
      </w:r>
      <w:r w:rsidR="00A50171" w:rsidRPr="00B629AC">
        <w:rPr>
          <w:color w:val="000000"/>
          <w:sz w:val="24"/>
          <w:szCs w:val="24"/>
        </w:rPr>
        <w:t xml:space="preserve">ern </w:t>
      </w:r>
      <w:r w:rsidRPr="00B629AC">
        <w:rPr>
          <w:color w:val="000000"/>
          <w:sz w:val="24"/>
          <w:szCs w:val="24"/>
        </w:rPr>
        <w:t xml:space="preserve">central Adriatic Sea during 2006–2018. In the bivariate predictor map, longitude-latitude interaction by quarter, the solid line is the estimate of the smooth function. In the univariate predictor plots, the solid line is the estimate of the smooth function, and the grey area indicates 95% confidence </w:t>
      </w:r>
      <w:r w:rsidR="00A50171" w:rsidRPr="00B629AC">
        <w:rPr>
          <w:color w:val="000000"/>
          <w:sz w:val="24"/>
          <w:szCs w:val="24"/>
        </w:rPr>
        <w:t>intervals</w:t>
      </w:r>
      <w:r w:rsidRPr="00B629AC">
        <w:rPr>
          <w:color w:val="000000"/>
          <w:sz w:val="24"/>
          <w:szCs w:val="24"/>
        </w:rPr>
        <w:t xml:space="preserve">. The effect of parametric predictor </w:t>
      </w:r>
      <w:r w:rsidR="00A50171" w:rsidRPr="00B629AC">
        <w:rPr>
          <w:color w:val="000000"/>
          <w:sz w:val="24"/>
          <w:szCs w:val="24"/>
        </w:rPr>
        <w:t>is</w:t>
      </w:r>
      <w:r w:rsidRPr="00B629AC">
        <w:rPr>
          <w:color w:val="000000"/>
          <w:sz w:val="24"/>
          <w:szCs w:val="24"/>
        </w:rPr>
        <w:t xml:space="preserve"> reported as boxplot, solid lines indicate the median value and dashed the 75% quantile.</w:t>
      </w:r>
    </w:p>
    <w:p w14:paraId="7A63E7F0" w14:textId="77777777" w:rsidR="002E31EE" w:rsidRPr="002E31EE" w:rsidRDefault="002E31EE" w:rsidP="002E31EE">
      <w:pPr>
        <w:spacing w:after="0" w:line="240" w:lineRule="auto"/>
        <w:jc w:val="left"/>
        <w:rPr>
          <w:rFonts w:eastAsia="Times New Roman" w:cs="Times New Roman"/>
          <w:sz w:val="24"/>
          <w:szCs w:val="24"/>
          <w:lang w:val="it-IT" w:eastAsia="it-IT"/>
        </w:rPr>
      </w:pPr>
      <w:r w:rsidRPr="002E31EE">
        <w:rPr>
          <w:rFonts w:ascii="Arial" w:eastAsia="Times New Roman" w:hAnsi="Arial" w:cs="Arial"/>
          <w:noProof/>
          <w:color w:val="000000"/>
          <w:lang w:val="it-IT" w:eastAsia="it-IT"/>
        </w:rPr>
        <w:lastRenderedPageBreak/>
        <w:drawing>
          <wp:inline distT="0" distB="0" distL="0" distR="0" wp14:anchorId="34610E39" wp14:editId="0A6B747B">
            <wp:extent cx="4562475" cy="638746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XZWRt_NhzXoDIy8PqCsm2hbvyehzNzvCJ1PoknzxItYv9VZ4AOedLe6kfQNxC_YEDlDcuC-SdE_H2Z0NFYyCsf42gWpCvpcIJ9Dv0K_4lTR08gpPyMtISverdL0a1DSTPaAcsvVF"/>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562475" cy="6387465"/>
                    </a:xfrm>
                    <a:prstGeom prst="rect">
                      <a:avLst/>
                    </a:prstGeom>
                    <a:noFill/>
                    <a:ln>
                      <a:noFill/>
                    </a:ln>
                  </pic:spPr>
                </pic:pic>
              </a:graphicData>
            </a:graphic>
          </wp:inline>
        </w:drawing>
      </w:r>
    </w:p>
    <w:p w14:paraId="65C5DA25" w14:textId="77777777" w:rsidR="009E5693" w:rsidRPr="00B629AC" w:rsidRDefault="002E31EE" w:rsidP="000D779A">
      <w:pPr>
        <w:rPr>
          <w:b/>
          <w:sz w:val="24"/>
          <w:szCs w:val="24"/>
        </w:rPr>
      </w:pPr>
      <w:r w:rsidRPr="00B629AC">
        <w:rPr>
          <w:b/>
          <w:sz w:val="24"/>
          <w:szCs w:val="24"/>
        </w:rPr>
        <w:t xml:space="preserve">Supplementary Figure 2. </w:t>
      </w:r>
      <w:r w:rsidRPr="00B629AC">
        <w:rPr>
          <w:color w:val="000000"/>
          <w:sz w:val="24"/>
          <w:szCs w:val="24"/>
        </w:rPr>
        <w:t>Generalized additive model-derived effects of covariates used to mo</w:t>
      </w:r>
      <w:r w:rsidR="00A50171" w:rsidRPr="00B629AC">
        <w:rPr>
          <w:color w:val="000000"/>
          <w:sz w:val="24"/>
          <w:szCs w:val="24"/>
        </w:rPr>
        <w:t xml:space="preserve">del the abundance </w:t>
      </w:r>
      <w:r w:rsidRPr="00B629AC">
        <w:rPr>
          <w:color w:val="000000"/>
          <w:sz w:val="24"/>
          <w:szCs w:val="24"/>
        </w:rPr>
        <w:t>of loggerhead turtles in the north</w:t>
      </w:r>
      <w:r w:rsidR="00A50171" w:rsidRPr="00B629AC">
        <w:rPr>
          <w:color w:val="000000"/>
          <w:sz w:val="24"/>
          <w:szCs w:val="24"/>
        </w:rPr>
        <w:t xml:space="preserve">ern </w:t>
      </w:r>
      <w:r w:rsidRPr="00B629AC">
        <w:rPr>
          <w:color w:val="000000"/>
          <w:sz w:val="24"/>
          <w:szCs w:val="24"/>
        </w:rPr>
        <w:t xml:space="preserve">central Adriatic Sea during 2006–2018. In the bivariate predictor map, longitude-latitude interaction by quarter, the solid line is the estimate of the smooth function, and the black dots indicate haul locations with positive catch. In the univariate predictor plot, the solid line is the estimate of the smooth function, the grey area indicates 95% confidence </w:t>
      </w:r>
      <w:r w:rsidR="00A50171" w:rsidRPr="00B629AC">
        <w:rPr>
          <w:color w:val="000000"/>
          <w:sz w:val="24"/>
          <w:szCs w:val="24"/>
        </w:rPr>
        <w:t>interval</w:t>
      </w:r>
      <w:r w:rsidRPr="00B629AC">
        <w:rPr>
          <w:color w:val="000000"/>
          <w:sz w:val="24"/>
          <w:szCs w:val="24"/>
        </w:rPr>
        <w:t>. The effect of parametric predictor</w:t>
      </w:r>
      <w:r w:rsidR="00A50171" w:rsidRPr="00B629AC">
        <w:rPr>
          <w:color w:val="000000"/>
          <w:sz w:val="24"/>
          <w:szCs w:val="24"/>
        </w:rPr>
        <w:t xml:space="preserve"> is</w:t>
      </w:r>
      <w:r w:rsidRPr="00B629AC">
        <w:rPr>
          <w:color w:val="000000"/>
          <w:sz w:val="24"/>
          <w:szCs w:val="24"/>
        </w:rPr>
        <w:t xml:space="preserve"> reported as boxplot, solid lines indicate the median value and dashed the 75% quantile.</w:t>
      </w:r>
    </w:p>
    <w:p w14:paraId="724EB64C" w14:textId="77777777" w:rsidR="000D779A" w:rsidRDefault="000D779A" w:rsidP="000D779A">
      <w:pPr>
        <w:rPr>
          <w:color w:val="000000"/>
        </w:rPr>
        <w:sectPr w:rsidR="000D779A" w:rsidSect="00D64519">
          <w:pgSz w:w="11906" w:h="16838"/>
          <w:pgMar w:top="1417" w:right="1134" w:bottom="1134" w:left="1134" w:header="708" w:footer="708" w:gutter="0"/>
          <w:cols w:space="708"/>
          <w:docGrid w:linePitch="360"/>
        </w:sectPr>
      </w:pPr>
    </w:p>
    <w:p w14:paraId="50B48149" w14:textId="77777777" w:rsidR="000D779A" w:rsidRDefault="000D779A" w:rsidP="000D779A">
      <w:pPr>
        <w:rPr>
          <w:b/>
        </w:rPr>
      </w:pPr>
      <w:r>
        <w:rPr>
          <w:b/>
          <w:bCs/>
          <w:noProof/>
          <w:color w:val="000000"/>
          <w:sz w:val="28"/>
          <w:szCs w:val="28"/>
          <w:lang w:val="it-IT" w:eastAsia="it-IT"/>
        </w:rPr>
        <w:lastRenderedPageBreak/>
        <w:drawing>
          <wp:inline distT="0" distB="0" distL="0" distR="0" wp14:anchorId="57604901" wp14:editId="23DD9FA7">
            <wp:extent cx="4542472" cy="6056630"/>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PJOBmHToD4ubuXYiJgsimj7WHLetij70yoNhlaL4QfLEqM1qKIPjeyko_eczO_qQsyz6-zOpYXHYoPLnv3_i910TWvRoFVg8znclPSMQgM2An_kM5q-VxIglWO0Ud1WEmF_Kaim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542472" cy="6056630"/>
                    </a:xfrm>
                    <a:prstGeom prst="rect">
                      <a:avLst/>
                    </a:prstGeom>
                    <a:noFill/>
                    <a:ln>
                      <a:noFill/>
                    </a:ln>
                  </pic:spPr>
                </pic:pic>
              </a:graphicData>
            </a:graphic>
          </wp:inline>
        </w:drawing>
      </w:r>
    </w:p>
    <w:p w14:paraId="37D0BB24" w14:textId="77777777" w:rsidR="001E3FE1" w:rsidRDefault="000D779A" w:rsidP="000D779A">
      <w:pPr>
        <w:rPr>
          <w:color w:val="000000"/>
        </w:rPr>
        <w:sectPr w:rsidR="001E3FE1" w:rsidSect="00D64519">
          <w:pgSz w:w="11906" w:h="16838"/>
          <w:pgMar w:top="1417" w:right="1134" w:bottom="1134" w:left="1134" w:header="708" w:footer="708" w:gutter="0"/>
          <w:cols w:space="708"/>
          <w:docGrid w:linePitch="360"/>
        </w:sectPr>
      </w:pPr>
      <w:r w:rsidRPr="00B629AC">
        <w:rPr>
          <w:b/>
          <w:sz w:val="24"/>
          <w:szCs w:val="24"/>
        </w:rPr>
        <w:t xml:space="preserve">Supplementary Figure </w:t>
      </w:r>
      <w:r w:rsidRPr="00B629AC">
        <w:rPr>
          <w:b/>
          <w:bCs/>
          <w:color w:val="000000"/>
          <w:sz w:val="24"/>
          <w:szCs w:val="24"/>
        </w:rPr>
        <w:t>3</w:t>
      </w:r>
      <w:r w:rsidRPr="00B629AC">
        <w:rPr>
          <w:color w:val="000000"/>
          <w:sz w:val="24"/>
          <w:szCs w:val="24"/>
        </w:rPr>
        <w:t>.</w:t>
      </w:r>
      <w:r w:rsidR="00A50171" w:rsidRPr="00B629AC">
        <w:rPr>
          <w:color w:val="000000"/>
          <w:sz w:val="24"/>
          <w:szCs w:val="24"/>
        </w:rPr>
        <w:t xml:space="preserve"> </w:t>
      </w:r>
      <w:r w:rsidRPr="00B629AC">
        <w:rPr>
          <w:color w:val="000000"/>
          <w:sz w:val="24"/>
          <w:szCs w:val="24"/>
        </w:rPr>
        <w:t>Residual plots of</w:t>
      </w:r>
      <w:r w:rsidRPr="00B629AC">
        <w:rPr>
          <w:rFonts w:ascii="Calibri" w:hAnsi="Calibri" w:cs="Calibri"/>
          <w:color w:val="000000"/>
          <w:sz w:val="24"/>
          <w:szCs w:val="24"/>
        </w:rPr>
        <w:t xml:space="preserve"> </w:t>
      </w:r>
      <w:r w:rsidRPr="00B629AC">
        <w:rPr>
          <w:color w:val="000000"/>
          <w:sz w:val="24"/>
          <w:szCs w:val="24"/>
        </w:rPr>
        <w:t>abundance model of loggerhead turtles in the north</w:t>
      </w:r>
      <w:r w:rsidR="00A50171" w:rsidRPr="00B629AC">
        <w:rPr>
          <w:color w:val="000000"/>
          <w:sz w:val="24"/>
          <w:szCs w:val="24"/>
        </w:rPr>
        <w:t xml:space="preserve">ern </w:t>
      </w:r>
      <w:r w:rsidRPr="00B629AC">
        <w:rPr>
          <w:color w:val="000000"/>
          <w:sz w:val="24"/>
          <w:szCs w:val="24"/>
        </w:rPr>
        <w:t>central Adriatic Sea during 2006–2018</w:t>
      </w:r>
      <w:r>
        <w:rPr>
          <w:color w:val="000000"/>
        </w:rPr>
        <w:t>.</w:t>
      </w:r>
    </w:p>
    <w:p w14:paraId="5DA823F3" w14:textId="77777777" w:rsidR="001E3FE1" w:rsidRPr="00B629AC" w:rsidRDefault="00D64519" w:rsidP="001E3FE1">
      <w:pPr>
        <w:rPr>
          <w:sz w:val="24"/>
          <w:szCs w:val="24"/>
        </w:rPr>
      </w:pPr>
      <w:r>
        <w:rPr>
          <w:noProof/>
          <w:sz w:val="24"/>
          <w:szCs w:val="24"/>
        </w:rPr>
        <w:lastRenderedPageBreak/>
        <w:pict w14:anchorId="08429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3pt;margin-top:-13.5pt;width:400.5pt;height:344.25pt;z-index:251659264;mso-position-horizontal-relative:margin;mso-position-vertical-relative:margin">
            <v:imagedata r:id="rId8" o:title="Supplementary Figure 4" cropbottom="-1460f" cropleft="11739f" cropright="6737f"/>
            <w10:wrap type="square" anchorx="margin" anchory="margin"/>
          </v:shape>
        </w:pict>
      </w:r>
      <w:r w:rsidR="001E3FE1" w:rsidRPr="00B629AC">
        <w:rPr>
          <w:b/>
          <w:sz w:val="24"/>
          <w:szCs w:val="24"/>
        </w:rPr>
        <w:t xml:space="preserve">Supplementary Figure 4. </w:t>
      </w:r>
      <w:r w:rsidR="001E3FE1" w:rsidRPr="00B629AC">
        <w:rPr>
          <w:sz w:val="24"/>
          <w:szCs w:val="24"/>
        </w:rPr>
        <w:t>Distribution of</w:t>
      </w:r>
      <w:r w:rsidR="001E3FE1" w:rsidRPr="00B629AC">
        <w:rPr>
          <w:b/>
          <w:sz w:val="24"/>
          <w:szCs w:val="24"/>
        </w:rPr>
        <w:t xml:space="preserve"> </w:t>
      </w:r>
      <w:r w:rsidR="001E3FE1" w:rsidRPr="00B629AC">
        <w:rPr>
          <w:sz w:val="24"/>
          <w:szCs w:val="24"/>
        </w:rPr>
        <w:t>Chlorophyll concentrations expressed in log[g/m</w:t>
      </w:r>
      <w:r w:rsidR="001E3FE1" w:rsidRPr="00B629AC">
        <w:rPr>
          <w:sz w:val="24"/>
          <w:szCs w:val="24"/>
          <w:vertAlign w:val="superscript"/>
        </w:rPr>
        <w:t>3</w:t>
      </w:r>
      <w:r w:rsidR="001E3FE1" w:rsidRPr="00B629AC">
        <w:rPr>
          <w:sz w:val="24"/>
          <w:szCs w:val="24"/>
        </w:rPr>
        <w:t>] in the northern central Adriatic Se</w:t>
      </w:r>
      <w:bookmarkStart w:id="0" w:name="_GoBack"/>
      <w:bookmarkEnd w:id="0"/>
      <w:r w:rsidR="001E3FE1" w:rsidRPr="00B629AC">
        <w:rPr>
          <w:sz w:val="24"/>
          <w:szCs w:val="24"/>
        </w:rPr>
        <w:t>a at quarterly base.</w:t>
      </w:r>
    </w:p>
    <w:sectPr w:rsidR="001E3FE1" w:rsidRPr="00B629AC" w:rsidSect="00D6451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693"/>
    <w:rsid w:val="000613C2"/>
    <w:rsid w:val="000868AD"/>
    <w:rsid w:val="000D779A"/>
    <w:rsid w:val="001E3FE1"/>
    <w:rsid w:val="002E31EE"/>
    <w:rsid w:val="004C6C35"/>
    <w:rsid w:val="00597260"/>
    <w:rsid w:val="00622806"/>
    <w:rsid w:val="00624F97"/>
    <w:rsid w:val="008D15E5"/>
    <w:rsid w:val="00904ACB"/>
    <w:rsid w:val="00981823"/>
    <w:rsid w:val="009E5693"/>
    <w:rsid w:val="00A50171"/>
    <w:rsid w:val="00B629AC"/>
    <w:rsid w:val="00D64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FA80D31"/>
  <w15:chartTrackingRefBased/>
  <w15:docId w15:val="{910CB394-C224-4B10-86D7-125F430D0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693"/>
    <w:pPr>
      <w:spacing w:line="360" w:lineRule="auto"/>
      <w:jc w:val="both"/>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5693"/>
    <w:rPr>
      <w:color w:val="0563C1" w:themeColor="hyperlink"/>
      <w:u w:val="single"/>
    </w:rPr>
  </w:style>
  <w:style w:type="character" w:styleId="LineNumber">
    <w:name w:val="line number"/>
    <w:basedOn w:val="DefaultParagraphFont"/>
    <w:uiPriority w:val="99"/>
    <w:semiHidden/>
    <w:unhideWhenUsed/>
    <w:rsid w:val="009E5693"/>
  </w:style>
  <w:style w:type="paragraph" w:styleId="NormalWeb">
    <w:name w:val="Normal (Web)"/>
    <w:basedOn w:val="Normal"/>
    <w:uiPriority w:val="99"/>
    <w:semiHidden/>
    <w:unhideWhenUsed/>
    <w:rsid w:val="002E31EE"/>
    <w:pPr>
      <w:spacing w:before="100" w:beforeAutospacing="1" w:after="100" w:afterAutospacing="1" w:line="240" w:lineRule="auto"/>
      <w:jc w:val="left"/>
    </w:pPr>
    <w:rPr>
      <w:rFonts w:eastAsia="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04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mailto:jacopo.pulcinella@an.ismar.cnr.it" TargetMode="Externa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5</Pages>
  <Words>354</Words>
  <Characters>2019</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Bonanomi</dc:creator>
  <cp:keywords/>
  <dc:description/>
  <cp:lastModifiedBy>Frontiers</cp:lastModifiedBy>
  <cp:revision>9</cp:revision>
  <dcterms:created xsi:type="dcterms:W3CDTF">2019-04-29T08:25:00Z</dcterms:created>
  <dcterms:modified xsi:type="dcterms:W3CDTF">2019-06-19T14:05:00Z</dcterms:modified>
</cp:coreProperties>
</file>